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3176270</wp:posOffset>
            </wp:positionH>
            <wp:positionV relativeFrom="page">
              <wp:posOffset>277495</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ind w:left="4280" w:right="4020" w:hanging="4272"/>
        <w:spacing w:after="0"/>
        <w:tabs>
          <w:tab w:leader="none" w:pos="288"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28,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 w:lineRule="exact"/>
        <w:rPr>
          <w:sz w:val="24"/>
          <w:szCs w:val="24"/>
          <w:color w:val="auto"/>
        </w:rPr>
      </w:pPr>
    </w:p>
    <w:p>
      <w:pPr>
        <w:ind w:left="4720" w:right="3780" w:hanging="4712"/>
        <w:spacing w:after="0" w:line="278" w:lineRule="auto"/>
        <w:tabs>
          <w:tab w:leader="none" w:pos="25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to</w:t>
      </w:r>
    </w:p>
    <w:p>
      <w:pPr>
        <w:spacing w:after="0" w:line="16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Commission File Number: 001-33072</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Leidos Holdings, Inc.</w:t>
      </w:r>
    </w:p>
    <w:p>
      <w:pPr>
        <w:spacing w:after="0" w:line="126"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4"/>
          <w:szCs w:val="24"/>
          <w:color w:val="auto"/>
        </w:rPr>
      </w:pPr>
    </w:p>
    <w:tbl>
      <w:tblPr>
        <w:tblLayout w:type="fixed"/>
        <w:tblInd w:w="58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2880" w:type="dxa"/>
            <w:vAlign w:val="bottom"/>
            <w:gridSpan w:val="2"/>
          </w:tcPr>
          <w:p>
            <w:pPr>
              <w:jc w:val="center"/>
              <w:ind w:right="1728"/>
              <w:spacing w:after="0"/>
              <w:rPr>
                <w:sz w:val="20"/>
                <w:szCs w:val="20"/>
                <w:color w:val="auto"/>
              </w:rPr>
            </w:pPr>
            <w:r>
              <w:rPr>
                <w:rFonts w:ascii="Arial" w:cs="Arial" w:eastAsia="Arial" w:hAnsi="Arial"/>
                <w:sz w:val="18"/>
                <w:szCs w:val="18"/>
                <w:b w:val="1"/>
                <w:bCs w:val="1"/>
                <w:color w:val="auto"/>
              </w:rPr>
              <w:t>Delaware</w:t>
            </w:r>
          </w:p>
        </w:tc>
        <w:tc>
          <w:tcPr>
            <w:tcW w:w="5060" w:type="dxa"/>
            <w:vAlign w:val="bottom"/>
            <w:gridSpan w:val="2"/>
          </w:tcPr>
          <w:p>
            <w:pPr>
              <w:jc w:val="right"/>
              <w:ind w:right="848"/>
              <w:spacing w:after="0"/>
              <w:rPr>
                <w:sz w:val="20"/>
                <w:szCs w:val="20"/>
                <w:color w:val="auto"/>
              </w:rPr>
            </w:pPr>
            <w:r>
              <w:rPr>
                <w:rFonts w:ascii="Arial" w:cs="Arial" w:eastAsia="Arial" w:hAnsi="Arial"/>
                <w:sz w:val="18"/>
                <w:szCs w:val="18"/>
                <w:b w:val="1"/>
                <w:bCs w:val="1"/>
                <w:color w:val="auto"/>
              </w:rPr>
              <w:t>20-3562868</w:t>
            </w:r>
          </w:p>
        </w:tc>
      </w:tr>
      <w:tr>
        <w:trPr>
          <w:trHeight w:val="218"/>
        </w:trPr>
        <w:tc>
          <w:tcPr>
            <w:tcW w:w="4500" w:type="dxa"/>
            <w:vAlign w:val="bottom"/>
            <w:gridSpan w:val="3"/>
          </w:tcPr>
          <w:p>
            <w:pPr>
              <w:jc w:val="center"/>
              <w:ind w:right="10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spacing w:after="0"/>
              <w:rPr>
                <w:sz w:val="18"/>
                <w:szCs w:val="18"/>
                <w:color w:val="auto"/>
              </w:rPr>
            </w:pPr>
          </w:p>
        </w:tc>
        <w:tc>
          <w:tcPr>
            <w:tcW w:w="3040" w:type="dxa"/>
            <w:vAlign w:val="bottom"/>
          </w:tcPr>
          <w:p>
            <w:pPr>
              <w:jc w:val="center"/>
              <w:ind w:left="168"/>
              <w:spacing w:after="0"/>
              <w:rPr>
                <w:sz w:val="20"/>
                <w:szCs w:val="20"/>
                <w:color w:val="auto"/>
              </w:rPr>
            </w:pPr>
            <w:r>
              <w:rPr>
                <w:rFonts w:ascii="Arial" w:cs="Arial" w:eastAsia="Arial" w:hAnsi="Arial"/>
                <w:sz w:val="14"/>
                <w:szCs w:val="14"/>
                <w:color w:val="auto"/>
              </w:rPr>
              <w:t>(I.R.S. Employer Identification No.)</w:t>
            </w:r>
          </w:p>
        </w:tc>
      </w:tr>
      <w:tr>
        <w:trPr>
          <w:trHeight w:val="485"/>
        </w:trPr>
        <w:tc>
          <w:tcPr>
            <w:tcW w:w="4500" w:type="dxa"/>
            <w:vAlign w:val="bottom"/>
            <w:gridSpan w:val="3"/>
          </w:tcPr>
          <w:p>
            <w:pPr>
              <w:jc w:val="center"/>
              <w:ind w:right="108"/>
              <w:spacing w:after="0"/>
              <w:rPr>
                <w:sz w:val="20"/>
                <w:szCs w:val="20"/>
                <w:color w:val="auto"/>
              </w:rPr>
            </w:pPr>
            <w:r>
              <w:rPr>
                <w:rFonts w:ascii="Arial" w:cs="Arial" w:eastAsia="Arial" w:hAnsi="Arial"/>
                <w:sz w:val="18"/>
                <w:szCs w:val="18"/>
                <w:b w:val="1"/>
                <w:bCs w:val="1"/>
                <w:color w:val="auto"/>
                <w:w w:val="99"/>
              </w:rPr>
              <w:t>11951 Freedom Drive, Reston, Virginia</w:t>
            </w:r>
          </w:p>
        </w:tc>
        <w:tc>
          <w:tcPr>
            <w:tcW w:w="5060" w:type="dxa"/>
            <w:vAlign w:val="bottom"/>
            <w:gridSpan w:val="2"/>
          </w:tcPr>
          <w:p>
            <w:pPr>
              <w:jc w:val="right"/>
              <w:ind w:right="1088"/>
              <w:spacing w:after="0"/>
              <w:rPr>
                <w:sz w:val="20"/>
                <w:szCs w:val="20"/>
                <w:color w:val="auto"/>
              </w:rPr>
            </w:pPr>
            <w:r>
              <w:rPr>
                <w:rFonts w:ascii="Arial" w:cs="Arial" w:eastAsia="Arial" w:hAnsi="Arial"/>
                <w:sz w:val="18"/>
                <w:szCs w:val="18"/>
                <w:b w:val="1"/>
                <w:bCs w:val="1"/>
                <w:color w:val="auto"/>
              </w:rPr>
              <w:t>20190</w:t>
            </w:r>
          </w:p>
        </w:tc>
      </w:tr>
      <w:tr>
        <w:trPr>
          <w:trHeight w:val="272"/>
        </w:trPr>
        <w:tc>
          <w:tcPr>
            <w:tcW w:w="4500" w:type="dxa"/>
            <w:vAlign w:val="bottom"/>
            <w:gridSpan w:val="3"/>
          </w:tcPr>
          <w:p>
            <w:pPr>
              <w:jc w:val="center"/>
              <w:ind w:right="8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spacing w:after="0"/>
              <w:rPr>
                <w:sz w:val="23"/>
                <w:szCs w:val="23"/>
                <w:color w:val="auto"/>
              </w:rPr>
            </w:pPr>
          </w:p>
        </w:tc>
        <w:tc>
          <w:tcPr>
            <w:tcW w:w="3040" w:type="dxa"/>
            <w:vAlign w:val="bottom"/>
          </w:tcPr>
          <w:p>
            <w:pPr>
              <w:jc w:val="center"/>
              <w:ind w:left="168"/>
              <w:spacing w:after="0"/>
              <w:rPr>
                <w:sz w:val="20"/>
                <w:szCs w:val="20"/>
                <w:color w:val="auto"/>
              </w:rPr>
            </w:pPr>
            <w:r>
              <w:rPr>
                <w:rFonts w:ascii="Arial" w:cs="Arial" w:eastAsia="Arial" w:hAnsi="Arial"/>
                <w:sz w:val="14"/>
                <w:szCs w:val="14"/>
                <w:color w:val="auto"/>
              </w:rPr>
              <w:t>(Zip Code)</w:t>
            </w:r>
          </w:p>
        </w:tc>
      </w:tr>
      <w:tr>
        <w:trPr>
          <w:trHeight w:val="417"/>
        </w:trPr>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Pr>
          <w:p>
            <w:pPr>
              <w:jc w:val="center"/>
              <w:ind w:right="674"/>
              <w:spacing w:after="0"/>
              <w:rPr>
                <w:sz w:val="20"/>
                <w:szCs w:val="20"/>
                <w:color w:val="auto"/>
              </w:rPr>
            </w:pPr>
            <w:r>
              <w:rPr>
                <w:rFonts w:ascii="Arial" w:cs="Arial" w:eastAsia="Arial" w:hAnsi="Arial"/>
                <w:sz w:val="18"/>
                <w:szCs w:val="18"/>
                <w:b w:val="1"/>
                <w:bCs w:val="1"/>
                <w:color w:val="auto"/>
                <w:w w:val="99"/>
              </w:rPr>
              <w:t>(571) 526-6000</w:t>
            </w:r>
          </w:p>
        </w:tc>
        <w:tc>
          <w:tcPr>
            <w:tcW w:w="3040" w:type="dxa"/>
            <w:vAlign w:val="bottom"/>
          </w:tcPr>
          <w:p>
            <w:pPr>
              <w:spacing w:after="0"/>
              <w:rPr>
                <w:sz w:val="24"/>
                <w:szCs w:val="24"/>
                <w:color w:val="auto"/>
              </w:rPr>
            </w:pPr>
          </w:p>
        </w:tc>
      </w:tr>
      <w:tr>
        <w:trPr>
          <w:trHeight w:val="218"/>
        </w:trPr>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20" w:type="dxa"/>
            <w:vAlign w:val="bottom"/>
            <w:gridSpan w:val="3"/>
          </w:tcPr>
          <w:p>
            <w:pPr>
              <w:jc w:val="center"/>
              <w:ind w:right="2068"/>
              <w:spacing w:after="0"/>
              <w:rPr>
                <w:sz w:val="20"/>
                <w:szCs w:val="20"/>
                <w:color w:val="auto"/>
              </w:rPr>
            </w:pPr>
            <w:r>
              <w:rPr>
                <w:rFonts w:ascii="Arial" w:cs="Arial" w:eastAsia="Arial" w:hAnsi="Arial"/>
                <w:sz w:val="14"/>
                <w:szCs w:val="14"/>
                <w:color w:val="auto"/>
              </w:rPr>
              <w:t>(Registrant's telephone number, including area code)</w:t>
            </w:r>
          </w:p>
        </w:tc>
      </w:tr>
      <w:tr>
        <w:trPr>
          <w:trHeight w:val="243"/>
        </w:trPr>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720" w:type="dxa"/>
            <w:vAlign w:val="bottom"/>
            <w:gridSpan w:val="3"/>
          </w:tcPr>
          <w:p>
            <w:pPr>
              <w:jc w:val="center"/>
              <w:ind w:right="2068"/>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296"/>
        </w:trPr>
        <w:tc>
          <w:tcPr>
            <w:tcW w:w="1620" w:type="dxa"/>
            <w:vAlign w:val="bottom"/>
          </w:tcPr>
          <w:p>
            <w:pPr>
              <w:spacing w:after="0"/>
              <w:rPr>
                <w:sz w:val="24"/>
                <w:szCs w:val="24"/>
                <w:color w:val="auto"/>
              </w:rPr>
            </w:pPr>
          </w:p>
        </w:tc>
        <w:tc>
          <w:tcPr>
            <w:tcW w:w="2880" w:type="dxa"/>
            <w:vAlign w:val="bottom"/>
            <w:gridSpan w:val="2"/>
          </w:tcPr>
          <w:p>
            <w:pPr>
              <w:jc w:val="center"/>
              <w:ind w:right="1588"/>
              <w:spacing w:after="0"/>
              <w:rPr>
                <w:sz w:val="20"/>
                <w:szCs w:val="20"/>
                <w:color w:val="auto"/>
              </w:rPr>
            </w:pPr>
            <w:r>
              <w:rPr>
                <w:rFonts w:ascii="Arial" w:cs="Arial" w:eastAsia="Arial" w:hAnsi="Arial"/>
                <w:sz w:val="14"/>
                <w:szCs w:val="14"/>
                <w:b w:val="1"/>
                <w:bCs w:val="1"/>
                <w:color w:val="auto"/>
              </w:rPr>
              <w:t>Title of each class</w:t>
            </w:r>
          </w:p>
        </w:tc>
        <w:tc>
          <w:tcPr>
            <w:tcW w:w="5060" w:type="dxa"/>
            <w:vAlign w:val="bottom"/>
            <w:gridSpan w:val="2"/>
          </w:tcPr>
          <w:p>
            <w:pPr>
              <w:jc w:val="center"/>
              <w:ind w:left="1934"/>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25"/>
        </w:trPr>
        <w:tc>
          <w:tcPr>
            <w:tcW w:w="4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Leidos Holdings, Inc. Common Stock, Par Value $.0001 Per Share</w:t>
            </w:r>
          </w:p>
        </w:tc>
        <w:tc>
          <w:tcPr>
            <w:tcW w:w="20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153" w:lineRule="exact"/>
        <w:rPr>
          <w:sz w:val="24"/>
          <w:szCs w:val="24"/>
          <w:color w:val="auto"/>
        </w:rPr>
      </w:pPr>
    </w:p>
    <w:p>
      <w:pPr>
        <w:ind w:right="3160"/>
        <w:spacing w:after="0" w:line="430"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00"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00" w:lineRule="exact"/>
        <w:rPr>
          <w:sz w:val="24"/>
          <w:szCs w:val="24"/>
          <w:color w:val="auto"/>
        </w:rPr>
      </w:pPr>
    </w:p>
    <w:p>
      <w:pPr>
        <w:ind w:right="4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 x Accelerated filer o Non-accelerated filer o Smaller reporting company o Emerging growth company o</w:t>
      </w:r>
    </w:p>
    <w:p>
      <w:pPr>
        <w:spacing w:after="0" w:line="133" w:lineRule="exact"/>
        <w:rPr>
          <w:sz w:val="24"/>
          <w:szCs w:val="24"/>
          <w:color w:val="auto"/>
        </w:rPr>
      </w:pPr>
    </w:p>
    <w:p>
      <w:pPr>
        <w:ind w:right="46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0" w:lineRule="exact"/>
        <w:rPr>
          <w:sz w:val="24"/>
          <w:szCs w:val="24"/>
          <w:color w:val="auto"/>
        </w:rPr>
      </w:pPr>
    </w:p>
    <w:p>
      <w:pPr>
        <w:spacing w:after="0"/>
        <w:tabs>
          <w:tab w:leader="none" w:pos="70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tab/>
        <w:t>No x</w:t>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As of June 29, 2018, which was the last business day of the registrant's most recently completed second fiscal quarter, the aggregate market value of Leidos Holdings, Inc.</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common stock (based upon the closing price of the stock on the New York Stock Exchange) held by non-affiliates of the registrant was $8,841,791,254.</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the registrant’s class of common stock as of February 11, 2019 was 146,160,889 shares ($.0001 par value per share).</w:t>
      </w:r>
    </w:p>
    <w:p>
      <w:pPr>
        <w:spacing w:after="0" w:line="9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Portions of Leidos Holdings, Inc.'s definitive Proxy Statement for the 2019 Annual Meeting of Stockholders ("2019 Proxy Statement") are incorporated by reference in Part III of this Annual Report on Form 10-K.</w:t>
      </w:r>
    </w:p>
    <w:p>
      <w:pPr>
        <w:sectPr>
          <w:pgSz w:w="11900" w:h="16838" w:orient="portrait"/>
          <w:cols w:equalWidth="0" w:num="1">
            <w:col w:w="11400"/>
          </w:cols>
          <w:pgMar w:left="240" w:top="121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rPr>
              <w:t>LEIDOS HOLDINGS, INC.</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80" w:type="dxa"/>
            <w:vAlign w:val="bottom"/>
            <w:gridSpan w:val="8"/>
          </w:tcPr>
          <w:p>
            <w:pPr>
              <w:jc w:val="center"/>
              <w:ind w:right="4200"/>
              <w:spacing w:after="0"/>
              <w:rPr>
                <w:sz w:val="20"/>
                <w:szCs w:val="20"/>
                <w:color w:val="auto"/>
              </w:rPr>
            </w:pPr>
            <w:r>
              <w:rPr>
                <w:rFonts w:ascii="Arial" w:cs="Arial" w:eastAsia="Arial" w:hAnsi="Arial"/>
                <w:sz w:val="18"/>
                <w:szCs w:val="18"/>
                <w:b w:val="1"/>
                <w:bCs w:val="1"/>
                <w:color w:val="auto"/>
              </w:rPr>
              <w:t>FORM 10-K</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9"/>
        </w:trPr>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Page</w:t>
            </w:r>
          </w:p>
        </w:tc>
      </w:tr>
      <w:tr>
        <w:trPr>
          <w:trHeight w:val="255"/>
        </w:trPr>
        <w:tc>
          <w:tcPr>
            <w:tcW w:w="126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05"/>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Risk Factors</w:t>
              </w:r>
            </w:hyperlink>
          </w:p>
        </w:tc>
        <w:tc>
          <w:tcPr>
            <w:tcW w:w="8300" w:type="dxa"/>
            <w:vAlign w:val="bottom"/>
            <w:gridSpan w:val="16"/>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Unresolved Staff Comments</w:t>
              </w:r>
            </w:hyperlink>
          </w:p>
        </w:tc>
        <w:tc>
          <w:tcPr>
            <w:tcW w:w="706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Properties</w:t>
              </w:r>
            </w:hyperlink>
          </w:p>
        </w:tc>
        <w:tc>
          <w:tcPr>
            <w:tcW w:w="8480" w:type="dxa"/>
            <w:vAlign w:val="bottom"/>
            <w:gridSpan w:val="17"/>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7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26"/>
        </w:trPr>
        <w:tc>
          <w:tcPr>
            <w:tcW w:w="10560" w:type="dxa"/>
            <w:vAlign w:val="bottom"/>
            <w:gridSpan w:val="20"/>
          </w:tcPr>
          <w:p>
            <w:pP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Executive Officers of the Registrant</w:t>
              </w:r>
            </w:hyperlink>
          </w:p>
        </w:tc>
        <w:tc>
          <w:tcPr>
            <w:tcW w:w="7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466"/>
        </w:trPr>
        <w:tc>
          <w:tcPr>
            <w:tcW w:w="1260" w:type="dxa"/>
            <w:vAlign w:val="bottom"/>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05"/>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Selected Financial Data</w:t>
              </w:r>
            </w:hyperlink>
          </w:p>
        </w:tc>
        <w:tc>
          <w:tcPr>
            <w:tcW w:w="6940" w:type="dxa"/>
            <w:vAlign w:val="bottom"/>
            <w:tcBorders>
              <w:top w:val="single" w:sz="8" w:color="0000EE"/>
            </w:tcBorders>
            <w:gridSpan w:val="11"/>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93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7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2"/>
          </w:tcPr>
          <w:p>
            <w:pPr>
              <w:spacing w:after="0"/>
              <w:rPr>
                <w:sz w:val="24"/>
                <w:szCs w:val="24"/>
                <w:color w:val="auto"/>
              </w:rPr>
            </w:pPr>
          </w:p>
        </w:tc>
        <w:tc>
          <w:tcPr>
            <w:tcW w:w="46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300" w:type="dxa"/>
            <w:vAlign w:val="bottom"/>
            <w:gridSpan w:val="1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760" w:type="dxa"/>
            <w:vAlign w:val="bottom"/>
            <w:gridSpan w:val="4"/>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218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105</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738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107</w:t>
              </w:r>
            </w:hyperlink>
          </w:p>
        </w:tc>
      </w:tr>
      <w:tr>
        <w:trPr>
          <w:trHeight w:val="466"/>
        </w:trPr>
        <w:tc>
          <w:tcPr>
            <w:tcW w:w="1260" w:type="dxa"/>
            <w:vAlign w:val="bottom"/>
          </w:tcPr>
          <w:p>
            <w:pPr>
              <w:spacing w:after="0"/>
              <w:rPr>
                <w:rFonts w:ascii="Arial" w:cs="Arial" w:eastAsia="Arial" w:hAnsi="Arial"/>
                <w:sz w:val="18"/>
                <w:szCs w:val="18"/>
                <w:b w:val="1"/>
                <w:bCs w:val="1"/>
                <w:color w:val="auto"/>
              </w:rPr>
            </w:pPr>
            <w:hyperlink w:anchor="page110">
              <w:r>
                <w:rPr>
                  <w:rFonts w:ascii="Arial" w:cs="Arial" w:eastAsia="Arial" w:hAnsi="Arial"/>
                  <w:sz w:val="18"/>
                  <w:szCs w:val="18"/>
                  <w:b w:val="1"/>
                  <w:bCs w:val="1"/>
                  <w:color w:val="auto"/>
                </w:rPr>
                <w:t>Part III</w:t>
              </w:r>
            </w:hyperlink>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05"/>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30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76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108</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4480" w:type="dxa"/>
            <w:vAlign w:val="bottom"/>
            <w:tcBorders>
              <w:top w:val="single" w:sz="8" w:color="0000EE"/>
            </w:tcBorders>
            <w:gridSpan w:val="12"/>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48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30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 and Related Stockholder Matters</w:t>
              </w:r>
            </w:hyperlink>
          </w:p>
        </w:tc>
        <w:tc>
          <w:tcPr>
            <w:tcW w:w="76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108</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1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13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109</w:t>
              </w:r>
            </w:hyperlink>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4"/>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109</w:t>
              </w:r>
            </w:hyperlink>
          </w:p>
        </w:tc>
      </w:tr>
      <w:tr>
        <w:trPr>
          <w:trHeight w:val="466"/>
        </w:trPr>
        <w:tc>
          <w:tcPr>
            <w:tcW w:w="1260" w:type="dxa"/>
            <w:vAlign w:val="bottom"/>
          </w:tcPr>
          <w:p>
            <w:pPr>
              <w:spacing w:after="0"/>
              <w:rPr>
                <w:rFonts w:ascii="Arial" w:cs="Arial" w:eastAsia="Arial" w:hAnsi="Arial"/>
                <w:sz w:val="18"/>
                <w:szCs w:val="18"/>
                <w:b w:val="1"/>
                <w:bCs w:val="1"/>
                <w:color w:val="auto"/>
              </w:rPr>
            </w:pPr>
            <w:hyperlink w:anchor="page112">
              <w:r>
                <w:rPr>
                  <w:rFonts w:ascii="Arial" w:cs="Arial" w:eastAsia="Arial" w:hAnsi="Arial"/>
                  <w:sz w:val="18"/>
                  <w:szCs w:val="18"/>
                  <w:b w:val="1"/>
                  <w:bCs w:val="1"/>
                  <w:color w:val="auto"/>
                </w:rPr>
                <w:t>Part IV</w:t>
              </w:r>
            </w:hyperlink>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05"/>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930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Exhibits, Financial Statement Schedules</w:t>
              </w:r>
            </w:hyperlink>
          </w:p>
        </w:tc>
        <w:tc>
          <w:tcPr>
            <w:tcW w:w="76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Form 10-K Summary</w:t>
              </w:r>
            </w:hyperlink>
          </w:p>
        </w:tc>
        <w:tc>
          <w:tcPr>
            <w:tcW w:w="61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114</w:t>
              </w:r>
            </w:hyperlink>
          </w:p>
        </w:tc>
      </w:tr>
      <w:tr>
        <w:trPr>
          <w:trHeight w:val="426"/>
        </w:trPr>
        <w:tc>
          <w:tcPr>
            <w:tcW w:w="1260" w:type="dxa"/>
            <w:vAlign w:val="bottom"/>
          </w:tcPr>
          <w:p>
            <w:pPr>
              <w:spacing w:after="0"/>
              <w:rPr>
                <w:rFonts w:ascii="Arial" w:cs="Arial" w:eastAsia="Arial" w:hAnsi="Arial"/>
                <w:sz w:val="18"/>
                <w:szCs w:val="18"/>
                <w:b w:val="1"/>
                <w:bCs w:val="1"/>
                <w:color w:val="auto"/>
              </w:rPr>
            </w:pPr>
            <w:hyperlink w:anchor="page117">
              <w:r>
                <w:rPr>
                  <w:rFonts w:ascii="Arial" w:cs="Arial" w:eastAsia="Arial" w:hAnsi="Arial"/>
                  <w:sz w:val="18"/>
                  <w:szCs w:val="18"/>
                  <w:b w:val="1"/>
                  <w:bCs w:val="1"/>
                  <w:color w:val="auto"/>
                </w:rPr>
                <w:t>Signatures</w:t>
              </w:r>
            </w:hyperlink>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115</w:t>
              </w:r>
            </w:hyperlink>
          </w:p>
        </w:tc>
      </w:tr>
    </w:tbl>
    <w:p>
      <w:pPr>
        <w:sectPr>
          <w:pgSz w:w="11900" w:h="16838" w:orient="portrait"/>
          <w:cols w:equalWidth="0" w:num="1">
            <w:col w:w="11320"/>
          </w:cols>
          <w:pgMar w:left="280" w:top="118" w:right="29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3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Leidos Holdings, Inc. ("Leidos"), a Delaware corporation, is a holding company whose direct 100%-owned subsidiary and principal operating company is Leidos, Inc. Leidos was founded in 1969 by physicist Dr. Robert Beyster. Since our founding 50 years ago, we have applied our expertise in science, research and engineering in rapidly evolving technologies and markets to solve complex problems of global concern.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use the terms "Company," "we," "us" and "our" to refer collectively to Leidos Holdings, Inc. and its consolidated subsidiaries.</w:t>
      </w:r>
    </w:p>
    <w:p>
      <w:pPr>
        <w:spacing w:after="0" w:line="11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Leidos is a FORTUNE 500</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science, engineering and information technology company that provides services and solutions in the defense, intelligence, civil and health markets. We bring domain-specific capability and cross-market innovations to customers in each of these markets by leveraging seven core capabilities: enterprise modernization; cyber operations; operations and logistics; mission software systems; integrated systems; sensors and phenomenology; and mission support. Applying our technically advanced solutions to help solve our customers' most difficult problems has enabled us to build strong relationships with key customers. Our domestic customers include the U.S. Department of Defense ("DoD"), the U.S. Intelligence Community, the U.S. Department of Homeland Security ("DHS"), the Federal Aviation Administration ("FAA"), the Department of Veterans Affairs ("VA") and many other U.S. government civilian agencies, as well as state and local government agencies. With a focus on delivering mission-critical solutions, Leidos generated 85% of fiscal 2018 revenues from U.S. government contracts.</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Building on our foundation in offering innovative services and solutions to U.S. government customers, Leidos serves international government and broader commercial markets. Our international customers include foreign governments and their agencies, primarily located in Australia and the United Kingdom ("U.K."). By leveraging expertise in multiple disciplines, tailoring our services and solutions to the particular needs of our targeted markets and using advanced analytics, we work to securely deliver services and solutions that not only meet customers' current goals, but also support their future missions.</w:t>
      </w:r>
    </w:p>
    <w:p>
      <w:pPr>
        <w:spacing w:after="0" w:line="9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fiscal 2017, we completed a business reorganization, which resulted in the identification of new reportable segments. We commenced operating and reporting under the new organization structure effective the beginning of fiscal 2017. As a result of this change, fiscal 2016 segment results and disclosures have been recast to reflect the new reportable segments.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December 28, 2018, our business is aligned into three reportable segments (Defense Solutions, Civil and Health). Additionally, we separately present the costs associated with corporate functions as Corporate. Our operations and reportable segments are organized around the markets served and the nature of the products and services provided to customers in those markets. We provide a wide array of scientific, engineering and technical services and solutions across these reportable segments. Less than 10% of our revenues and tangible long-lived assets are generated by or owned by entities located outside of the 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Solutions</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Defense Solutions is focused on rapidly deploying agile, cost-effective solutions to meet the ever-changing missions of our customers in the areas of intelligence surveillance and reconnaissance ("ISR"), enterprise information technology ("IT"), integrated systems, cybersecurity and global services. We provide a diverse portfolio of national security solutions and systems for air, land, sea, space and cyberspace for the U.S. Intelligence Community, the DoD, military services, DHS, government agencies of U.S. allies abroad and other federal, civilian and commercial customers in the national security industry. Our solutions deliver innovative technology, large-scale intelligence systems, command and control platforms, data analytics, logistics and cybersecurity solutions, as well as intelligence analysis and operations support to critical missions around the world. Defense Solutions represented 48%, 49% and 55% of total revenues for fiscal 2018, 2017 and 2016, respectively.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- 1</w:t>
      </w:r>
    </w:p>
    <w:p>
      <w:pPr>
        <w:sectPr>
          <w:pgSz w:w="11900" w:h="16838" w:orient="portrait"/>
          <w:cols w:equalWidth="0" w:num="1">
            <w:col w:w="11340"/>
          </w:cols>
          <w:pgMar w:left="240" w:top="175" w:right="3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Defense Solutions business offers broad technology, development and integration capabilities and is responsible for leading our efforts in surveillance and reconnaissance, integrated systems solutions and global services for the U.S. Intelligence Community, military commands and other government and commercial customers.</w:t>
      </w:r>
    </w:p>
    <w:p>
      <w:pPr>
        <w:spacing w:after="0" w:line="76" w:lineRule="exact"/>
        <w:rPr>
          <w:sz w:val="20"/>
          <w:szCs w:val="20"/>
          <w:color w:val="auto"/>
        </w:rPr>
      </w:pPr>
    </w:p>
    <w:p>
      <w:pPr>
        <w:ind w:left="660" w:right="2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Surveillance and Reconnaissance – </w:t>
      </w:r>
      <w:r>
        <w:rPr>
          <w:rFonts w:ascii="Arial" w:cs="Arial" w:eastAsia="Arial" w:hAnsi="Arial"/>
          <w:sz w:val="18"/>
          <w:szCs w:val="18"/>
          <w:color w:val="auto"/>
        </w:rPr>
        <w:t>We offer a wide range of technologies in multiple domains that address the nation's most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threats and deliver solutions to the U.S. Intelligence Community, DoD and military services. A primary focus is on the DoD's technology organizations, which include the Defense Advanced Research Projects Agency, Army Research Lab, Air Force Research Lab and Office of Naval Research. Our market concentration is on airborne and ground ISR, maritime systems, electronic warfare systems, distributed sensor systems, autonomous systems and command and control. We provide multi-spectral, airborne, ground and maritime ISR collection and processing systems, advanced sensor design, command and control solutions and training systems.</w:t>
      </w:r>
    </w:p>
    <w:p>
      <w:pPr>
        <w:spacing w:after="0" w:line="74"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Enterprise IT and Integrated Systems – </w:t>
      </w:r>
      <w:r>
        <w:rPr>
          <w:rFonts w:ascii="Arial" w:cs="Arial" w:eastAsia="Arial" w:hAnsi="Arial"/>
          <w:sz w:val="18"/>
          <w:szCs w:val="18"/>
          <w:color w:val="auto"/>
        </w:rPr>
        <w:t>We offer extensive software development capabilities for intelligence and information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mission and enterprise-level solutions to the U.S. and allied Intelligence Community, DoD, military services, DHS and the Australian Department of Defense. Our markets include cybersecurity, data analytics, enterprise IT and operations and logistics. Our cybersecurity solutions detect and manage the most sophisticated cyber threats. We offer innovative data analytics capabilities, and we design, develop, integrate, deploy and support information-centric software and enterprise IT systems for complex, data-driven national security challenges. Our operations and logistics offerings include enterprise platforms that speed the supply chain of highly complex systems.</w:t>
      </w:r>
    </w:p>
    <w:p>
      <w:pPr>
        <w:spacing w:after="0" w:line="81" w:lineRule="exact"/>
        <w:rPr>
          <w:rFonts w:ascii="Arial" w:cs="Arial" w:eastAsia="Arial" w:hAnsi="Arial"/>
          <w:sz w:val="18"/>
          <w:szCs w:val="18"/>
          <w:color w:val="auto"/>
        </w:rPr>
      </w:pPr>
    </w:p>
    <w:p>
      <w:pPr>
        <w:ind w:left="660" w:right="32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Global Services – </w:t>
      </w:r>
      <w:r>
        <w:rPr>
          <w:rFonts w:ascii="Arial" w:cs="Arial" w:eastAsia="Arial" w:hAnsi="Arial"/>
          <w:sz w:val="18"/>
          <w:szCs w:val="18"/>
          <w:color w:val="auto"/>
        </w:rPr>
        <w:t>We provide high-end services to the U.S. Intelligence Community, DoD and federal civilian agencies.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 daily, we provide intelligence analysis, operational support, security, linguistics and training. In addition, we deliver tailored IT services and solutions to our customers across the globe.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Civil business is focused on seamlessly integrating and protecting physical, digital and data domains. By applying leading science, effective technologies and business acumen, our talented employees help customers maximize their performance and take on the connected world with data-driven insights, improved efficiencies and technological advantages. Civil represented 34%, 33% and 29% of total revenues for fiscal 2018, 2017 and 2016, respectively.</w:t>
      </w:r>
    </w:p>
    <w:p>
      <w:pPr>
        <w:spacing w:after="0" w:line="78" w:lineRule="exact"/>
        <w:rPr>
          <w:sz w:val="20"/>
          <w:szCs w:val="20"/>
          <w:color w:val="auto"/>
        </w:rPr>
      </w:pPr>
    </w:p>
    <w:p>
      <w:pPr>
        <w:ind w:left="660" w:right="100" w:hanging="328"/>
        <w:spacing w:after="0" w:line="25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Aviation Solutions – </w:t>
      </w:r>
      <w:r>
        <w:rPr>
          <w:rFonts w:ascii="Arial" w:cs="Arial" w:eastAsia="Arial" w:hAnsi="Arial"/>
          <w:sz w:val="18"/>
          <w:szCs w:val="18"/>
          <w:color w:val="auto"/>
        </w:rPr>
        <w:t>Leidos is a trusted systems integrator serving Air Navigation Service Providers including the FAA,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Security Administration ("TSA") and airport operators. Our work in airport modernization helps stakeholders achieve stated objectives, including increased operational efficiency and safety, a technology enhanced passenger experience, non-aeronautical revenue enablement and state-of-the-art situational awareness and security. Leidos air traffic control systems are used in Air Navigation Service Provider facilities that control more than 60 percent of the world's air traffic. We work diligently to support the FAA's NextGen program with government accepted systems including En Route Automation Modernization, Advanced Technology Oceanic Procedures, Time Based Flow Management and Terminal Flight Data Management. For the National Air Traffic Services system in the U.K., we offer the SkyLine Air Traffic Management suite to enhance safety, improve on-time performance and increase fuel efficiency.</w:t>
      </w:r>
    </w:p>
    <w:p>
      <w:pPr>
        <w:spacing w:after="0" w:line="81" w:lineRule="exact"/>
        <w:rPr>
          <w:rFonts w:ascii="Arial" w:cs="Arial" w:eastAsia="Arial" w:hAnsi="Arial"/>
          <w:sz w:val="18"/>
          <w:szCs w:val="18"/>
          <w:i w:val="1"/>
          <w:iCs w:val="1"/>
          <w:color w:val="auto"/>
        </w:rPr>
      </w:pPr>
    </w:p>
    <w:p>
      <w:pPr>
        <w:ind w:left="660" w:hanging="328"/>
        <w:spacing w:after="0" w:line="25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Security Products – </w:t>
      </w:r>
      <w:r>
        <w:rPr>
          <w:rFonts w:ascii="Arial" w:cs="Arial" w:eastAsia="Arial" w:hAnsi="Arial"/>
          <w:sz w:val="18"/>
          <w:szCs w:val="18"/>
          <w:color w:val="auto"/>
        </w:rPr>
        <w:t>Our Vehicle and Cargo Inspection Systems enable the rapid scanning of vehicles and cargo using patented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that produces a high-quality image using a low radiation dose while using less space and processing higher volumes of cars and trucks than other scanning systems. Our Reveal line of explosive detection systems for checked airline baggage pioneered the "reduced size" segment of this market with small, flexible systems that can be installed at airport check-in counters. We also have a line of radiation detection systems, which are used today at ports, border crossings and industrial facilities around the world – including most ports and border crossings in the United States.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w:t>
      </w:r>
    </w:p>
    <w:p>
      <w:pPr>
        <w:sectPr>
          <w:pgSz w:w="11900" w:h="16838" w:orient="portrait"/>
          <w:cols w:equalWidth="0" w:num="1">
            <w:col w:w="11400"/>
          </w:cols>
          <w:pgMar w:left="240" w:top="175" w:right="25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Enterprise IT Services – </w:t>
      </w:r>
      <w:r>
        <w:rPr>
          <w:rFonts w:ascii="Arial" w:cs="Arial" w:eastAsia="Arial" w:hAnsi="Arial"/>
          <w:sz w:val="18"/>
          <w:szCs w:val="18"/>
          <w:color w:val="auto"/>
        </w:rPr>
        <w:t>We deliver secure, user-centric IT solutions in cloud computing, mobility, application modernization, DevOps,</w:t>
      </w:r>
      <w:r>
        <w:rPr>
          <w:rFonts w:ascii="Arial" w:cs="Arial" w:eastAsia="Arial" w:hAnsi="Arial"/>
          <w:sz w:val="18"/>
          <w:szCs w:val="18"/>
          <w:i w:val="1"/>
          <w:iCs w:val="1"/>
          <w:color w:val="auto"/>
        </w:rPr>
        <w:t xml:space="preserve"> </w:t>
      </w:r>
      <w:r>
        <w:rPr>
          <w:rFonts w:ascii="Arial" w:cs="Arial" w:eastAsia="Arial" w:hAnsi="Arial"/>
          <w:sz w:val="18"/>
          <w:szCs w:val="18"/>
          <w:color w:val="auto"/>
        </w:rPr>
        <w:t>data center and network modernization, asset management, help desk operations and digital workplace enablement. We help our customers achieve their missions and business goals by delivering purpose-built solutions, cybersecurity as a standard, efficient project delivery and end-user satisfaction. Leidos is modernizing enterprise IT for CONUS/OCONUS programs in classified and unclassified environments, including programs with the General Services Administration ("GSA"), the Department of Housing and Urban Development and the Department of Justice.</w:t>
      </w:r>
    </w:p>
    <w:p>
      <w:pPr>
        <w:spacing w:after="0" w:line="74"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Federal Environment and Infrastructure – </w:t>
      </w:r>
      <w:r>
        <w:rPr>
          <w:rFonts w:ascii="Arial" w:cs="Arial" w:eastAsia="Arial" w:hAnsi="Arial"/>
          <w:sz w:val="18"/>
          <w:szCs w:val="18"/>
          <w:color w:val="auto"/>
        </w:rPr>
        <w:t>We are trusted by civilian and defense agencies with substantial environmental and</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driven missions. Our pedigree across environmental management, nuclear security, energy efficiency, infrastructure management, mission support and IT modernization provides the applicable expertise needed to transform operations while modernizing aging infrastructure and maintaining environmental stewardship. We support several of the Department of Energy's largest nuclear production, operations and remediation sites. At Hanford, we provide site-wide infrastructure management and operation including oversight of land and logistics, public works, information technology, fleet transportation, environmental sustainability and compliance, first responder services and future project planning. Our environmental engineers and scientists address all aspects of remediation for soil, groundwater, surface water and sediment, including removal, treatment, bioremediation, containment, resource management, land use and institutional controls, air emission control and monitoring and remedy performance monitoring and reviews, including National Emergency Rapid Response.</w:t>
      </w:r>
    </w:p>
    <w:p>
      <w:pPr>
        <w:spacing w:after="0" w:line="78"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Logistics – </w:t>
      </w:r>
      <w:r>
        <w:rPr>
          <w:rFonts w:ascii="Arial" w:cs="Arial" w:eastAsia="Arial" w:hAnsi="Arial"/>
          <w:sz w:val="18"/>
          <w:szCs w:val="18"/>
          <w:color w:val="auto"/>
        </w:rPr>
        <w:t>Leidos is a global leader in large-scale, complex operations and logistics. Our programs extend from the bottom of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Antarctic ice to the orbiting outpost that is the International Space Station. Our expertise goes beyond supply sourcing, shipping, warehousing and maintenance as we also provide systems engineering, specialized product support, training and field readiness, base operations, data analytics and software development. We are helping our customers, including the United Kingdom Ministry of Defence ("U.K. MoD"), the National Science Foundation ("NSF") and the National Aeronautics and Space Administration ("NASA"), streamline logistics through data analytics so more of their budgets can be applied to their mission activities.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Health business is focused on delivering effective and affordable solutions to federal and commercial customers that are responsible for the health and well-being of people worldwide including service members and veterans. Our solutions enable customers to deliver on the health mission of providing high quality, cost effective care, and are accomplished through the integration of information technology, engineering, health and life sciences, clinical insights and health policy. The capabilities we provide are principally encapsulated by four major areas of activity: complex systems integration, managed health services, enterprise IT transformation and life sciences. Health represented 18% of total revenues for fiscal 2018 and 2017 and 16% of total revenues for fiscal 2016.</w:t>
      </w:r>
    </w:p>
    <w:p>
      <w:pPr>
        <w:spacing w:after="0" w:line="83" w:lineRule="exact"/>
        <w:rPr>
          <w:sz w:val="20"/>
          <w:szCs w:val="20"/>
          <w:color w:val="auto"/>
        </w:rPr>
      </w:pPr>
    </w:p>
    <w:p>
      <w:pPr>
        <w:ind w:left="660" w:right="2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Complex Systems Integration </w:t>
      </w:r>
      <w:r>
        <w:rPr>
          <w:rFonts w:ascii="Arial" w:cs="Arial" w:eastAsia="Arial" w:hAnsi="Arial"/>
          <w:sz w:val="18"/>
          <w:szCs w:val="18"/>
          <w:color w:val="auto"/>
        </w:rPr>
        <w:t>– Leidos employs whole-systems thinking in fielding applied technology solutions across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continuum of care. We are working as the lead systems integrator deploying the next generation electronic health records system to DoD hospitals and treatment facilities worldwide, responsible for architecture, cyber and complex systems integration. We provide information technology solutions to the VA, National Institutes of Health, DoD and other government customers. Commercially, we are one of the largest systems integration and staff support firms for hospitals deploying modern electronic health records, and combined with our federal work, Leidos has a significant presence in electronic health record implementation, optimization and support. In addition, we provide consulting, platform integration services and support across a broad range of health operational activities including value based care enablement solutions, IT strategy, revenue cycle management, accountable care transformation, risk management, technology infrastructure and project management. Our teams are staffed with clinical subject matter experts who draw upon their deep experience and knowledge of healthcare and IT systems.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w:t>
      </w:r>
    </w:p>
    <w:p>
      <w:pPr>
        <w:sectPr>
          <w:pgSz w:w="11900" w:h="16838" w:orient="portrait"/>
          <w:cols w:equalWidth="0" w:num="1">
            <w:col w:w="11420"/>
          </w:cols>
          <w:pgMar w:left="240" w:top="175"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right="10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Managed Health Services </w:t>
      </w:r>
      <w:r>
        <w:rPr>
          <w:rFonts w:ascii="Arial" w:cs="Arial" w:eastAsia="Arial" w:hAnsi="Arial"/>
          <w:sz w:val="18"/>
          <w:szCs w:val="18"/>
          <w:color w:val="auto"/>
        </w:rPr>
        <w:t>– We deploy a national footprint of health clinics and health providers to support care delivery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medical disability examinations for the Veterans Administration (including behavioral assessments), as well as serving other independent medical exam markets. We have developed unique capabilities in behavioral health management through many decades of experience with a special emphasis on substance abuse services. Our managed health services activities leverage our IT and mission enablement capabilities which underpin solutions we offer to our customers across all of our served markets.</w:t>
      </w:r>
    </w:p>
    <w:p>
      <w:pPr>
        <w:spacing w:after="0" w:line="75" w:lineRule="exact"/>
        <w:rPr>
          <w:rFonts w:ascii="Arial" w:cs="Arial" w:eastAsia="Arial" w:hAnsi="Arial"/>
          <w:sz w:val="18"/>
          <w:szCs w:val="18"/>
          <w:color w:val="auto"/>
        </w:rPr>
      </w:pPr>
    </w:p>
    <w:p>
      <w:pPr>
        <w:ind w:left="660" w:right="18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Enterprise IT Transformation </w:t>
      </w:r>
      <w:r>
        <w:rPr>
          <w:rFonts w:ascii="Arial" w:cs="Arial" w:eastAsia="Arial" w:hAnsi="Arial"/>
          <w:sz w:val="18"/>
          <w:szCs w:val="18"/>
          <w:color w:val="auto"/>
        </w:rPr>
        <w:t>– We manage the entire lifecycle of the IT journey for our customers. Our expertise includes IT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outsourcing and management of large scale data centers, agile software development and system transformation, cloud migration and application modernization, digitization and advanced analytics. Our customers include the Centers for Medicare &amp; Medicaid Services, Food and Drug Administration, Social Security Administration, VA and commercial customers. Leidos helps transform our customers' IT environments in support of their most critical missions. All of this is accomplished in a highly secure manner by leveraging our cybersecurity capabilities.</w:t>
      </w:r>
    </w:p>
    <w:p>
      <w:pPr>
        <w:spacing w:after="0" w:line="74" w:lineRule="exact"/>
        <w:rPr>
          <w:rFonts w:ascii="Arial" w:cs="Arial" w:eastAsia="Arial" w:hAnsi="Arial"/>
          <w:sz w:val="18"/>
          <w:szCs w:val="18"/>
          <w:color w:val="auto"/>
        </w:rPr>
      </w:pPr>
    </w:p>
    <w:p>
      <w:pPr>
        <w:ind w:left="660" w:right="8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Life Sciences – </w:t>
      </w:r>
      <w:r>
        <w:rPr>
          <w:rFonts w:ascii="Arial" w:cs="Arial" w:eastAsia="Arial" w:hAnsi="Arial"/>
          <w:sz w:val="18"/>
          <w:szCs w:val="18"/>
          <w:color w:val="auto"/>
        </w:rPr>
        <w:t>We provide life science research and development support to the National Institutes of Health, Center for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Army Medical Research community, commercial biotech companies and the Frederick National Laboratory for Cancer Research, where we employ approximately 2,300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From the biomedical sciences to implementing and optimizing electronic health records to enabling providers to perform care coordination and population health management, Leidos is pioneering the use of systems integration principles, processes and technologies to transform the health industry’s evolution towards better quality, more cost-effective and safe care.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3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Corporate includes the operations of various corporate activities, certain expense items that are not reimbursed by our U.S. government customers and certain other expense items excluded from a reportable segment's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16, 2016, a wholly-owned subsidiary of Leidos Holdings, Inc. merged with the Information Systems &amp; Global Solutions business (the "IS&amp;GS Business") of Lockheed Martin Corporation in a Reverse Morris Trust transaction. See "Management's Discussion and Analysis of Financial Condition and Results of Operations–Lockheed Martin Transaction" and "Note 6—Acquisitions" in Part II of this Annual Report on Form 10-K for a further description of the Lockheed Martin Transaction.</w:t>
      </w:r>
    </w:p>
    <w:p>
      <w:pPr>
        <w:spacing w:after="0" w:line="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fiscal 2016, we divested of our heavy construction business. For further information, see "Note 7—Divestitures" in Part II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Substantially all of our revenues are generated in the United States. Our consolidated revenues are largely attributable to prime contracts or to subcontracts with other contractors engaged in work for the U.S. government, with the remaining attributable to international customers, including the U.K. MoD and Australian Department of Defense, and customers across a variety of commercial markets. Within the U.S. government, our revenues are diversified across many agencies, including various intelligence agencies, the U.S. Army, Navy and Air Force, DHS, FAA, TSA, the Defense Health Agency, VA, Department of Health and Human Services, NASA, NSF, the Environmental Protection Agency and research agencies such as the Defense Advanced Research Projects Agency.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w:t>
      </w:r>
    </w:p>
    <w:p>
      <w:pPr>
        <w:sectPr>
          <w:pgSz w:w="11900" w:h="16838" w:orient="portrait"/>
          <w:cols w:equalWidth="0" w:num="1">
            <w:col w:w="11400"/>
          </w:cols>
          <w:pgMar w:left="240" w:top="175" w:right="2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percentage of total revenues for the U.S. government, its agencies and other customers comprising more than 10% of consolidated revenues for the periods presented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Year Ended</w:t>
            </w:r>
          </w:p>
        </w:tc>
        <w:tc>
          <w:tcPr>
            <w:tcW w:w="1760" w:type="dxa"/>
            <w:vAlign w:val="bottom"/>
            <w:tcBorders>
              <w:bottom w:val="single" w:sz="8" w:color="auto"/>
            </w:tcBorders>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left="288"/>
              <w:spacing w:after="0"/>
              <w:rPr>
                <w:sz w:val="20"/>
                <w:szCs w:val="20"/>
                <w:color w:val="auto"/>
              </w:rPr>
            </w:pPr>
            <w:r>
              <w:rPr>
                <w:rFonts w:ascii="Arial" w:cs="Arial" w:eastAsia="Arial" w:hAnsi="Arial"/>
                <w:sz w:val="14"/>
                <w:szCs w:val="14"/>
                <w:b w:val="1"/>
                <w:bCs w:val="1"/>
                <w:color w:val="auto"/>
              </w:rPr>
              <w:t>December 28,</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color w:val="auto"/>
              </w:rPr>
              <w:t>December 29,</w:t>
            </w:r>
          </w:p>
        </w:tc>
        <w:tc>
          <w:tcPr>
            <w:tcW w:w="1760" w:type="dxa"/>
            <w:vAlign w:val="bottom"/>
          </w:tcPr>
          <w:p>
            <w:pPr>
              <w:jc w:val="right"/>
              <w:ind w:right="377"/>
              <w:spacing w:after="0"/>
              <w:rPr>
                <w:sz w:val="20"/>
                <w:szCs w:val="20"/>
                <w:color w:val="auto"/>
              </w:rPr>
            </w:pPr>
            <w:r>
              <w:rPr>
                <w:rFonts w:ascii="Arial" w:cs="Arial" w:eastAsia="Arial" w:hAnsi="Arial"/>
                <w:sz w:val="14"/>
                <w:szCs w:val="14"/>
                <w:color w:val="auto"/>
              </w:rPr>
              <w:t>December 30,</w:t>
            </w:r>
          </w:p>
        </w:tc>
      </w:tr>
      <w:tr>
        <w:trPr>
          <w:trHeight w:val="196"/>
        </w:trPr>
        <w:tc>
          <w:tcPr>
            <w:tcW w:w="5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2016</w:t>
            </w:r>
          </w:p>
        </w:tc>
      </w:tr>
      <w:tr>
        <w:trPr>
          <w:trHeight w:val="256"/>
        </w:trPr>
        <w:tc>
          <w:tcPr>
            <w:tcW w:w="7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U.S. Government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85%</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7260" w:type="dxa"/>
            <w:vAlign w:val="bottom"/>
            <w:gridSpan w:val="3"/>
          </w:tcPr>
          <w:p>
            <w:pPr>
              <w:ind w:left="280"/>
              <w:spacing w:after="0"/>
              <w:rPr>
                <w:sz w:val="20"/>
                <w:szCs w:val="20"/>
                <w:color w:val="auto"/>
              </w:rPr>
            </w:pPr>
            <w:r>
              <w:rPr>
                <w:rFonts w:ascii="Arial" w:cs="Arial" w:eastAsia="Arial" w:hAnsi="Arial"/>
                <w:sz w:val="18"/>
                <w:szCs w:val="18"/>
                <w:color w:val="auto"/>
              </w:rPr>
              <w:t>U.S. DoD</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47%</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7"/>
        </w:trPr>
        <w:tc>
          <w:tcPr>
            <w:tcW w:w="72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U.S. Army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10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of December 28, 2018, we employed approximately 32,000 full and part-time employees in more than 30 countries worldwide. The experience and expertise of our employees makes Leidos capable of solving our customers' most challenging technical problems. Approximately 38% of our employees have degrees in science, technology, engineering or mathematics fields, nearly 1,000 employees have doctoral degrees, approximately 39% of our employees possess security clearances and approximately 22% of our employees are military veterans.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conduct research and development activities under customer-funded contracts and with company-funded internal research and development ("IR&amp;D") funds. IR&amp;D efforts consist of projects involving basic research, applied research, development and systems and other concept formulation studies. IR&amp;D expenses are included in selling, general and administrative expenses and are generally allocated to U.S. government contracts. For fiscal 2018, 2017 and 2016, our company-funded IR&amp;D expense was $46 million, $42 million and $44 million, respectively, which as a percentage of consolidated revenues was 0.5%, 0.4% and 0.6%, respectively. We charge expenses for research and development activities performed under customer contracts directly to cost of revenues for those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in confidence as trade secrets, using non-disclosure agreements, contracts and other definitive agreements. We selectively pursue opportunities to license or transfer our technologies to third parties.</w:t>
      </w:r>
    </w:p>
    <w:p>
      <w:pPr>
        <w:spacing w:after="0" w:line="9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In connection with the performance of services and solutions,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generally obtains rights to use the programs and products that we deliver under the subcontract to perform its prime contract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Competition for contracts is significant, and we often compete against a large number of well established corporations that may have greater name and brand recognition. We also compete against smaller, more specialized companies that concentrate their resources on particular areas, as well as the U.S. government’s own capabilities and federal non-profit contract research centers. As a result of the diverse requirements of the U.S. government and our commercial customers, we frequently collaborate with other companies to compete for large contracts and bid against these same companies in other situations.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w:t>
      </w:r>
    </w:p>
    <w:p>
      <w:pPr>
        <w:sectPr>
          <w:pgSz w:w="11900" w:h="16838" w:orient="portrait"/>
          <w:cols w:equalWidth="0" w:num="1">
            <w:col w:w="11420"/>
          </w:cols>
          <w:pgMar w:left="240" w:top="175"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that our principal competitors currently include the following companies: BAE Systems plc, Booz Allen Hamilton Inc., CACI International Inc., General Dynamics Corporation, L3 Technologies, Lockheed Martin Corporation, ManTech International Corporation, Northrop Grumman Corporation, Perspecta Inc., Raytheon Company and SAIC. These companies span across sectors that include engineering and technical services divisions of large defense contractors, diversified U.S. and international IT providers and contractors focused solely on technical services, supply chain management, other logistics services and major systems operations and maintenance, homeland security and health solutions.</w:t>
      </w:r>
    </w:p>
    <w:p>
      <w:pPr>
        <w:spacing w:after="0" w:line="10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compete on various factors, including our technical expertise and qualified professional and/or security-cleared personnel; our ability to deliver innovative cost-effective solutions in a timely manner; successful program execution; our reputation and standing with customers; pricing; and the size and geographic presence of our company.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 has indicated that it intends to increase competition for future procurement of products and services, which has led to fewer sole source awards and more emphasis on cost-competitiveness and affordability. The U.S. government is also committed to maintaining a socioeconomically diverse base of suppliers, which may lead to contracts being set aside for smaller businesses.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Procurement</w:t>
      </w:r>
    </w:p>
    <w:p>
      <w:pPr>
        <w:spacing w:after="0" w:line="13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 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the following:</w:t>
      </w:r>
    </w:p>
    <w:p>
      <w:pPr>
        <w:spacing w:after="0" w:line="99" w:lineRule="exact"/>
        <w:rPr>
          <w:sz w:val="20"/>
          <w:szCs w:val="20"/>
          <w:color w:val="auto"/>
        </w:rPr>
      </w:pPr>
    </w:p>
    <w:p>
      <w:pPr>
        <w:ind w:left="660" w:right="12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Definitive Award Contracts. U.S. government agencies may procure services and products through single definitive award contracts which specify the scope of services or products purchased and identify the contractor that will provide the specified services or products. When an agency has a requirement, the agency will issue a solicitation or request for proposal to which interested contractors can submit a proposal.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85" w:lineRule="exact"/>
        <w:rPr>
          <w:rFonts w:ascii="Arial" w:cs="Arial" w:eastAsia="Arial" w:hAnsi="Arial"/>
          <w:sz w:val="17"/>
          <w:szCs w:val="17"/>
          <w:color w:val="auto"/>
        </w:rPr>
      </w:pPr>
    </w:p>
    <w:p>
      <w:pPr>
        <w:ind w:left="660" w:right="20" w:hanging="328"/>
        <w:spacing w:after="0" w:line="25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Indefinite Delivery/Indefinite Quantity ("IDIQ") Contracts. The U.S. government uses IDIQ contracts to obtain commitments from contractors to 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single-award IDIQ contract, all task orders under that contract are awarded to one pre-established contractor. Under a multiple-award IDIQ contract, task orders can be awarded to any of the pre-established contractors, which can result in further limited competition for the award of task orders.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the contractor from which such purchases may be made.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w:t>
      </w:r>
    </w:p>
    <w:p>
      <w:pPr>
        <w:sectPr>
          <w:pgSz w:w="11900" w:h="16838" w:orient="portrait"/>
          <w:cols w:equalWidth="0" w:num="1">
            <w:col w:w="11420"/>
          </w:cols>
          <w:pgMar w:left="240" w:top="175"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right="2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GSA Schedule Contracts. The GSA maintains listings of approved suppliers of services and 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often partner with other companies, including our competitors, to submit bids for large U.S. government procurements or other opportunities where we believe that the combination of services and products that we can provide as a team will help us win and perform the contract. Our relationships with our partners, including whether we serve as the prime contractor or as a subcontractor, vary with each contract opportunity and typically depend on the program, contract or customer requirements, as well as the relative size, qualifications, capabilities, customer relationships and experience of our company and our partners.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Contracting with the U.S. government also subjects us to substantial regulation and unique risks, including the U.S. government’s ability to cancel any contract at any time through a termination for the convenience of the U.S. government. Most of our contracts have cancellation terms that would permit us to recover all or a portion of our incurred costs and fees for work performed where the U.S. government issues a termination for convenience. These regulations and risks are described in more detail below under "Business–Regulation" and "Risk Factors"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Types</w:t>
      </w:r>
    </w:p>
    <w:p>
      <w:pPr>
        <w:spacing w:after="0" w:line="139"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97" w:lineRule="exact"/>
        <w:rPr>
          <w:sz w:val="20"/>
          <w:szCs w:val="20"/>
          <w:color w:val="auto"/>
        </w:rPr>
      </w:pPr>
    </w:p>
    <w:p>
      <w:pPr>
        <w:ind w:left="660" w:hanging="328"/>
        <w:spacing w:after="0" w:line="25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Cost-reimbursement contracts include cost-plus-fixed-fee, award-fee and incentive</w:t>
      </w:r>
      <w:r>
        <w:rPr>
          <w:rFonts w:ascii="Arial" w:cs="Arial" w:eastAsia="Arial" w:hAnsi="Arial"/>
          <w:sz w:val="18"/>
          <w:szCs w:val="18"/>
          <w:color w:val="1F497D"/>
        </w:rPr>
        <w:t>-</w:t>
      </w:r>
      <w:r>
        <w:rPr>
          <w:rFonts w:ascii="Arial" w:cs="Arial" w:eastAsia="Arial" w:hAnsi="Arial"/>
          <w:sz w:val="18"/>
          <w:szCs w:val="18"/>
          <w:color w:val="auto"/>
        </w:rPr>
        <w:t>fee contracts. These contracts provide for reimbursement of our direct contract costs and allocable indirect costs, plus a fee. These contracts are generally used when uncertainties involved in contract performance do not permit costs to be estimated with sufficient accuracy to use a fixed-price contract. Cost-reimbursement contracts generally subject us to lower risk but generally require us to use our best efforts to accomplish the scope of the work within a specified time and budget. Award and incentive fees are generally based on performance criteria such as cost, schedule, quality and/or technical performance. Award fees are determined and earned based on customer evaluation of the company's performance against contractual criteria. Incentive fees that are based on cost provide for an initially negotiated fee to be adjusted later, typically using a formula to measure performance against the associated criteria, based on the relationship of total allowable costs to total target costs.</w:t>
      </w:r>
    </w:p>
    <w:p>
      <w:pPr>
        <w:spacing w:after="0" w:line="104" w:lineRule="exact"/>
        <w:rPr>
          <w:rFonts w:ascii="Arial" w:cs="Arial" w:eastAsia="Arial" w:hAnsi="Arial"/>
          <w:sz w:val="18"/>
          <w:szCs w:val="18"/>
          <w:color w:val="auto"/>
        </w:rPr>
      </w:pPr>
    </w:p>
    <w:p>
      <w:pPr>
        <w:ind w:left="660" w:right="18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Fixed-price-incentive-fee ("FP-IF") contracts are substantially similar to cost-plus-incentive-fee contracts except they require specified targets for cost and profit, price ceiling (but not a profit ceiling or floor) and profit adjustment formula. Under an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w:t>
      </w:r>
    </w:p>
    <w:p>
      <w:pPr>
        <w:sectPr>
          <w:pgSz w:w="11900" w:h="16838" w:orient="portrait"/>
          <w:cols w:equalWidth="0" w:num="1">
            <w:col w:w="11420"/>
          </w:cols>
          <w:pgMar w:left="240" w:top="175"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about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97"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Fixed-price-level-of-effort ("FP-LOE") contracts are substantially similar to T&amp;M contracts except they require a specified level of effort over a stated period 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96"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Firm-fixed-price ("FFP") contracts provide for a fixed price for specified products, systems and/or services. This type of contract is generally used when the government acquires products and services on the basis of reasonably definitive specifications and which have a determinable fair and reasonable price. These contracts offer us potential increased profits if we can complete the work at lower costs than planned. While FFP contracts allow us to benefit from cost savings, these contracts also increase our exposure to the risk of cost overruns.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and the nature of services or products provided, as well as the achievement of performance objectives and the stage of performance at which the right to receive fees, particularly under incentive-fee and award-fee contracts, is finally determined. Cost-reimbursement and T&amp;M contracts generally have lower profitability than FFP contracts.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Backlog includes priced option periods not yet exercised. We expect to recognize a substantial portion of our funded backlog from U.S. government customers as revenues within the next 12 months. However, the U.S. government may cancel any contract at any time through a termination for the convenience of the U.S. government. In addition, certain contracts with commercial or non-U.S. federal government customers included in funded backlog may include provisions that allow the customer to cancel at any time. Many of our contracts have cancellation terms that would permit us to recover all or a portion of our incurred costs and fees for work performed. For additional discussion and analysis of backlog, see "Results of Operations—Bookings and Backlog" in "Management's Discussion and Analysis of Financial Condition and Results of Operations" in Part II of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timeframe leading up to the end of its fiscal year in order to avoid the loss of unexpended fiscal year funds, which may favorably impact our third fiscal quarter. In addition, our quarterly results may be impacted by the number of working days in a given quarter. We tend to generate less revenue from our labor services during the fourth quarter as a result of the holiday season. For selected quarterly financial data, see "Selected Quarterly Financial Data" in Part II of this Annual Report on Form 10-K.</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w:t>
      </w:r>
    </w:p>
    <w:p>
      <w:pPr>
        <w:sectPr>
          <w:pgSz w:w="11900" w:h="16838" w:orient="portrait"/>
          <w:cols w:equalWidth="0" w:num="1">
            <w:col w:w="11400"/>
          </w:cols>
          <w:pgMar w:left="240" w:top="175"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heavily regulated in most of the fields in which we operate. We provide services and products to numerous U.S. government agencies and entities, including to the DoD, the U.S. Intelligence Community and the DHS. When working with these and other U.S. government agencies and entities, we must comply with various laws and regulations relating to the formation, administration and performance of contracts. U.S. government contracts generally are subject to the Federal Acquisition Regulation ("FAR"), which sets forth policies, procedures and requirements for the acquisition of goods and services by the U.S. government, agency-specific regulations that implement or supplement the FAR, such as the Department of Defense Federal Acquisition Regulation Supplement,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10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certification and disclosure of all cost and pricing data in connection with certain contract negotiations;</w:t>
      </w:r>
    </w:p>
    <w:p>
      <w:pPr>
        <w:spacing w:after="0" w:line="117"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define allowable and unallowable costs and otherwise govern our right to reimbursement under various cost-type U.S. government contracts;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compliance with U.S. government Cost Accounting Standards ("CAS");</w:t>
      </w:r>
    </w:p>
    <w:p>
      <w:pPr>
        <w:spacing w:after="0" w:line="117"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reviews by the Defense Contract Audit Agency ("DCAA"), Defense Contract Management Agency ("DCMA") and other U.S. government agencies of compliance with government requirements for a contractor’s business systems;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the use and dissemination of and require the protection of unclassified contract-related information and information classified for national security purposes and the export of certain products and technical data; and</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not to compete for work if an actual or potential organizational conflict of interest, as defined by these laws and regulations, related to such work exists and/or cannot be appropriately mitigated, neutralized or avoided.</w:t>
      </w:r>
    </w:p>
    <w:p>
      <w:pPr>
        <w:spacing w:after="0" w:line="8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complex laws and regulations, all of our employees are required to complete ethics and other compliance trainings relevant to their position.</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Some of our operations and service offerings involve access to and use by us of personally identifiable information and/or protected health information. These activities are regulated by extensive federal, state and international privacy and data security laws requiring organizations to provide certain privacy protections and security safeguards for such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See "Risk Factors" in this Annual Report on Form 10-K for further details.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and Information</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Our website can be accessed at </w:t>
      </w:r>
      <w:r>
        <w:rPr>
          <w:rFonts w:ascii="Arial" w:cs="Arial" w:eastAsia="Arial" w:hAnsi="Arial"/>
          <w:sz w:val="18"/>
          <w:szCs w:val="18"/>
          <w:i w:val="1"/>
          <w:iCs w:val="1"/>
          <w:color w:val="auto"/>
        </w:rPr>
        <w:t>www.leidos.com</w:t>
      </w:r>
      <w:r>
        <w:rPr>
          <w:rFonts w:ascii="Arial" w:cs="Arial" w:eastAsia="Arial" w:hAnsi="Arial"/>
          <w:sz w:val="18"/>
          <w:szCs w:val="18"/>
          <w:color w:val="auto"/>
        </w:rPr>
        <w:t>. The website contains information about our company and operations. Through a link on the Investor Relations section of our website, copies of each of our filings with the U.S. Securities and Exchange Commission ("SEC") on Form 10-K, Form 10-Q and Form 8-K, and all amendments to those reports, can be viewed and downloaded free of charge as soon as reasonably practicable after the reports and amendments are electronically filed with or furnished to the SEC. The information on our website is not incorporated by reference into and is not a part of this Annual Report on Form 10-K.</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w:t>
      </w:r>
    </w:p>
    <w:p>
      <w:pPr>
        <w:sectPr>
          <w:pgSz w:w="11900" w:h="16838" w:orient="portrait"/>
          <w:cols w:equalWidth="0" w:num="1">
            <w:col w:w="11420"/>
          </w:cols>
          <w:pgMar w:left="240" w:top="175"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You may request a copy of the materials identified in the preceding paragraph, at no cost, by writing or telephoning us at our corporate headquarters at the following:</w:t>
      </w:r>
    </w:p>
    <w:p>
      <w:pPr>
        <w:spacing w:after="0" w:line="6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Leidos Holdings,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Reston, VA 20190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 (571) 526-6000</w:t>
      </w:r>
    </w:p>
    <w:p>
      <w:pPr>
        <w:spacing w:after="0" w:line="255"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Leidos Holdings, Inc. Annual Report - 10</w:t>
      </w:r>
    </w:p>
    <w:p>
      <w:pPr>
        <w:sectPr>
          <w:pgSz w:w="11900" w:h="16838" w:orient="portrait"/>
          <w:cols w:equalWidth="0" w:num="1">
            <w:col w:w="10680"/>
          </w:cols>
          <w:pgMar w:left="240" w:top="175" w:right="97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the price of our stock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and exchange rates,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and result in a decline in the price of our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depend on government agencies as our primary customer and if our reputation or relationships with these agencies were harmed, our future revenues and growth prospects would be adversely affected.</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generated 85%, 84% and 81% of our total revenues during fiscal 2018, 2017 and 2016, respectively, from contracts with the U.S. government (including all branches of the U.S. military), either as a prime contractor or a subcontractor to other contractors engaged in work for the U.S. government. We generated more than 10% of our total revenues during fiscal 2018, 2017 and 2016 from the U.S. Army.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our revenues. Negative press reports or publicity, which could pertain to employee or subcontractor misconduct; conflicts of interest; poor contract performance; deficiencies in services, reports, products or other deliverables; information security breaches or other aspects of our business, regardless of accuracy, could harm our reputation, particularly with these agencies. If our reputation is negatively affected, or if we are suspended or debarred from contracting with government agencies for any reason, the amount of business with government and other customers would decrease and our future revenues and growth prospects would be adversely affected.</w:t>
      </w:r>
    </w:p>
    <w:p>
      <w:pPr>
        <w:spacing w:after="0" w:line="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decline in the U.S. government budget, changes in spending or budgetary priorities or delays in contract awards may significantly and adversely affect our future revenues and limit our growth prospects.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Revenues under contracts with the DoD, either as a prime contractor or subcontractor to other contractors, represented approximately 47% of our total revenues for fiscal 2018 and 2017 and 56% of our total revenues for fiscal 2016. Levels of U.S. government and DoD spending are difficult to predict and subject to significant risk. Our operating results could be adversely affected by spending caps or changes in the budgetary priorities of the U.S. government or the DoD, as well as delays in program starts or the award of contracts or task orders under contracts. Current U.S. government spending levels for defense-related or other programs may not be sustained and future spending and program authorizations may not increase or may decrease or shift to programs in areas in which we do not provide services or are less likely to be awarded contracts. Such changes in spending authorizations and budgetary priorities may occur as a result of uncertainty surrounding the federal budget, increasing political pressure and legislation, shifts in spending priorities from defense-related or other programs as a result of competing demands for federal funds, the number and intensity of military conflicts or other factors.</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or other budgetary priorities, reduce overall U.S. government spending or delay contract or task order awards for defense-related or other programs, including programs from which we expect to derive a significant portion of our future revenues. In addition, changes to the federal or DoD acquisition system and contracting models could affect whether and how we pursue certain opportunities and the terms under which we are able to do so.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or task order awards for large programs could adversely affect our future revenues and limit our growth prospects.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w:t>
      </w:r>
    </w:p>
    <w:p>
      <w:pPr>
        <w:sectPr>
          <w:pgSz w:w="11900" w:h="16838" w:orient="portrait"/>
          <w:cols w:equalWidth="0" w:num="1">
            <w:col w:w="11400"/>
          </w:cols>
          <w:pgMar w:left="240" w:top="175" w:right="2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b w:val="1"/>
          <w:bCs w:val="1"/>
          <w:i w:val="1"/>
          <w:iCs w:val="1"/>
          <w:color w:val="auto"/>
        </w:rPr>
        <w:t>Because we depend on U.S. government contracts, a delay in the completion of the U.S. government's budget and appropriation process could delay procurement of the products, services and solutions we provide and have an adverse effect on our future revenues.</w:t>
      </w:r>
    </w:p>
    <w:p>
      <w:pPr>
        <w:spacing w:after="0" w:line="8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funding of U.S. government programs is subject to an annual congressional budget authorization and appropriations process. In years when the U.S. government does not complete its appropriations before the beginning of the new fiscal year on October 1, government operations are typically funded pursuant to a "continuing resolution," which allows federal government agencies to operate at spending levels approved in the previous appropriations cycle, but does not authorize new spending initiatives. When the U.S. government operates under a continuing resolution, delays can occur in the procurement of the products, services and solutions that we provide and may result in new initiatives being canceled. We have from time to time experienced a decline in revenues in our fourth quarter as a result of this annual appropriations cycle, and we could experience similar declines in revenues from future delays in the appropriations process. When the U.S. government fails to complete its appropriations process or to provide for a continuing resolution, a full or partial federal government shutdown may result. A federal government shutdown could, in turn, result in our incurrence of substantial labor or other costs without reimbursement under customer contracts, the delay or cancellation of key programs or the delay of contract payments, which could have a negative effect on our cash flows and adversely affect our future results. In addition, when supplemental appropriations are required to operate the U.S. government or fund specific programs and passage of legislation needed to approve any supplemental appropriations bill is delayed, the overall funding environment for our business could be adversely affected. For additional discussion and analysis of the potential of an ongoing U.S. government shutdown, see "Business Environment and Trends" in "Management's Discussion and Analysis of Financial Condition and Results of Operations" in Part II of this Annual Report on Form 10-K.</w:t>
      </w:r>
    </w:p>
    <w:p>
      <w:pPr>
        <w:spacing w:after="0" w:line="80" w:lineRule="exact"/>
        <w:rPr>
          <w:sz w:val="20"/>
          <w:szCs w:val="20"/>
          <w:color w:val="auto"/>
        </w:rPr>
      </w:pPr>
    </w:p>
    <w:p>
      <w:pPr>
        <w:jc w:val="both"/>
        <w:ind w:right="540"/>
        <w:spacing w:after="0" w:line="269"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U.S. government contracts, which affect how we do business with our customers and may impose added costs on our business. Some significant statutes and regulations that affect us include:</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FAR and supplements, which regulate the formation, administration and performance of U.S. government contracts;</w:t>
      </w:r>
    </w:p>
    <w:p>
      <w:pPr>
        <w:spacing w:after="0" w:line="11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certain contract negotiations;</w:t>
      </w:r>
    </w:p>
    <w:p>
      <w:pPr>
        <w:spacing w:after="0" w:line="88"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government source selection information and our ability to provide compensation to certain former government officials;</w:t>
      </w:r>
    </w:p>
    <w:p>
      <w:pPr>
        <w:spacing w:after="0" w:line="88"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Civil False Claims Act, which provides for substantial civil penalties for violations, including for submission of a false or fraudulent claim to the U.S. government for payment or approval; and</w:t>
      </w:r>
    </w:p>
    <w:p>
      <w:pPr>
        <w:spacing w:after="0" w:line="8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government CAS, which imposes accounting requirements that govern our right to reimbursement under certain cost-based U.S. government contracts.</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FAR and many of our U.S. government contracts contain organizational conflict of interest clauses that may limit our ability to compete for or perform certain other contracts or other types of services for particular customers. Organizational conflicts of interest arise when we engage in activities that may make us unable to render impartial assistance or advice to the U.S. government, impair our objectivity in performing contract work or provide us with an unfair competitive advantage. A conflict of interest issue that precludes our competition for or performance on a significant program or contract could harm our prospects.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- 12</w:t>
      </w:r>
    </w:p>
    <w:p>
      <w:pPr>
        <w:sectPr>
          <w:pgSz w:w="11900" w:h="16838" w:orient="portrait"/>
          <w:cols w:equalWidth="0" w:num="1">
            <w:col w:w="11400"/>
          </w:cols>
          <w:pgMar w:left="240" w:top="175" w:right="2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U.S. government may adopt new contract rules and regulations or revise its procurement practices in a manner adverse to us at any time.</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industry has experienced, and we expect it will continue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as well as any resulting shifts in the buying practices of U.S. government agencies, such as increased usage of fixed-price contracts, multiple-award contracts and small business set-aside contracts, could have adverse effects on government contractors, including us. Any of these changes could impair our ability to obtain new contracts or renew our existing contracts when those contracts are recompeted. Any new contracting requirements or procurement methods could be costly or administratively difficult for us to implement and could adversely affect our future revenues, profitability and prospects.</w:t>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business is subject to reviews, audits and cost adjustments by the U.S. government, which, if resolved unfavorably to us, could adversely affect our profitability, cash position or growth prospects.</w:t>
      </w:r>
    </w:p>
    <w:p>
      <w:pPr>
        <w:spacing w:after="0" w:line="6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U.S. government agencies, including the DCAA, DCMA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Both contractors and the U.S. government agencies conducting these audits and reviews have come under increased scrutiny. As a result, the current audits and reviews have become more rigorous and the standards to which we are held are being more strictly interpreted, increasing the likelihood of an audit or review resulting in an adverse outcome. During the course of its current audits, the DCAA is closely examining and questioning several of our long established and disclosed practices that it had previously audited and accepted, increasing the uncertainty as to the ultimate conclusion that will be reached.</w:t>
      </w:r>
    </w:p>
    <w:p>
      <w:pPr>
        <w:spacing w:after="0" w:line="9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finding of significant control deficiencies in our system audits or other reviews can result in decremented billing rates to our U.S. government customers until the control deficiencies are corrected and our remediations are accepted by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business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28, 2018, indirect cost audits by the DCAA remain open for fiscal 2013 and subsequent fiscal years. Although we have recorded contract revenues based upon our estimate of costs that we believe will be approved upon final audit or review, we cannot predict the outcome of any ongoing or future audits or reviews and adjustments and, if future adjustments exceed our estimates, our profitability may be adversely affected.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- 13</w:t>
      </w:r>
    </w:p>
    <w:p>
      <w:pPr>
        <w:sectPr>
          <w:pgSz w:w="11900" w:h="16838" w:orient="portrait"/>
          <w:cols w:equalWidth="0" w:num="1">
            <w:col w:w="11400"/>
          </w:cols>
          <w:pgMar w:left="240" w:top="175" w:right="2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business is subject to governmental review and investigation which could adversely affect our financial position, operating results and growth prospects.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routinely subject to governmental investigations relating to compliance with various laws and regulations with respect to our role as a contractor to federal, state and local government customers and in connection with performing services in countries outside the United States. If a review or investigation identifies improper or illegal activities, we may be subject to civil or criminal penalties or administrative sanctions, including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from government organizations, legislative bodies or agencies into business practices and into major programs supported by contractors may lead to increased legal costs and may harm our reputation, revenues, profitability and growth prospects.</w:t>
      </w:r>
    </w:p>
    <w:p>
      <w:pPr>
        <w:spacing w:after="0" w:line="82"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auto"/>
        </w:rPr>
        <w:t>Misconduct of employees, subcontractors, agents and business partners could cause us to lose existing contracts or customers and adversely affect our ability to obtain new contracts and customers and could have a significant adverse impact on our business and reputation.</w:t>
      </w:r>
    </w:p>
    <w:p>
      <w:pPr>
        <w:spacing w:after="0" w:line="8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Misconduct could include fraud or other improper activities such as falsifying time or other records and violations of laws, including the Anti-Kickback Act. Other examples could include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sanctions against us, loss of current and future contracts and serious harm to our reputation. Although we have implemented policies, procedures and controls to prevent and detect these activities, these precautions may not prevent all misconduct, and as a result, we could face unknown risks or losses. Our failure to comply with applicable laws or regulations or misconduct by any of our employees, subcontractors, agents or business partners could damage our reputation and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reputation and our future results.</w:t>
      </w:r>
    </w:p>
    <w:p>
      <w:pPr>
        <w:spacing w:after="0" w:line="8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Due to the competitive process to obtain contracts and the likelihood of bid protests, we may be unable to achieve or sustain revenue growth and profitability.</w:t>
      </w:r>
    </w:p>
    <w:p>
      <w:pPr>
        <w:spacing w:after="0" w:line="6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The U.S. government has increasingly relied on contracts that are subject to a continuing competitive bidding process, including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and to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and/or profitability.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- 14</w:t>
      </w:r>
    </w:p>
    <w:p>
      <w:pPr>
        <w:sectPr>
          <w:pgSz w:w="11900" w:h="16838" w:orient="portrait"/>
          <w:cols w:equalWidth="0" w:num="1">
            <w:col w:w="11420"/>
          </w:cols>
          <w:pgMar w:left="240" w:top="175"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The U.S. government may terminate, cancel, modify or curtail our contracts at any time prior to their completion and, if we do not replace them, this may adversely affect our future revenues and profitability.</w:t>
      </w:r>
    </w:p>
    <w:p>
      <w:pPr>
        <w:spacing w:after="0" w:line="6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extend for several years and include one or more base years and one or more option years. These programs are normally funded on an annual basis. Under our contracts, the U.S. government generally has the right to not exercise options to extend or expand our contracts and may otherwise terminate, cancel, modify or curtail our contracts at its convenience. Any decisions by the U.S. government to not exercise contract options or to terminate, cancel, modify or curtail our major programs or contracts would adversely affect our revenues, revenue growth and profitability.</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Some of our contracts involve the development of complex systems and products to achieve challenging customer goals in a competitive procurement environment. As a result, we sometimes experience technological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therefore affect our future revenues and growth prospects.</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business is highly competitive and we compete with larger companies that have greater name recognition, financial resources and a larger technical staff. We also compete with smaller, more specialized companies that are able to concentrate their resources on particular areas. Additionally, we compete with the U.S. government’s own capabilities and federal non-profit contract research centers.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markets in which we operate are characterized by rapidly changing technology and the needs of our customers change and evolve regularly. Accordingly, our success depends on our ability to develop services and products that address these changing needs and to provide people and technology needed to deliver these services and products. To remain competitive, we must consistently provide superior service, technology and performance on a cost-effective basis to our customers.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In addition, our competitors may consolidate or establish teaming or other relationships among themselves or with third parties to increase their ability to address customers’ needs. Accordingly, we anticipate that larger or new competitors or alliances among competitors may emerge, which may adversely affect our ability to compete.</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A failure to attract, train and retain skilled employees, including our management team, would adversely affect our ability to execute our strategy and may disrupt our operations.</w:t>
      </w:r>
    </w:p>
    <w:p>
      <w:pPr>
        <w:spacing w:after="0" w:line="6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business involves the development of tailored services and solutions for our customers, a process that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Although we intend to continue to devote significant resources to recruit, train and retain qualified employees, we may not be able to attract, effectively train and retain these employees. Any failure to do so could impair our ability to perform our contractual obligations efficiently and timely meet our customers’ needs and win new business, which could adversely affect our future results.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- 15</w:t>
      </w:r>
    </w:p>
    <w:p>
      <w:pPr>
        <w:sectPr>
          <w:pgSz w:w="11900" w:h="16838" w:orient="portrait"/>
          <w:cols w:equalWidth="0" w:num="1">
            <w:col w:w="11380"/>
          </w:cols>
          <w:pgMar w:left="240" w:top="175" w:right="27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attracting and retaining qualified engineering, technical and professional personnel, we believe that our success will also depend on the continued employment of a highly qualified and experienced senior management team and its ability to retain existing business and generate new business. Our senior management team is important to our business because personal reputations and individual business relationships are a critical element of retaining and obtaining customer contracts in our industry, particularly with agencies performing classified operations. An inability to retain appropriately qualified and experienced senior executives could cause us to lose customers or new business opportunities.</w:t>
      </w:r>
    </w:p>
    <w:p>
      <w:pPr>
        <w:spacing w:after="0" w:line="7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may not realize as revenues the full amounts reflected in our backlog, which could adversely affect our expected future revenues and growth prospects.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28, 2018, our total backlog was $20.8 billion, including $6.4 billion in funded backlog. Due to the U.S. government's ability to not exercise contract options or to terminate, modify or curtail our programs or contracts and the rights of our non-U.S. government customers to cancel contracts and purchase orders in certain circumstances, we may realize less than expected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7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generate revenues under various types of contracts, which include cost-reimbursement, FP-IF, T&amp;M, FP-LOE and FFP contracts. 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incentive-fee and award-fee contracts, is finally determined. Cost-reimbursement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10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profitability is adversely affected when we incur contract costs that we cannot bill to our customers. To varying degrees, each of our contract types involves some risk that we could underestimate the costs and resources necessary to fulfill the contract. While FFP contracts allow us to benefit from cost savings, these contracts also increase our exposure to the risk of cost overruns. Revenues from FFP contracts represented approximately 31% of our total revenues for fiscal 2018.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in losses. More generally, any increased or unexpected costs or unanticipated delays in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8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6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recognize revenue on our service based contracts primarily over time as there is continuous transfer of control to the customer over the duration of the contract as we perform the promised services, which generally requires estimates of total 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- 16</w:t>
      </w:r>
    </w:p>
    <w:p>
      <w:pPr>
        <w:sectPr>
          <w:pgSz w:w="11900" w:h="16838" w:orient="portrait"/>
          <w:cols w:equalWidth="0" w:num="1">
            <w:col w:w="11420"/>
          </w:cols>
          <w:pgMar w:left="240" w:top="175"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Legal disputes could require us to pay potentially large damage awards and could be costly to defend, which would adversely affect our cash balances and profitability, and could damage our reputation.</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number of lawsuits and claims described in "Legal Proceedings" in Part I of this Annual Report on Form 10-K, as may be updated in our future filings with the SEC, including our Quarterly Reports on Form 10 -Q. We are also subject to, and may become a party to, a variety of other litigation or claims and suits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in "Legal Proceedings," are subject to inherent uncertainties and management’s view of these matters may change in the future.</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business and operations expose us to numerous legal and regulatory requirements, and any violation of these requirements could harm our business.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numerous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We also conduct business in certain identified growth areas, such as health information technology, energy and environmental services, which are highly regulated and may expose us to increased compliance risk. 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8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Information security incidents could negatively impact our business and financial results or cause harm to our reputation or competitive position.</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government contractor and a provider of information technology services operating in multiple regulated industries and geographies, we and our suppliers and subcontractors process and/or store sensitive information, including personally identifiable information, protected health information, personnel information, classified information, contractor unclassified information and financial information, concerning our business, employees and our customers. Therefore, we are continuously exposed to unauthorized attempts to compromise such sensitive information through cyber-attacks, insider threats and other information security threats, including physical break-ins and malicious insiders. Any electronic or physical break-in or other security breach or compromise may jeopardize security of information stored or transmitted through our information technology systems and networks. This could lead to disruptions in mission-critical systems, unauthorized release of confidential or otherwise protected information and corruption of data or systems.</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have implemented policies, procedures and controls to protect against, detect and mitigate these threats, we face advanced and persistent attacks on our information systems. Attempts by others to gain unauthorized access to sensitive information are constantly evolving, increasingly sophisticated and increasingly difficult to detect and successfully defend against. These attempts include covertly introducing malware to our computers and networks and impersonating authorized users, among others, and may be perpetrated by well-funded organized crime or state-sponsored efforts.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seek to detect and investigate all information security incidents and to prevent their occurrence or recurrence. We continue to invest in and improve our threat protection, detection and mitigation policies, procedures and controls. In addition, we work with other companies in the industry and government participants on increased awareness and enhanced protections against information security and malicious insider threats. However, because of the evolving nature and sophistication of these security threats, which can be difficult to detect, there can be no assurance that our policies, procedures and controls have detected or will detect or prevent any of these threats and we cannot predict the full impact of any such past or future incident. We may be currently unaware of certain vulnerabilities or lack the capability to detect them, which may allow them to persist in our IT environment over long periods of time.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- 17</w:t>
      </w:r>
    </w:p>
    <w:p>
      <w:pPr>
        <w:sectPr>
          <w:pgSz w:w="11900" w:h="16838" w:orient="portrait"/>
          <w:cols w:equalWidth="0" w:num="1">
            <w:col w:w="11400"/>
          </w:cols>
          <w:pgMar w:left="240" w:top="175" w:right="2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experience similar security threats to the information technology systems that we develop, install or maintain under customer contracts. Although we work cooperatively with our customers and other business partners, including our suppliers and subcontractors, to seek to minimize the impact of cyber and other security threats, we must rely on the safeguards put in place by those entities. Any remedial costs or other liabilities related to cyber or other security threats may not be fully insured or indemnified by other means. Occurrence of any of these security threats could disrupt our systems or those of our customers, impair our ability to provide services to our customers, result in product development delays, compromise confidential or technical business information and, as a result, expose us to claims, contract terminations and damages and could adversely affect our reputation, ability to win work on sensitive U.S. government contracts, business operations and financial results.</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Internal system or service failures could disrupt our business and impair our ability to effectively provide our services and products to our customers, which could damage our reputation and adversely affect our revenues and profitability.</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Any system or service disruptions, including those caused by ongoing projects to improve our information technology systems and the delivery of services, whether through our shared services organization or outsourced services, if not anticipated and appropriately mitigated, could have a material adverse effect on our business including, among other things, an adverse effect on our ability to perform on contracts, bill our customers for work performed on our contracts, collect the amounts that have been billed and produce accurate financial statements in a timely manner. We are also subject to systems failures, including network, software or hardware failures, whether caused by us, third-party service providers, cybersecurity threats, malicious insiders, natural disasters, power shortages, terrorist attacks or other events, which could cause loss of data and interruptions or delays in our business, cause us to incur remediation costs, subject us to claims and damage our reputation. In addition, the failure or disruption of our communications could cause us to interrupt or suspend our operations or otherwise adversely affect our business. Our property and business interruption insurance may be inadequate to compensate us for all losses that may occur as a result of any system or operational failure or disruption and, as a result, our future results could be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systems failures could damage our reputation and adversely affect our revenues and profitability.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76"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or are dependent upon factors not wholly within our control. Failure to meet these obligations could adversely affect our profitability and future prospects.</w:t>
      </w:r>
    </w:p>
    <w:p>
      <w:pPr>
        <w:spacing w:after="0" w:line="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our offerings cannot be tested and proven in all situations and are otherwise subject to unforeseen problems that could negatively affect revenue and profitability such as problems with quality and workmanship, country of origin, delivery of subcontractor components or services and unplanned degradation of product performance.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costs and fee payments we previously received.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- 18</w:t>
      </w:r>
    </w:p>
    <w:p>
      <w:pPr>
        <w:sectPr>
          <w:pgSz w:w="11900" w:h="16838" w:orient="portrait"/>
          <w:cols w:equalWidth="0" w:num="1">
            <w:col w:w="11400"/>
          </w:cols>
          <w:pgMar w:left="240" w:top="175" w:right="2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contracts with the U.S. government that are classified, which may limit investor insight into portions of our business.</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(classified programs), which preclude the dissemination of information that is classified for national security purposes. We are limited in our ability to provide information about these classified programs, their risks or any disputes or claims relating to such programs. As a result, investors have less insight into our classified programs than our other businesses and therefore less ability to fully evaluate the risks related to our classified business.</w:t>
      </w:r>
    </w:p>
    <w:p>
      <w:pPr>
        <w:spacing w:after="0" w:line="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have made and continue to make acquisitions, investments, joint ventures and divestitures that involve numerous risks and uncertainties.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selectively pursue strategic acquisitions, investments and joint ventures. These transactions require significant investment of time and resources and may disrupt our business and distract our management from other responsibilities. Even if successful, these transactions could reduce earnings for a number of reasons, including the amortization of intangible assets, impairment charges,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w:t>
      </w:r>
    </w:p>
    <w:p>
      <w:pPr>
        <w:spacing w:after="0" w:line="101" w:lineRule="exact"/>
        <w:rPr>
          <w:sz w:val="20"/>
          <w:szCs w:val="20"/>
          <w:color w:val="auto"/>
        </w:rPr>
      </w:pPr>
    </w:p>
    <w:p>
      <w:pPr>
        <w:ind w:left="660" w:right="7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identify, compete effectively for or complete suitable acquisitions and investments at prices we consider attractive;</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acquisitions and investments on our business, and we may not realize anticipated synergies or acquisitions may not result in improved operating performance;</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performance problems with acquired technologies, capabilities and products, particularly with respect to those that are still in development when acquired;</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trouble retaining key employees and customers of an acquired business or otherwise integrating such businesses, such as incompatible accounting, information management or other control systems, which could result in unforeseen difficulties;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assume material liabilities that were not identified as part of our due diligence or for which we are unable to receive a purchase price adjustment or reimbursement through indemnification;</w:t>
      </w:r>
    </w:p>
    <w:p>
      <w:pPr>
        <w:spacing w:after="0" w:line="88"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assume legal or regulatory risks, particularly with respect to smaller businesses that have immature business processes and compliance programs;</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entities or joint ventures may not achieve expected business growth or operate profitably, which could adversely affect our operating income or operating margins, and we may be unable to recover investments in any such acquisitions;</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investments and joint ventures may require us to spend a significant amount of cash or to issue capital stock, resulting in dilution of ownership; and</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our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88"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In addition, we periodically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- 19</w:t>
      </w:r>
    </w:p>
    <w:p>
      <w:pPr>
        <w:sectPr>
          <w:pgSz w:w="11900" w:h="16838" w:orient="portrait"/>
          <w:cols w:equalWidth="0" w:num="1">
            <w:col w:w="11400"/>
          </w:cols>
          <w:pgMar w:left="240" w:top="175" w:right="2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Goodwill and other intangible assets represent approximately 63% of our total assets and any impairment of these assets could negatively impact our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Intangible assets with indefinite lives, including goodwill, are tested for impairment at least annually or whenever events or changes in circumstances indicate that the carrying value may not be recoverable. Intangible assets with finite lives are assessed for impairment whenever events or changes in circumstances indicate that the carrying value may not be recoverable. Examples of events or changes in circumstances indicating that the carrying value of intangible assets may not be recoverable could include a significant adverse change in legal factors or in the business climate, an adverse action or assessment by a regulator, unanticipated competition, loss of key personnel, or a more-likely-than-not expectation that a reporting unit or a significant portion of a reporting unit will be sold or otherwise disposed. We face continued uncertainty in our business environment due to the substantial fiscal and economic challenges facing the U.S. government, our primary customer, as well as challenges in the commercial healthcare industry, compounded by lower levels of U.S. government reimbursements, including reductions in Medicare reimbursements which in turn impact hospital IT spending. Adverse changes in fiscal and economic conditions, such as the manner in which budget cuts are implemented, including sequestration, and issues related to the nation’s debt ceiling, could adversely impact our future revenues and profitability. These circumstances could result in an impairment of goodwill and/or other intangibles. Also, adverse equity market conditions that result in a decline in market multiples and our stock price could result in an impairment of goodwill and/or other intangibles. Any future impairment of goodwill or other intangible assets would have a negative impact on our profitability and financial results.</w:t>
      </w:r>
    </w:p>
    <w:p>
      <w:pPr>
        <w:spacing w:after="0" w:line="8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rely on our teaming relationships with other prime contractors and subcontractors, who are also often our competitors in other contexts, in order to submit bids for large procurements or other opportunities where we believe the combination of services and products provided by us and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exposure could enhance such companies’ prospect of securing a future position as a prime U.S. government contractor which could increase competition for future contracts and impair our ability to perform on contracts.</w:t>
      </w:r>
    </w:p>
    <w:p>
      <w:pPr>
        <w:spacing w:after="0" w:line="9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Uncertain economic conditions heighten the risk of financial stress of our subcontractors, which could adversely impact their ability to meet their contractual requirements to us. If any of our subcontractors fail to timely meet their contractual obligations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- 20</w:t>
      </w:r>
    </w:p>
    <w:p>
      <w:pPr>
        <w:sectPr>
          <w:pgSz w:w="11900" w:h="16838" w:orient="portrait"/>
          <w:cols w:equalWidth="0" w:num="1">
            <w:col w:w="11420"/>
          </w:cols>
          <w:pgMar w:left="240" w:top="175"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services and operations sometimes involve using, handling or disposing of hazardous substances, which could expose us to potentially significant liabilities.</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Some of our services and operations involve the assessment or remediation of environmental hazards, as well as the use, handling or disposal of hazardous substances. These activities and our operations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Our current and previous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8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could incur significant liabilities and suffer negative publicity if our inspection or detection systems fail to detect bombs, explosives, weapons, contraband or other threats.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design, develop, manufacture, sell, service and maintain various inspection systems that are designed to assist in the detection of bombs, explosives, weapons, contraband or other threats. In some instances, we also train operators of such systems. Many of these systems utilize software algorithms that are probabilistic in nature and subject to significant technical limitations. Many of these systems are also dependent on the performance of their operators. There are many factors, some of which are beyond our control, which could result in the failure of our products to help detect the presence of bombs, explosives, weapons, contraband or other threats. Some of these factors could include operator error,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systems fail to, or are perceived to have failed to help detect a threat, the negative publicity from such incident could have a material adverse effect on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protect us from product and other liability claims or losses.</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maintain insurance coverage with third-party insurers as part of our overall risk management strategy and because some of our contracts require us to maintain specific insurance coverage limits. However, not every risk or liability is or can be protected by insurance, and, for those risks we insure, the limits of coverage we purchase or that are reasonably obtainable in the market may not be sufficient to cover all actual losses or liabilities incurred. If any of our third-party insurers fail, cancel our coverage or otherwise are unable to provide us with adequate insurance coverage,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If liability claims or losses exceed our current or available insurance coverage, our business, financial position, operating results and prospects may be harmed. Regardless of the adequacy of our liability insurance coverages, any significant claim may have an adverse effect on our industry and market reputation, leading to a substantial decrease in demand for our products and services and reduced revenues.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3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and foreign laws and regulations applicable to international business, such as the Foreign Corrupt Practices Act or U.S. export control regulations, could have an adverse impact on our business with the U.S. government and could expose us to administrative, civil or criminal penalties. Additionally, these risks relating to international operations may expose us to potentially significant contract losses.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- 21</w:t>
      </w:r>
    </w:p>
    <w:p>
      <w:pPr>
        <w:sectPr>
          <w:pgSz w:w="11900" w:h="16838" w:orient="portrait"/>
          <w:cols w:equalWidth="0" w:num="1">
            <w:col w:w="11420"/>
          </w:cols>
          <w:pgMar w:left="240" w:top="175"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some countries, there is an increased chance for economic, legal or political changes that may adversely affect the performance of our services, sale of our products or repatriation of our profits. International transactions can also involve increased financial and legal risks arising from foreign exchange rate variability, imposition of tariffs or additional taxes, restrictive trade policies, any delay or failure to collect amounts due to us and differing legal systems. We provide services and products in support of U.S. government customers in countries with governments that may be or may become unstable, which increases the risk of an incident resulting in injury or loss of life, damage or destruction of property or inability to meet our contractual obligations. Although our international operations have historically generated a small proportion of our revenues, we are seeking to grow our international business, in which case these regulatory, geopolitical and other factors may have a greater impact on our business in the future and could adversely affect our business.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means that the U.S. government may disclose or license our information to third parties, including, in some instances, our competitors.</w:t>
      </w:r>
    </w:p>
    <w:p>
      <w:pPr>
        <w:spacing w:after="0" w:line="10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products we provide. The expense of defending these claims may adversely affect our financial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period-to-period.</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other matters described elsewhere in this Annual Report on Form 10-K.</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6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Accounting for many of our programs requires judgment relative to assessing risks, including risks associated with estimating directed delays and reductions in scheduled deliveries, unfavorable resolutions of claims and contractual matters, judgments associated with estimating contract revenues and costs, and assumptions for schedule and technical issues. Due to the size and nature of many of our contracts, the estimation of total revenues and cost at completion is complicated and subject to many variables. For example, we must make assumptions regarding the length of time to complete the contract because costs also include expected increases in wages and prices for materials, consider whether the intent of entering into multiple contracts was effectively to enter into a single project in order to determine whether such contracts should be combined or segmented, consider incentives or penalties related to performance on contracts in estimating revenue and profit rates and record them when there is sufficient information for us to assess anticipated performance and use estimates of award fees in estimating revenue and profit rates based on actual and anticipated awards. Because of the significance of the judgments and estimation processes involved in accounting,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- 22</w:t>
      </w:r>
    </w:p>
    <w:p>
      <w:pPr>
        <w:sectPr>
          <w:pgSz w:w="11900" w:h="16838" w:orient="portrait"/>
          <w:cols w:equalWidth="0" w:num="1">
            <w:col w:w="11400"/>
          </w:cols>
          <w:pgMar w:left="240" w:top="175" w:right="2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continue to pay dividends on our common stock.</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March 2012, our Board of Directors approved the initiation of a quarterly dividend program. The timing, declaration, amount and payment of any future dividends fall within the discretion of our Board of Directors and will depend on many factors, including our available cash, estimated cash needs, earnings, financial condition, operating results and capital requirements, as well as limitations in our contractual agreements, applicable law, regulatory constraints, industry practice and other business considerations that our Board of Directors considers relevant. A change in our dividend program could have an adverse effect on the market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under Delaware law could delay or prevent transactions that many stockholders may favor.</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provisions of our certificate of incorporation and bylaws may have the effect of delaying, discouraging or preventing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the following:</w:t>
      </w:r>
    </w:p>
    <w:p>
      <w:pPr>
        <w:spacing w:after="0" w:line="96" w:lineRule="exact"/>
        <w:rPr>
          <w:sz w:val="20"/>
          <w:szCs w:val="20"/>
          <w:color w:val="auto"/>
        </w:rPr>
      </w:pPr>
    </w:p>
    <w:p>
      <w:pPr>
        <w:jc w:val="both"/>
        <w:ind w:left="660" w:right="24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certificate of incorporation provides that our bylaws and certain provisions of our certificate of incorporation may be amended by only two-thirds or more voting power of all of the outstanding shares entitled to vote. These supermajority voting requirements could impede our stockholders’ ability to make changes to our certificate of incorporation and bylaws.</w:t>
      </w:r>
    </w:p>
    <w:p>
      <w:pPr>
        <w:spacing w:after="0" w:line="93"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certificate of incorporation contains certain supermajority voting provisions, which generally provide that mergers and certain other business combinations between us and a related person be approved by the holders of securities having at least 80% of our outstanding voting power, as well as by the holders of a majority of the voting power of such securities that are not owned by the related person.</w:t>
      </w:r>
    </w:p>
    <w:p>
      <w:pPr>
        <w:spacing w:after="0" w:line="96"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are limited in their ability to take certain actions other than in connection with its annual stockholders' meeting or a special meeting called at the request of qualified stockholders as provided in our certificate of incorporation and bylaws.</w:t>
      </w:r>
    </w:p>
    <w:p>
      <w:pPr>
        <w:spacing w:after="0" w:line="93" w:lineRule="exact"/>
        <w:rPr>
          <w:rFonts w:ascii="Arial" w:cs="Arial" w:eastAsia="Arial" w:hAnsi="Arial"/>
          <w:sz w:val="18"/>
          <w:szCs w:val="18"/>
          <w:color w:val="auto"/>
        </w:rPr>
      </w:pPr>
    </w:p>
    <w:p>
      <w:pPr>
        <w:ind w:left="660" w:right="5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authorize undesignated preferred stock makes it possible for our Board of Directors to issue preferred stock with voting or other rights or preferences that could impede the success of any attempt to acquire us.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certain restrictions on business combinations. Under Delaware law, a corporation may not engage in a business combination with any holder of 15% or more of its capital stock unless the holder has held the stock for three years, or among other things, our Board of Directors has approved the business combination or the transaction pursuant to which such person became a 15% holder prior to the time the person became a 15% holder.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rely on forward-looking statements.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- 23</w:t>
      </w:r>
    </w:p>
    <w:p>
      <w:pPr>
        <w:sectPr>
          <w:pgSz w:w="11900" w:h="16838" w:orient="portrait"/>
          <w:cols w:equalWidth="0" w:num="1">
            <w:col w:w="11400"/>
          </w:cols>
          <w:pgMar w:left="240" w:top="175" w:right="2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the U.S. government defense budget, including budget reductions, sequestration, implementation of spending limits or changes in budgetary priorities, or delays in the U.S. government budget process or approval of raising the debt ceiling;</w:t>
      </w:r>
    </w:p>
    <w:p>
      <w:pPr>
        <w:spacing w:after="0" w:line="10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U.S. government contract procurement process or the award of contracts and delays or loss of contracts as a result of competitor protests;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government procurement rules, regulations and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various U.S. government and other government procurement rules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reviews, audits and investigations of our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compete and win contracts with the U.S. government and other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information technology spending by hospitals/healthcare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infrastructure investments by industrial and natural resources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energy efficiency and alternative energy sourcing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by U.S. government and commercial organizations in environment impact and remediation projects;</w:t>
      </w:r>
    </w:p>
    <w:p>
      <w:pPr>
        <w:spacing w:after="0" w:line="117"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train and retain skilled employees, including our management team, and to obtain security clearances for our employees;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accurately estimate costs associated with our FFP and other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resolution of legal and other disputes with our customers and others or legal or regulatory compliance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data security or other security threats, system failures or other disruptions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acquire businesses and make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relationships with prime contractors, subcontractors and joint venture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performance and other risks related to customer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our inspection or detection systems to detect threats;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insurance programs designed to protect us from significant product or other liability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risks associated with our international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lawsuits and contingencies associated with Lockheed Martin’s IS&amp;GS business;</w:t>
      </w:r>
    </w:p>
    <w:p>
      <w:pPr>
        <w:spacing w:after="0" w:line="117"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declare future dividends based on our earnings, financial condition, capital requirements and other factors, including compliance with applicable law and our agreements;</w:t>
      </w:r>
    </w:p>
    <w:p>
      <w:pPr>
        <w:spacing w:after="0" w:line="88"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grow our commercial health and infrastructure businesses, which could be negatively affected by budgetary constraints faced by hospitals and by developers of energy and infrastructure projects;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acquisitions that we agree to but are unable for regulatory or other reasons to consummate, we may incur break-up fees; and</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execute our business plan and long-term management initiatives effectively and to overcome these and other known and unknown risks that we face.</w:t>
      </w:r>
    </w:p>
    <w:p>
      <w:pPr>
        <w:spacing w:after="0" w:line="8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- 24</w:t>
      </w:r>
    </w:p>
    <w:p>
      <w:pPr>
        <w:sectPr>
          <w:pgSz w:w="11900" w:h="16838" w:orient="portrait"/>
          <w:cols w:equalWidth="0" w:num="1">
            <w:col w:w="11400"/>
          </w:cols>
          <w:pgMar w:left="240" w:top="175" w:right="2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28, 2018, we conducted our operations in 334 offices located in 37 states, the District of Columbia and various foreign countries. We occupy approximately 6.8 million square feet of floor space. Of this amount, we own approximately 0.9 million square feet, and the remaining balance is leased. Our major locations are in the Washington, D.C., metropolitan area, where we occupy a combination of leased and owned floor space of approximately 3.7 million square feet. We also have employees working at customer sites throughout the United States and in other countries.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2018, we owned the following properties: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color w:val="auto"/>
              </w:rPr>
              <w:t>Square</w:t>
            </w:r>
          </w:p>
        </w:tc>
        <w:tc>
          <w:tcPr>
            <w:tcW w:w="1360" w:type="dxa"/>
            <w:vAlign w:val="bottom"/>
          </w:tcPr>
          <w:p>
            <w:pPr>
              <w:spacing w:after="0"/>
              <w:rPr>
                <w:sz w:val="14"/>
                <w:szCs w:val="14"/>
                <w:color w:val="auto"/>
              </w:rPr>
            </w:pPr>
          </w:p>
        </w:tc>
      </w:tr>
      <w:tr>
        <w:trPr>
          <w:trHeight w:val="178"/>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Location</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rPr>
              <w:t>buildings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footage</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Acreage</w:t>
            </w:r>
          </w:p>
        </w:tc>
      </w:tr>
      <w:tr>
        <w:trPr>
          <w:trHeight w:val="256"/>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Gaithersburg, Maryland</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542,000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Columbia, Maryland</w:t>
            </w:r>
          </w:p>
        </w:tc>
        <w:tc>
          <w:tcPr>
            <w:tcW w:w="108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Orlando, Florida</w:t>
            </w: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6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Oak Ridge, Tennessee</w:t>
            </w:r>
          </w:p>
        </w:tc>
        <w:tc>
          <w:tcPr>
            <w:tcW w:w="108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7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Reston, Virginia</w:t>
            </w: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nature of our business is such that there is no practicable way to relate occupied space to our reportable segments.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See "Note 27—Subsequent Events" of the notes to the consolidated financial statements contained within this Annual Report on Form 10-K for information regarding the sale of our Gaithersburg, Maryland property which occurred on December 31, 2018. See "Note 22—Leases" of the notes to the consolidated financial statements contained within this Annual Report on Form 10-K for information regarding commitments under leases.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provided information about legal proceedings in which we are involved in "Note 25—Contingencies" of the notes to the consolidated financial statements contained within this Annual Report on Form 10-K.</w:t>
      </w:r>
    </w:p>
    <w:p>
      <w:pPr>
        <w:spacing w:after="0" w:line="88"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In addition, we are routinely subject to investigations and reviews relating to compliance with various laws and regulations. Additional information regarding such investigations and reviews is set forth in "Note 25—Contingencies” of the notes to the consolidated financial statements contained within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is a list of the names and ages (as of February 19, 2019) of our executive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of officer</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Age</w:t>
            </w:r>
          </w:p>
        </w:tc>
        <w:tc>
          <w:tcPr>
            <w:tcW w:w="120" w:type="dxa"/>
            <w:vAlign w:val="bottom"/>
            <w:tcBorders>
              <w:bottom w:val="single" w:sz="8" w:color="CCEEFF"/>
            </w:tcBorders>
          </w:tcPr>
          <w:p>
            <w:pPr>
              <w:spacing w:after="0"/>
              <w:rPr>
                <w:sz w:val="15"/>
                <w:szCs w:val="15"/>
                <w:color w:val="auto"/>
              </w:rPr>
            </w:pPr>
          </w:p>
        </w:tc>
        <w:tc>
          <w:tcPr>
            <w:tcW w:w="764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2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Roger A. Krone</w:t>
            </w:r>
          </w:p>
        </w:tc>
        <w:tc>
          <w:tcPr>
            <w:tcW w:w="112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Mr. Krone has served as Chief Executive Officer since July 2014. Mr. Krone is also Chairman of</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the Board. He brings more than 37 years of operational, strategic and financial execution</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experience for some of the nation’s most prominent names in aerospace. Mr. Krone has held</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program management and finance positions at The Boeing Company, McDonnell</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Douglas Corp. and General Dynamics. Mr. Krone is currently a member of the Georgia Tech</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Foundation Board of Trustees. He is a long-time supporter of the Urban League and currently</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serves on the board of the Greater Washington chapter. He is also a member of the Executive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Council of the Aerospace Industries Association and a member of the AOPA Foundation's</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of Visitors.</w:t>
            </w:r>
          </w:p>
        </w:tc>
      </w:tr>
      <w:tr>
        <w:trPr>
          <w:trHeight w:val="440"/>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480"/>
              <w:spacing w:after="0"/>
              <w:rPr>
                <w:sz w:val="20"/>
                <w:szCs w:val="20"/>
                <w:color w:val="auto"/>
              </w:rPr>
            </w:pPr>
            <w:r>
              <w:rPr>
                <w:rFonts w:ascii="Arial" w:cs="Arial" w:eastAsia="Arial" w:hAnsi="Arial"/>
                <w:sz w:val="16"/>
                <w:szCs w:val="16"/>
                <w:color w:val="auto"/>
              </w:rPr>
              <w:t>Leidos Holdings, Inc. Annual Report - 25</w:t>
            </w:r>
          </w:p>
        </w:tc>
      </w:tr>
    </w:tbl>
    <w:p>
      <w:pPr>
        <w:sectPr>
          <w:pgSz w:w="11900" w:h="16838" w:orient="portrait"/>
          <w:cols w:equalWidth="0" w:num="1">
            <w:col w:w="11420"/>
          </w:cols>
          <w:pgMar w:left="240" w:top="175"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Pr>
          <w:p>
            <w:pPr>
              <w:ind w:left="1640"/>
              <w:spacing w:after="0"/>
              <w:rPr>
                <w:sz w:val="20"/>
                <w:szCs w:val="20"/>
                <w:color w:val="auto"/>
              </w:rPr>
            </w:pPr>
            <w:r>
              <w:rPr>
                <w:rFonts w:ascii="Arial" w:cs="Arial" w:eastAsia="Arial" w:hAnsi="Arial"/>
                <w:sz w:val="18"/>
                <w:szCs w:val="18"/>
                <w:b w:val="1"/>
                <w:bCs w:val="1"/>
                <w:color w:val="auto"/>
              </w:rPr>
              <w:t>PART I</w:t>
            </w:r>
          </w:p>
        </w:tc>
      </w:tr>
      <w:tr>
        <w:trPr>
          <w:trHeight w:val="91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of officer</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Age</w:t>
            </w:r>
          </w:p>
        </w:tc>
        <w:tc>
          <w:tcPr>
            <w:tcW w:w="120" w:type="dxa"/>
            <w:vAlign w:val="bottom"/>
          </w:tcPr>
          <w:p>
            <w:pPr>
              <w:spacing w:after="0"/>
              <w:rPr>
                <w:sz w:val="24"/>
                <w:szCs w:val="24"/>
                <w:color w:val="auto"/>
              </w:rPr>
            </w:pPr>
          </w:p>
        </w:tc>
        <w:tc>
          <w:tcPr>
            <w:tcW w:w="764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28"/>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James C. Reagan</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Mr. Reagan has served as Executive Vice President and Chief Financial Officer since July</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2015. Prior to joining Leidos, from 2012 to 2015, Mr. Reagan was with Vencore, Inc. (formerly</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The SI Organization, Inc.), a provider of information solutions and engineering and analysis</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services to the U.S. Intelligence Community, DoD and federal and civilian agencies, where he</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served as Senior Vice President and Chief Financial Officer. From 2011 to 2012, Mr. Reagan</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was Executive Vice President and Chief Financial Officer of PAE, Inc., a provider of mission</w:t>
            </w:r>
          </w:p>
        </w:tc>
      </w:tr>
      <w:tr>
        <w:trPr>
          <w:trHeight w:val="224"/>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support services to the U.S. government. Mr. Reagan is a Certified Public Accountant.</w:t>
            </w:r>
          </w:p>
        </w:tc>
      </w:tr>
      <w:tr>
        <w:trPr>
          <w:trHeight w:val="235"/>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Ranjit S. Chadha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Chadha has served as Senior Vice President, Chief Accounting Officer and Controller since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April 2016, and before that, as Assistant Controller. Prior to joining Leidos, Mr. Chadha spent</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six years at CSC (now DXC), and during his tenure there held several roles with progressive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responsibility, most recently as an Assistant Controller at CSC. Prior to CSC, he spent 17 years</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at PwC, including two years in the firm's National Office Assurance Quality Group. He is a</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Public Accountant as well as a Chartered Accountant from India.</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Paul O. Engola</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Mr. Engola has served as Senior Vice President, Chief Human Resources Officer and Head of</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Business Partnerships since January 2019, and before that, as Chief Administrative Officer and</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Deputy President, Defense and Intelligence Group. Prior to joining Leidos, Mr. Engola served</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Lockheed Martin Corporation for more than 10 years, most recently as Vice President,</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Transportation &amp; Financial Solutions in their former Information Systems &amp; Global Solutions</w:t>
            </w:r>
          </w:p>
        </w:tc>
      </w:tr>
      <w:tr>
        <w:trPr>
          <w:trHeight w:val="224"/>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business.</w:t>
            </w:r>
          </w:p>
        </w:tc>
      </w:tr>
      <w:tr>
        <w:trPr>
          <w:trHeight w:val="235"/>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Gerard A. Fasano</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Fasano has served as Executive Vice President and President, Defense Group since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October 2018, and before that, as Chief Business Development Strategy Officer. Prior to</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joining Leidos, Mr. Fasano served Lockheed Martin Corporation for over 30 years in several</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capacities, most recently as a Vice President and General Manager in their former Information</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Systems &amp; Global Solutions business.</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Angela L. Heise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Ms. Heise has served as President, Civil Group since August 2016 when she joined Leidos.</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Prior to joining Leidos, Ms. Heise served as Vice President of Commercial Cyber for Lockheed</w:t>
            </w:r>
          </w:p>
        </w:tc>
      </w:tr>
      <w:tr>
        <w:trPr>
          <w:trHeight w:val="224"/>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Martin Corporation's former Information Systems &amp; Global Solutions business.</w:t>
            </w:r>
          </w:p>
        </w:tc>
      </w:tr>
      <w:tr>
        <w:trPr>
          <w:trHeight w:val="235"/>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Jerald S. Howe, Jr.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Howe has served as Executive Vice President and General Counsel since July 2017. Prior</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 joining Leidos, Mr. Howe was a partner at Fried, Frank, Harris, Shriver &amp; Jacobson LLP,</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where he served in the firm’s government contracts, mergers and acquisitions, and aerospace</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and defense practices. Prior to joining Fried Frank, Mr. Howe held general counsel positions at</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TASC, a leading aerospace and defense company, and at Veridian Corporation, a publicly</w:t>
            </w: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traded company that provided advanced technology services and solutions to the intelligence</w:t>
            </w: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community, military and homeland defense agencies.</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Mary V. Schmanske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Ms. Schmanske has served as Senior Vice President and President, Intelligence Group since</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October 2018, and before that, as Chief Administrative Officer and Deputy President and Chief</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Operations Officer, Health Group. Prior to joining Leidos, Ms. Schmanske served Lockheed</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Martin Corporation in several capacities, most recently as Vice President of Operations for</w:t>
            </w:r>
          </w:p>
        </w:tc>
      </w:tr>
      <w:tr>
        <w:trPr>
          <w:trHeight w:val="21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programs under strategic review, Civil, Defense &amp; Intelligence Solutions.</w:t>
            </w: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Jonathan W. Scholl</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Mr. Scholl has served as President, Health Group since August 2016, and before that, as</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President, Health and Infrastructure Group. Prior to joining Leidos, Mr. Scholl served for five</w:t>
            </w: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years as the Chief Strategy Officer for Texas Health Resources, one of the largest nonprofit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1063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ind w:left="3800" w:right="40"/>
        <w:spacing w:after="0" w:line="238" w:lineRule="auto"/>
        <w:rPr>
          <w:sz w:val="20"/>
          <w:szCs w:val="20"/>
          <w:color w:val="auto"/>
        </w:rPr>
      </w:pPr>
      <w:r>
        <w:rPr>
          <w:rFonts w:ascii="Arial" w:cs="Arial" w:eastAsia="Arial" w:hAnsi="Arial"/>
          <w:sz w:val="18"/>
          <w:szCs w:val="18"/>
          <w:color w:val="auto"/>
        </w:rPr>
        <w:t>health care delivery systems in the country. Prior to that, he spent 15 years with The Boston Consulting group and served as head of their North American Healthcare Provider Practice and leader of their Lean Six Sigma initiative for hospitals. He also served as Vice President for Applications Development for the TenFold HealthCare Group in Dallas. Mr. Scholl served five years in the U.S. Navy as a nuclear submarine officer and nuclear power plant instructor.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- 26</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20"/>
        <w:spacing w:after="0" w:line="38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common stock is listed on the New York Stock Exchange ("NYSE") under the ticker symbol "LDOS." </w:t>
      </w:r>
      <w:r>
        <w:rPr>
          <w:rFonts w:ascii="Arial" w:cs="Arial" w:eastAsia="Arial" w:hAnsi="Arial"/>
          <w:sz w:val="18"/>
          <w:szCs w:val="18"/>
          <w:b w:val="1"/>
          <w:bCs w:val="1"/>
          <w:color w:val="auto"/>
        </w:rPr>
        <w:t>Holders of Common Stock</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February 11, 2019, there were approximately 21,150 holders of record of Leidos common stock. The number of stockholders of record of our common stock is not representative of the number of beneficial owners due to the fact that many shares are held by depositories, brokers or nominees.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fiscal 2018 and 2017, we declared and paid quarterly dividends totaling $1.28 per share of Leidos common stock. We currently intend to continue paying dividends on a quarterly basis, although the declaration of any future dividends will be determined by our Board of Directors and will depend on many factors, including available cash, estimated cash needs, earnings, financial condition, operating results and capital requirements, as well as limitations in our contractual agreements, applicable law, regulatory constraints, industry practice and other business considerations that the Board of Directors considers relevant. Our ability to declare and pay future dividends on Leidos stock may be restricted by the provisions of Delaware law and covenants in our then-existing indebtedness arrangements.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- 27</w:t>
      </w:r>
    </w:p>
    <w:p>
      <w:pPr>
        <w:sectPr>
          <w:pgSz w:w="11900" w:h="16838" w:orient="portrait"/>
          <w:cols w:equalWidth="0" w:num="1">
            <w:col w:w="11400"/>
          </w:cols>
          <w:pgMar w:left="240" w:top="175" w:right="2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the total cumulative five-year return on Leidos common stock through December 28, 2018 to two indices: (i) the Standard &amp; Poor's 400 Composite index and (ii) the Standard &amp; Poor's 500 IT Services Industry index. The graph assumes an initial investment of $100 on December 31, 2013, and that dividends, if any, have been reinvested.The comparisons in the graph are required by the SEC, based upon historical data and are not intended to forecast or be indicative of possible future performance of Leidos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5866130" cy="4022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February 16, 2018, our Board of Directors authorized a new share repurchase program of up to 20 million shares of Leidos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Leidos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This share repurchase authorization replaced the previous share repurchase authorization announced in December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- 28</w:t>
      </w:r>
    </w:p>
    <w:p>
      <w:pPr>
        <w:sectPr>
          <w:pgSz w:w="11900" w:h="16838" w:orient="portrait"/>
          <w:cols w:equalWidth="0" w:num="1">
            <w:col w:w="11400"/>
          </w:cols>
          <w:pgMar w:left="240" w:top="175" w:right="2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Leidos common stock during the quarter ended December 28,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Total Number of</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Shares Purchased as</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Part of Publicly</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Announced</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Maximum Number of Shares</w:t>
            </w:r>
          </w:p>
        </w:tc>
      </w:tr>
      <w:tr>
        <w:trPr>
          <w:trHeight w:val="157"/>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line="157" w:lineRule="exact"/>
              <w:rPr>
                <w:sz w:val="20"/>
                <w:szCs w:val="20"/>
                <w:color w:val="auto"/>
              </w:rPr>
            </w:pPr>
            <w:r>
              <w:rPr>
                <w:rFonts w:ascii="Arial" w:cs="Arial" w:eastAsia="Arial" w:hAnsi="Arial"/>
                <w:sz w:val="14"/>
                <w:szCs w:val="14"/>
                <w:color w:val="auto"/>
              </w:rPr>
              <w:t>of 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Average Price</w:t>
            </w: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rPr>
              <w:t>Repurchase</w:t>
            </w:r>
          </w:p>
        </w:tc>
        <w:tc>
          <w:tcPr>
            <w:tcW w:w="100" w:type="dxa"/>
            <w:vAlign w:val="bottom"/>
          </w:tcPr>
          <w:p>
            <w:pPr>
              <w:spacing w:after="0"/>
              <w:rPr>
                <w:sz w:val="13"/>
                <w:szCs w:val="13"/>
                <w:color w:val="auto"/>
              </w:rPr>
            </w:pP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rPr>
              <w:t>that May Yet Be Purchased</w:t>
            </w:r>
          </w:p>
        </w:tc>
      </w:tr>
      <w:tr>
        <w:trPr>
          <w:trHeight w:val="18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color w:val="auto"/>
                <w:w w:val="98"/>
              </w:rPr>
              <w:t>Purchased</w:t>
            </w:r>
            <w:r>
              <w:rPr>
                <w:rFonts w:ascii="Arial" w:cs="Arial" w:eastAsia="Arial" w:hAnsi="Arial"/>
                <w:sz w:val="17"/>
                <w:szCs w:val="17"/>
                <w:color w:val="auto"/>
                <w:w w:val="98"/>
                <w:vertAlign w:val="superscript"/>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Paid 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Plans or 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Under the Plans or Programs</w:t>
            </w: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29, 2018 - September 30, 2018</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17,535,284</w:t>
            </w: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October 1, 2018 - October 31, 2018</w:t>
            </w:r>
            <w:r>
              <w:rPr>
                <w:rFonts w:ascii="Arial" w:cs="Arial" w:eastAsia="Arial" w:hAnsi="Arial"/>
                <w:sz w:val="21"/>
                <w:szCs w:val="21"/>
                <w:color w:val="auto"/>
                <w:vertAlign w:val="superscript"/>
              </w:rPr>
              <w:t>(2)</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3,347,602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3"/>
                <w:szCs w:val="23"/>
                <w:color w:val="auto"/>
              </w:rPr>
            </w:pPr>
          </w:p>
        </w:tc>
        <w:tc>
          <w:tcPr>
            <w:tcW w:w="1940" w:type="dxa"/>
            <w:vAlign w:val="bottom"/>
          </w:tcPr>
          <w:p>
            <w:pPr>
              <w:jc w:val="right"/>
              <w:ind w:right="20"/>
              <w:spacing w:after="0"/>
              <w:rPr>
                <w:sz w:val="20"/>
                <w:szCs w:val="20"/>
                <w:color w:val="auto"/>
              </w:rPr>
            </w:pPr>
            <w:r>
              <w:rPr>
                <w:rFonts w:ascii="Arial" w:cs="Arial" w:eastAsia="Arial" w:hAnsi="Arial"/>
                <w:sz w:val="18"/>
                <w:szCs w:val="18"/>
                <w:color w:val="auto"/>
              </w:rPr>
              <w:t>3,345,876</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14,189,408</w:t>
            </w: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1, 2018 - November 30, 2018</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14,189,408</w:t>
            </w:r>
          </w:p>
        </w:tc>
      </w:tr>
      <w:tr>
        <w:trPr>
          <w:trHeight w:val="270"/>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December 1, 2018 - December 28, 2018</w:t>
            </w:r>
            <w:r>
              <w:rPr>
                <w:rFonts w:ascii="Arial" w:cs="Arial" w:eastAsia="Arial" w:hAnsi="Arial"/>
                <w:sz w:val="21"/>
                <w:szCs w:val="21"/>
                <w:color w:val="auto"/>
                <w:vertAlign w:val="superscript"/>
              </w:rPr>
              <w:t>(2)</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690,720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690,674</w:t>
            </w:r>
          </w:p>
        </w:tc>
        <w:tc>
          <w:tcPr>
            <w:tcW w:w="20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13,498,734</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4,046,826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4,036,550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total number of shares purchased includes shares surrendered to satisfy statutory tax withholdings obligations related to vesting of restricted stock units.</w:t>
      </w:r>
    </w:p>
    <w:p>
      <w:pPr>
        <w:ind w:left="180" w:right="40" w:hanging="172"/>
        <w:spacing w:after="0" w:line="225" w:lineRule="auto"/>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 October 2018, we entered into an Accelerated Share Repurchase agreement with a financial institution, whereby we paid an aggregate of $250 million and received approximately 4.0 million shares of Leidos outstanding shares of common stock during the fourth quarter of fiscal 2018. All shares delivered were immediately retired. See "Note 18—Earnings Per Share" of the notes to the consolidated financial statements contained within this Annual Report on Form 10-K for further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3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selected financial data for the five-year period set forth below is derived from our consolidated financial statements for fiscal years 2018, 2017 and 2016, the 11-month period ended January 1, 2016, and fiscal 2015.</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in Part II and our consolidated financial statements and the notes thereto contained within this Annual Report on 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- 29</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1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 Months Ended</w:t>
            </w:r>
            <w:r>
              <w:rPr>
                <w:rFonts w:ascii="Arial" w:cs="Arial" w:eastAsia="Arial" w:hAnsi="Arial"/>
                <w:sz w:val="17"/>
                <w:szCs w:val="17"/>
                <w:color w:val="auto"/>
                <w:vertAlign w:val="superscript"/>
              </w:rPr>
              <w:t>(1)</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 Months Ended</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12 Months Ended</w:t>
            </w:r>
            <w:r>
              <w:rPr>
                <w:rFonts w:ascii="Arial" w:cs="Arial" w:eastAsia="Arial" w:hAnsi="Arial"/>
                <w:sz w:val="17"/>
                <w:szCs w:val="17"/>
                <w:color w:val="auto"/>
                <w:vertAlign w:val="superscript"/>
              </w:rPr>
              <w:t>(1)</w:t>
            </w:r>
          </w:p>
        </w:tc>
      </w:tr>
      <w:tr>
        <w:trPr>
          <w:trHeight w:val="169"/>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28,</w:t>
            </w:r>
          </w:p>
        </w:tc>
        <w:tc>
          <w:tcPr>
            <w:tcW w:w="1640" w:type="dxa"/>
            <w:vAlign w:val="bottom"/>
          </w:tcPr>
          <w:p>
            <w:pPr>
              <w:jc w:val="center"/>
              <w:spacing w:after="0"/>
              <w:rPr>
                <w:sz w:val="20"/>
                <w:szCs w:val="20"/>
                <w:color w:val="auto"/>
              </w:rPr>
            </w:pPr>
            <w:r>
              <w:rPr>
                <w:rFonts w:ascii="Arial" w:cs="Arial" w:eastAsia="Arial" w:hAnsi="Arial"/>
                <w:sz w:val="14"/>
                <w:szCs w:val="14"/>
                <w:color w:val="auto"/>
              </w:rPr>
              <w:t>December 29,</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color w:val="auto"/>
              </w:rPr>
              <w:t>December 30,</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6"/>
        </w:trPr>
        <w:tc>
          <w:tcPr>
            <w:tcW w:w="136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7"/>
                <w:szCs w:val="17"/>
                <w:b w:val="1"/>
                <w:bCs w:val="1"/>
                <w:color w:val="auto"/>
                <w:vertAlign w:val="superscript"/>
              </w:rPr>
              <w:t>(2)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2017</w:t>
            </w:r>
            <w:r>
              <w:rPr>
                <w:rFonts w:ascii="Arial" w:cs="Arial" w:eastAsia="Arial" w:hAnsi="Arial"/>
                <w:sz w:val="17"/>
                <w:szCs w:val="17"/>
                <w:color w:val="auto"/>
                <w:w w:val="93"/>
                <w:vertAlign w:val="superscript"/>
              </w:rPr>
              <w:t>(3)</w:t>
            </w:r>
          </w:p>
        </w:tc>
        <w:tc>
          <w:tcPr>
            <w:tcW w:w="134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color w:val="auto"/>
              </w:rPr>
              <w:t>2016</w:t>
            </w:r>
            <w:r>
              <w:rPr>
                <w:rFonts w:ascii="Arial" w:cs="Arial" w:eastAsia="Arial" w:hAnsi="Arial"/>
                <w:sz w:val="17"/>
                <w:szCs w:val="17"/>
                <w:color w:val="auto"/>
                <w:vertAlign w:val="superscript"/>
              </w:rPr>
              <w:t>(4)</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January 1, 2016</w:t>
            </w:r>
            <w:r>
              <w:rPr>
                <w:rFonts w:ascii="Arial" w:cs="Arial" w:eastAsia="Arial" w:hAnsi="Arial"/>
                <w:sz w:val="17"/>
                <w:szCs w:val="17"/>
                <w:color w:val="auto"/>
                <w:w w:val="99"/>
                <w:vertAlign w:val="superscript"/>
              </w:rPr>
              <w:t>(5)</w:t>
            </w: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January 30, 2015</w:t>
            </w:r>
            <w:r>
              <w:rPr>
                <w:rFonts w:ascii="Arial" w:cs="Arial" w:eastAsia="Arial" w:hAnsi="Arial"/>
                <w:sz w:val="17"/>
                <w:szCs w:val="17"/>
                <w:color w:val="auto"/>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2" w:lineRule="exact"/>
        <w:rPr>
          <w:sz w:val="20"/>
          <w:szCs w:val="20"/>
          <w:color w:val="auto"/>
        </w:rPr>
      </w:pPr>
    </w:p>
    <w:p>
      <w:pPr>
        <w:jc w:val="right"/>
        <w:ind w:right="2300"/>
        <w:spacing w:after="0"/>
        <w:rPr>
          <w:sz w:val="20"/>
          <w:szCs w:val="20"/>
          <w:color w:val="auto"/>
        </w:rPr>
      </w:pPr>
      <w:r>
        <w:rPr>
          <w:rFonts w:ascii="Arial" w:cs="Arial" w:eastAsia="Arial" w:hAnsi="Arial"/>
          <w:sz w:val="14"/>
          <w:szCs w:val="14"/>
          <w:color w:val="auto"/>
        </w:rPr>
        <w:t>(in millions,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Income (Loss)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Data:</w:t>
      </w:r>
    </w:p>
    <w:p>
      <w:pPr>
        <w:sectPr>
          <w:pgSz w:w="11900" w:h="16838" w:orient="portrait"/>
          <w:cols w:equalWidth="0" w:num="1">
            <w:col w:w="11420"/>
          </w:cols>
          <w:pgMar w:left="240" w:top="175" w:right="239" w:bottom="1440" w:gutter="0" w:footer="0" w:header="0"/>
        </w:sectPr>
      </w:pP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10,194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749</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582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8"/>
                <w:szCs w:val="18"/>
                <w:color w:val="auto"/>
              </w:rPr>
              <w:t>(Loss) income from discontinued operations, net</w:t>
            </w:r>
          </w:p>
        </w:tc>
        <w:tc>
          <w:tcPr>
            <w:tcW w:w="420" w:type="dxa"/>
            <w:vAlign w:val="bottom"/>
          </w:tcPr>
          <w:p>
            <w:pPr>
              <w:spacing w:after="0"/>
              <w:rPr>
                <w:sz w:val="21"/>
                <w:szCs w:val="21"/>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160"/>
              <w:spacing w:after="0"/>
              <w:rPr>
                <w:sz w:val="20"/>
                <w:szCs w:val="20"/>
                <w:color w:val="auto"/>
              </w:rPr>
            </w:pPr>
            <w:r>
              <w:rPr>
                <w:rFonts w:ascii="Arial" w:cs="Arial" w:eastAsia="Arial" w:hAnsi="Arial"/>
                <w:sz w:val="18"/>
                <w:szCs w:val="18"/>
                <w:color w:val="auto"/>
              </w:rPr>
              <w:t>of taxes</w:t>
            </w:r>
          </w:p>
        </w:tc>
        <w:tc>
          <w:tcPr>
            <w:tcW w:w="4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582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8"/>
                <w:szCs w:val="18"/>
                <w:color w:val="auto"/>
              </w:rPr>
              <w:t>Less: net income (loss) attributable to non-</w:t>
            </w:r>
          </w:p>
        </w:tc>
        <w:tc>
          <w:tcPr>
            <w:tcW w:w="420" w:type="dxa"/>
            <w:vAlign w:val="bottom"/>
          </w:tcPr>
          <w:p>
            <w:pPr>
              <w:spacing w:after="0"/>
              <w:rPr>
                <w:sz w:val="21"/>
                <w:szCs w:val="21"/>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160"/>
              <w:spacing w:after="0"/>
              <w:rPr>
                <w:sz w:val="20"/>
                <w:szCs w:val="20"/>
                <w:color w:val="auto"/>
              </w:rPr>
            </w:pPr>
            <w:r>
              <w:rPr>
                <w:rFonts w:ascii="Arial" w:cs="Arial" w:eastAsia="Arial" w:hAnsi="Arial"/>
                <w:sz w:val="18"/>
                <w:szCs w:val="18"/>
                <w:color w:val="auto"/>
              </w:rPr>
              <w:t>controlling interest</w:t>
            </w:r>
          </w:p>
        </w:tc>
        <w:tc>
          <w:tcPr>
            <w:tcW w:w="4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8"/>
                <w:szCs w:val="18"/>
                <w:color w:val="auto"/>
              </w:rPr>
              <w:t>Net income (loss) attributable to Leidos Holdings,</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581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160"/>
              <w:spacing w:after="0"/>
              <w:rPr>
                <w:sz w:val="20"/>
                <w:szCs w:val="20"/>
                <w:color w:val="auto"/>
              </w:rPr>
            </w:pPr>
            <w:r>
              <w:rPr>
                <w:rFonts w:ascii="Arial" w:cs="Arial" w:eastAsia="Arial" w:hAnsi="Arial"/>
                <w:sz w:val="18"/>
                <w:szCs w:val="18"/>
                <w:color w:val="auto"/>
              </w:rPr>
              <w:t>Inc.</w:t>
            </w:r>
          </w:p>
        </w:tc>
        <w:tc>
          <w:tcPr>
            <w:tcW w:w="4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500"/>
              <w:spacing w:after="0" w:line="202" w:lineRule="exact"/>
              <w:rPr>
                <w:sz w:val="20"/>
                <w:szCs w:val="20"/>
                <w:color w:val="auto"/>
              </w:rPr>
            </w:pPr>
            <w:r>
              <w:rPr>
                <w:rFonts w:ascii="Arial" w:cs="Arial" w:eastAsia="Arial" w:hAnsi="Arial"/>
                <w:sz w:val="18"/>
                <w:szCs w:val="18"/>
                <w:color w:val="auto"/>
              </w:rPr>
              <w:t>attributable to Leidos common</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4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60" w:type="dxa"/>
            <w:vAlign w:val="bottom"/>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420" w:type="dxa"/>
            <w:vAlign w:val="bottom"/>
          </w:tcPr>
          <w:p>
            <w:pPr>
              <w:spacing w:after="0"/>
              <w:rPr>
                <w:sz w:val="21"/>
                <w:szCs w:val="21"/>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net of taxes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340"/>
              <w:spacing w:after="0"/>
              <w:rPr>
                <w:sz w:val="20"/>
                <w:szCs w:val="20"/>
                <w:color w:val="auto"/>
              </w:rPr>
            </w:pPr>
            <w:r>
              <w:rPr>
                <w:rFonts w:ascii="Arial" w:cs="Arial" w:eastAsia="Arial" w:hAnsi="Arial"/>
                <w:sz w:val="18"/>
                <w:szCs w:val="18"/>
                <w:color w:val="auto"/>
              </w:rPr>
              <w:t>Net income (loss) attributable to Leidos</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3.85</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60" w:type="dxa"/>
            <w:vAlign w:val="bottom"/>
          </w:tcPr>
          <w:p>
            <w:pPr>
              <w:ind w:left="500"/>
              <w:spacing w:after="0"/>
              <w:rPr>
                <w:sz w:val="20"/>
                <w:szCs w:val="20"/>
                <w:color w:val="auto"/>
              </w:rPr>
            </w:pPr>
            <w:r>
              <w:rPr>
                <w:rFonts w:ascii="Arial" w:cs="Arial" w:eastAsia="Arial" w:hAnsi="Arial"/>
                <w:sz w:val="18"/>
                <w:szCs w:val="18"/>
                <w:color w:val="auto"/>
              </w:rPr>
              <w:t>common stockholders</w:t>
            </w:r>
          </w:p>
        </w:tc>
        <w:tc>
          <w:tcPr>
            <w:tcW w:w="4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500"/>
              <w:spacing w:after="0" w:line="202" w:lineRule="exact"/>
              <w:rPr>
                <w:sz w:val="20"/>
                <w:szCs w:val="20"/>
                <w:color w:val="auto"/>
              </w:rPr>
            </w:pPr>
            <w:r>
              <w:rPr>
                <w:rFonts w:ascii="Arial" w:cs="Arial" w:eastAsia="Arial" w:hAnsi="Arial"/>
                <w:sz w:val="18"/>
                <w:szCs w:val="18"/>
                <w:color w:val="auto"/>
              </w:rPr>
              <w:t>attributable to Leidos common</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4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60" w:type="dxa"/>
            <w:vAlign w:val="bottom"/>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420" w:type="dxa"/>
            <w:vAlign w:val="bottom"/>
          </w:tcPr>
          <w:p>
            <w:pPr>
              <w:spacing w:after="0"/>
              <w:rPr>
                <w:sz w:val="21"/>
                <w:szCs w:val="21"/>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net of taxes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340"/>
              <w:spacing w:after="0"/>
              <w:rPr>
                <w:sz w:val="20"/>
                <w:szCs w:val="20"/>
                <w:color w:val="auto"/>
              </w:rPr>
            </w:pPr>
            <w:r>
              <w:rPr>
                <w:rFonts w:ascii="Arial" w:cs="Arial" w:eastAsia="Arial" w:hAnsi="Arial"/>
                <w:sz w:val="18"/>
                <w:szCs w:val="18"/>
                <w:color w:val="auto"/>
              </w:rPr>
              <w:t>Net income (loss) attributable to Leidos</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60" w:type="dxa"/>
            <w:vAlign w:val="bottom"/>
          </w:tcPr>
          <w:p>
            <w:pPr>
              <w:ind w:left="500"/>
              <w:spacing w:after="0"/>
              <w:rPr>
                <w:sz w:val="20"/>
                <w:szCs w:val="20"/>
                <w:color w:val="auto"/>
              </w:rPr>
            </w:pPr>
            <w:r>
              <w:rPr>
                <w:rFonts w:ascii="Arial" w:cs="Arial" w:eastAsia="Arial" w:hAnsi="Arial"/>
                <w:sz w:val="18"/>
                <w:szCs w:val="18"/>
                <w:color w:val="auto"/>
              </w:rPr>
              <w:t>common stockholders</w:t>
            </w:r>
          </w:p>
        </w:tc>
        <w:tc>
          <w:tcPr>
            <w:tcW w:w="4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Cash dividend per common share</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60" w:type="dxa"/>
            <w:vAlign w:val="bottom"/>
            <w:vMerge w:val="continue"/>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-4116070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-3772535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-3309620</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-2726690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-2383155</wp:posOffset>
            </wp:positionV>
            <wp:extent cx="724662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-1671955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10,170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7,043</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4,712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5,063</w:t>
            </w:r>
          </w:p>
        </w:tc>
      </w:tr>
      <w:tr>
        <w:trPr>
          <w:trHeight w:val="27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559</w:t>
            </w:r>
          </w:p>
        </w:tc>
        <w:tc>
          <w:tcPr>
            <w:tcW w:w="5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5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5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459"/>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5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5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459"/>
        </w:trPr>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366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2.41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66"/>
        </w:trPr>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42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2.41</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-8255</wp:posOffset>
            </wp:positionV>
            <wp:extent cx="875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2.38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66"/>
        </w:trPr>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426"/>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2.38</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1.28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-8255</wp:posOffset>
            </wp:positionV>
            <wp:extent cx="875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-179705</wp:posOffset>
            </wp:positionV>
            <wp:extent cx="875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580"/>
            <w:col w:w="5120"/>
          </w:cols>
          <w:pgMar w:left="240" w:top="175" w:right="2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4"/>
                <w:szCs w:val="14"/>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color w:val="auto"/>
              </w:rPr>
              <w:t>December 29,</w:t>
            </w:r>
          </w:p>
        </w:tc>
        <w:tc>
          <w:tcPr>
            <w:tcW w:w="260" w:type="dxa"/>
            <w:vAlign w:val="bottom"/>
          </w:tcPr>
          <w:p>
            <w:pPr>
              <w:spacing w:after="0"/>
              <w:rPr>
                <w:sz w:val="14"/>
                <w:szCs w:val="14"/>
                <w:color w:val="auto"/>
              </w:rPr>
            </w:pPr>
          </w:p>
        </w:tc>
        <w:tc>
          <w:tcPr>
            <w:tcW w:w="1220" w:type="dxa"/>
            <w:vAlign w:val="bottom"/>
          </w:tcPr>
          <w:p>
            <w:pPr>
              <w:jc w:val="right"/>
              <w:ind w:right="179"/>
              <w:spacing w:after="0"/>
              <w:rPr>
                <w:sz w:val="20"/>
                <w:szCs w:val="20"/>
                <w:color w:val="auto"/>
              </w:rPr>
            </w:pPr>
            <w:r>
              <w:rPr>
                <w:rFonts w:ascii="Arial" w:cs="Arial" w:eastAsia="Arial" w:hAnsi="Arial"/>
                <w:sz w:val="14"/>
                <w:szCs w:val="14"/>
                <w:color w:val="auto"/>
              </w:rPr>
              <w:t>December 30,</w:t>
            </w:r>
          </w:p>
        </w:tc>
        <w:tc>
          <w:tcPr>
            <w:tcW w:w="320" w:type="dxa"/>
            <w:vAlign w:val="bottom"/>
          </w:tcPr>
          <w:p>
            <w:pPr>
              <w:spacing w:after="0"/>
              <w:rPr>
                <w:sz w:val="14"/>
                <w:szCs w:val="14"/>
                <w:color w:val="auto"/>
              </w:rPr>
            </w:pPr>
          </w:p>
        </w:tc>
        <w:tc>
          <w:tcPr>
            <w:tcW w:w="1160" w:type="dxa"/>
            <w:vAlign w:val="bottom"/>
          </w:tcPr>
          <w:p>
            <w:pPr>
              <w:jc w:val="right"/>
              <w:ind w:right="297"/>
              <w:spacing w:after="0"/>
              <w:rPr>
                <w:sz w:val="20"/>
                <w:szCs w:val="20"/>
                <w:color w:val="auto"/>
              </w:rPr>
            </w:pPr>
            <w:r>
              <w:rPr>
                <w:rFonts w:ascii="Arial" w:cs="Arial" w:eastAsia="Arial" w:hAnsi="Arial"/>
                <w:sz w:val="14"/>
                <w:szCs w:val="14"/>
                <w:color w:val="auto"/>
              </w:rPr>
              <w:t>January 1,</w:t>
            </w:r>
          </w:p>
        </w:tc>
        <w:tc>
          <w:tcPr>
            <w:tcW w:w="32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4"/>
                <w:szCs w:val="14"/>
                <w:color w:val="auto"/>
              </w:rPr>
              <w:t>January 30,</w:t>
            </w:r>
          </w:p>
        </w:tc>
      </w:tr>
      <w:tr>
        <w:trPr>
          <w:trHeight w:val="196"/>
        </w:trPr>
        <w:tc>
          <w:tcPr>
            <w:tcW w:w="4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2015</w:t>
            </w:r>
          </w:p>
        </w:tc>
      </w:tr>
      <w:tr>
        <w:trPr>
          <w:trHeight w:val="250"/>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7"/>
              <w:spacing w:after="0"/>
              <w:rPr>
                <w:sz w:val="20"/>
                <w:szCs w:val="20"/>
                <w:color w:val="auto"/>
              </w:rPr>
            </w:pPr>
            <w:r>
              <w:rPr>
                <w:rFonts w:ascii="Arial" w:cs="Arial" w:eastAsia="Arial" w:hAnsi="Arial"/>
                <w:sz w:val="18"/>
                <w:szCs w:val="18"/>
                <w:b w:val="1"/>
                <w:bCs w:val="1"/>
                <w:color w:val="auto"/>
              </w:rPr>
              <w:t>8,770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8,990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9,132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3,370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3,281</w:t>
            </w:r>
          </w:p>
        </w:tc>
      </w:tr>
      <w:tr>
        <w:trPr>
          <w:trHeight w:val="277"/>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3,124</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3,111</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3,287</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1,081</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1,158</w:t>
            </w:r>
          </w:p>
        </w:tc>
      </w:tr>
      <w:tr>
        <w:trPr>
          <w:trHeight w:val="30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1"/>
                <w:szCs w:val="21"/>
                <w:color w:val="auto"/>
                <w:vertAlign w:val="superscript"/>
              </w:rPr>
              <w:t>(7)</w:t>
            </w:r>
          </w:p>
        </w:tc>
        <w:tc>
          <w:tcPr>
            <w:tcW w:w="160" w:type="dxa"/>
            <w:vAlign w:val="bottom"/>
          </w:tcPr>
          <w:p>
            <w:pPr>
              <w:spacing w:after="0"/>
              <w:rPr>
                <w:sz w:val="24"/>
                <w:szCs w:val="24"/>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b w:val="1"/>
                <w:bCs w:val="1"/>
                <w:color w:val="auto"/>
              </w:rPr>
              <w:t>178</w:t>
            </w:r>
          </w:p>
        </w:tc>
        <w:tc>
          <w:tcPr>
            <w:tcW w:w="260" w:type="dxa"/>
            <w:vAlign w:val="bottom"/>
          </w:tcPr>
          <w:p>
            <w:pPr>
              <w:spacing w:after="0"/>
              <w:rPr>
                <w:sz w:val="24"/>
                <w:szCs w:val="24"/>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147</w:t>
            </w:r>
          </w:p>
        </w:tc>
      </w:tr>
    </w:tbl>
    <w:p>
      <w:pPr>
        <w:ind w:left="180" w:hanging="172"/>
        <w:spacing w:after="0" w:line="221"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References to financial data are to the Company's continuing operations, unless otherwise noted.</w:t>
      </w:r>
    </w:p>
    <w:p>
      <w:pPr>
        <w:ind w:left="180" w:right="120" w:hanging="172"/>
        <w:spacing w:after="0" w:line="220"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Fiscal 2018 reflects the effects from our December 30, 2017 adoption of ASC 606. Fiscal 2018 also includes acquisition, integration and restructuring costs of $37 million and a tangible asset impairment charge of $7 million. For further information, see "Note 6—Acquisitions," "Note 8—Restructuring Expenses" and "Note 12—Property, Plant and Equipment" of the notes to the consolidated financial statements contained within this Annual Report on Form 10-K.</w:t>
      </w:r>
    </w:p>
    <w:p>
      <w:pPr>
        <w:spacing w:after="0" w:line="1" w:lineRule="exact"/>
        <w:rPr>
          <w:rFonts w:ascii="Arial" w:cs="Arial" w:eastAsia="Arial" w:hAnsi="Arial"/>
          <w:sz w:val="18"/>
          <w:szCs w:val="18"/>
          <w:color w:val="auto"/>
          <w:vertAlign w:val="superscript"/>
        </w:rPr>
      </w:pPr>
    </w:p>
    <w:p>
      <w:pPr>
        <w:ind w:left="180" w:right="40" w:hanging="172"/>
        <w:spacing w:after="0" w:line="211"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Fiscal 2017 includes acquisition, integration and restructuring costs of $139 million. For further information, see "Note 6—Acquisitions" and "Note 8—Restructuring Expenses" of the notes to the consolidated financial statements contained within this Annual Report on Form 10-K.</w:t>
      </w:r>
    </w:p>
    <w:p>
      <w:pPr>
        <w:ind w:left="180" w:right="800" w:hanging="172"/>
        <w:spacing w:after="0" w:line="218"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Fiscal 2016 includes acquisition, integration and restructuring costs of $104 million. For further detail regarding the acquisition of the IS&amp;GS Business, see "Note 6— Acquisitions" and "Note 8—Restructuring Expenses" of the notes to the consolidated financial statements contained within this Annual Report on Form 10-K.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- 30</w:t>
      </w:r>
    </w:p>
    <w:p>
      <w:pPr>
        <w:sectPr>
          <w:pgSz w:w="11900" w:h="16838" w:orient="portrait"/>
          <w:cols w:equalWidth="0" w:num="1">
            <w:col w:w="11420"/>
          </w:cols>
          <w:pgMar w:left="240" w:top="175" w:right="2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80" w:right="420" w:hanging="172"/>
        <w:spacing w:after="0" w:line="220"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Reflects the 11-month period of January 31, 2015, through January 1, 2016, as a result of the change in our fiscal year end. The 11-month period ended January 1, 2016, results include a gain on a real estate sale of $82 million, tangible asset impairment charges of $29 million, intangible asset impairment charges of $4 million and bad debt expense of $8 million.</w:t>
      </w:r>
    </w:p>
    <w:p>
      <w:pPr>
        <w:spacing w:after="0" w:line="1" w:lineRule="exact"/>
        <w:rPr>
          <w:rFonts w:ascii="Arial" w:cs="Arial" w:eastAsia="Arial" w:hAnsi="Arial"/>
          <w:sz w:val="18"/>
          <w:szCs w:val="18"/>
          <w:color w:val="auto"/>
          <w:vertAlign w:val="superscript"/>
        </w:rPr>
      </w:pPr>
    </w:p>
    <w:p>
      <w:pPr>
        <w:ind w:left="180" w:right="440" w:hanging="172"/>
        <w:spacing w:after="0" w:line="211"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Fiscal 2015 results include goodwill impairment charges of $486 million, intangible asset impairment charges of $41 million and a tangible asset impairment charge of $40 million.</w:t>
      </w:r>
    </w:p>
    <w:p>
      <w:pPr>
        <w:ind w:left="180" w:right="660" w:hanging="172"/>
        <w:spacing w:after="0" w:line="218"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Beginning in fiscal 2016, the Company has separately disclosed "Deferred tax liabilities," which was previously aggregated within "Other long-term liabilities" within the consolidated balance sheets. Deferred tax liabilities for the 11-month period ended January 1, 2016 and fiscal 2015 were $34 million and $21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The following discussion and analysis of Leidos Holdings, Inc.'s ("Leidos") financial condition, results of operations and quantitative and qualitative disclosures about market risk should be read in conjunction with the consolidated financial statements and related notes.</w:t>
      </w:r>
    </w:p>
    <w:p>
      <w:pPr>
        <w:spacing w:after="0" w:line="5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Unless indicated otherwise, references in this report to the “Company,” “we,” “us,” and “our” refer collectively to Leidos and its consolidated subsidiaries.</w:t>
      </w:r>
    </w:p>
    <w:p>
      <w:pPr>
        <w:spacing w:after="0" w:line="5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initiatives, our industry and government budgets and spending. Such statements are not guarantees of future performance and involve risks and uncertainties, and actual results may differ materially from those in the forward-looking statements as a result of various factors (see “Risk Factors—Forward-Looking Statement Risks” in Part I of this Annual Report on Form 10-K). Factors that could cause or contribute to these differences include those discussed below and elsewhere in this Annual Report on Form 10-K, particularly in “Risk Factors" and "Business Environment and Trends.”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are a FORTUNE 500</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science, engineering and information technology company that provides services and solutions in the defense, intelligence, civil and health markets. We bring domain-specific capability and cross-market innovations to customers in each of these markets by leveraging seven core capabilities: enterprise modernization; cyber operations; operations and logistics; mission software systems; integrated systems; sensors and phenomenology; and mission support. Our domestic customers include the U.S. Department of Defense ("DoD"), the U.S. Intelligence Community, the U.S. Department of Homeland Security, the Federal Aviation Administration, the Department of Veterans Affairs and many other U.S. government civilian agencies, as well as state and local government agencies. Our international customers include foreign governments and their agencies, primarily located in Australia and the United Kingdom ("U.K."). Less than 10% of our revenues and tangible long-lived assets are generated by or owned by entities located outside of the United States.</w:t>
      </w:r>
    </w:p>
    <w:p>
      <w:pPr>
        <w:spacing w:after="0" w:line="1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fiscal 2017, we completed a business reorganization, which resulted in the identification of three reportable segments (Defense Solutions, Civil and Health). Additionally, we separately present the costs associated with corporate functions as Corporate. We commenced operating and reporting under the new organizational structure effective the beginning of fiscal 2017. As a result of this change, fiscal 2016 segment results and disclosures have been recast to reflect the new reportable segments.</w:t>
      </w:r>
    </w:p>
    <w:p>
      <w:pPr>
        <w:spacing w:after="0" w:line="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additional information regarding our reportable segments, see “Business” in Part I and "Note 24—Business Segments" of the notes to the consolidated financial statements contained within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initiatives include the following:</w:t>
      </w:r>
    </w:p>
    <w:p>
      <w:pPr>
        <w:spacing w:after="0" w:line="117" w:lineRule="exact"/>
        <w:rPr>
          <w:sz w:val="20"/>
          <w:szCs w:val="20"/>
          <w:color w:val="auto"/>
        </w:rPr>
      </w:pPr>
    </w:p>
    <w:p>
      <w:pPr>
        <w:ind w:left="660" w:right="6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internal, or non-acquisition related, annual revenue growth through internal collaboration and better leveraging of key differentiators across our company and the deployment of resources and investments into higher growth markets;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headcount and internal direct labor content on our contract portfolio;</w:t>
      </w:r>
    </w:p>
    <w:p>
      <w:pPr>
        <w:spacing w:after="0" w:line="117"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improvement in our back office infrastructure and related business processes for greater effectiveness and efficiency across all business functions; and</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- 31</w:t>
      </w:r>
    </w:p>
    <w:p>
      <w:pPr>
        <w:sectPr>
          <w:pgSz w:w="11900" w:h="16838" w:orient="portrait"/>
          <w:cols w:equalWidth="0" w:num="1">
            <w:col w:w="11400"/>
          </w:cols>
          <w:pgMar w:left="240" w:top="175"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right="18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disciplined deployment of our cash resources and use of our capital structure to enhance shareholder value while retaining an appropriate amount of financial leverage, through internal growth initiatives, stock repurchases, dividends, strategic acquisitions, debt level management and other uses to achieve our goals.</w:t>
      </w:r>
    </w:p>
    <w:p>
      <w:pPr>
        <w:spacing w:after="0" w:line="76" w:lineRule="exact"/>
        <w:rPr>
          <w:sz w:val="20"/>
          <w:szCs w:val="20"/>
          <w:color w:val="auto"/>
        </w:rPr>
      </w:pPr>
    </w:p>
    <w:p>
      <w:pPr>
        <w:ind w:left="60" w:right="280"/>
        <w:spacing w:after="0" w:line="258" w:lineRule="auto"/>
        <w:rPr>
          <w:sz w:val="20"/>
          <w:szCs w:val="20"/>
          <w:color w:val="auto"/>
        </w:rPr>
      </w:pPr>
      <w:r>
        <w:rPr>
          <w:rFonts w:ascii="Arial" w:cs="Arial" w:eastAsia="Arial" w:hAnsi="Arial"/>
          <w:sz w:val="18"/>
          <w:szCs w:val="18"/>
          <w:i w:val="1"/>
          <w:iCs w:val="1"/>
          <w:color w:val="auto"/>
        </w:rPr>
        <w:t xml:space="preserve">Sales Trend. </w:t>
      </w:r>
      <w:r>
        <w:rPr>
          <w:rFonts w:ascii="Arial" w:cs="Arial" w:eastAsia="Arial" w:hAnsi="Arial"/>
          <w:sz w:val="18"/>
          <w:szCs w:val="18"/>
          <w:color w:val="auto"/>
        </w:rPr>
        <w:t>For fiscal 2018, revenues were $10.2 billion, consistent with fiscal 2017. For fiscal 2017, revenues increased by $3.1 billion,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44%, compared to fiscal 2016, primarily attributable to the Information Systems &amp; Global Solutions business (the "IS&amp;GS Business") of Lockheed Martin Corporation acquired during the third quarter of fiscal 2016 and growth in airborne programs. The increase was partially offset by fiscal 2016 revenues from the divestiture of the heavy construction business, net volume decreases and lower revenues from our international business. See "Results of Operations" below for discussion of our individual segment results.</w:t>
      </w:r>
    </w:p>
    <w:p>
      <w:pPr>
        <w:spacing w:after="0" w:line="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Operating Expenses and Income Trend. </w:t>
      </w:r>
      <w:r>
        <w:rPr>
          <w:rFonts w:ascii="Arial" w:cs="Arial" w:eastAsia="Arial" w:hAnsi="Arial"/>
          <w:sz w:val="18"/>
          <w:szCs w:val="18"/>
          <w:color w:val="auto"/>
        </w:rPr>
        <w:t>For fiscal 2018, operating expenses decreased by $161 million, or 2%, compared to fiscal 2017.</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for fiscal 2018 was 7.3% compared to 5.5% for fiscal 2017. Operating income was $749 million for fiscal 2018, a $190 million increase compared to fiscal 2017. These changes were primarily attributable to decreases in acquisition, integration and restructuring costs and lower amortization of intangible assets.</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fiscal 2017, operating expenses increased by $3.0 billion, or 45%, compared to fiscal 2016, primarily attributable to the acquired IS&amp;GS Business. Operating margin for fiscal 2017 was 5.5% compared to 5.9% for fiscal 2016. The decrease in operating margin was primarily due to a contract write-up in fiscal 2016 along with an increase in acquisition, integration and restructuring costs. For fiscal 2017, our operating income was $559 million, a $142 million increase compared to fiscal 2016. The increase in operating income was primarily attributable to the operating results of the acquired IS&amp;GS Business.</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From a macroeconomic perspective, our industry is under general competitive pressures associated with spending from our largest customer, the U.S. government, and has required and will require a higher level of cost management focus to allow us to remain competitive. Although the current Administration has indicated a desire to increase spending, primarily in the defense and homeland security sectors, the likelihood, extent and duration of higher spending in these areas remains unclear. We continue to review our cost structure against our anticipated sales and undertake cost management actions and efficiency initiatives where necessary.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Lockheed Martin Transaction</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26, 2016, Leidos announced that it had entered into a definitive agreement (as amended, the "Merger Agreement") with Lockheed Martin Corporation ("Lockheed Martin"); Abacus Innovations Corporation, a Delaware corporation and a wholly owned subsidiary of Lockheed Martin ("Splitco"); and Lion Merger Co., a Delaware corporation and, at the time of announcement, a wholly owned subsidiary of Leidos ("Merger Sub"), pursuant to which Leidos would combine with Lockheed Martin’s realigned Information Systems &amp; Global Solutions business in a Reverse Morris Trust transaction. In connection with the Merger Agreement, Lockheed Martin and Splitco entered into a Separation Agreement dated January 26, 2016 (as amended, the "Separation Agreement"), pursuant to which Lockheed Martin would separate the IS&amp;GS Business from Lockheed Martin and transfer the IS&amp;GS Business to Splitco. The transactions contemplated by the Merger Agreement and the Separation Agreement are referred to herein as the "Transactions."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August 16, 2016, the acquisition date, we completed the Transactions. In the Transactions, among other steps, (i) Lockheed Martin transferred the IS&amp;GS Business to Splitco; (ii) Lockheed Martin offered to Lockheed Martin stockholders the right to exchange all or a portion of their shares of Lockheed Martin common stock for shares of Splitco common stock by way of an exchange offer (the "Distribution"); and (iii) Merger Sub merged with and into Splitco, with Splitco as the surviving corporation (the "Merger") and a wholly owned subsidiary of Leidos. Upon consummation of the Transactions, those Lockheed Martin stockholders who elected to participate in the exchange offer received approximately 77 million shares of Leidos common stock, which represented approximately 50.5% of the outstanding shares of Leidos common stock after consummation of the Transactions. Holders of Leidos shares prior to the transaction held the remaining 49.5% of the outstanding shares of Leidos common stock immediately after the closing.</w:t>
      </w:r>
    </w:p>
    <w:p>
      <w:pPr>
        <w:spacing w:after="0" w:line="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Prior to the Distribution, Splitco incurred third-party debt financing in an aggregate principal amount of $1.8 billion and immediately thereafter, Lockheed Martin transferred the IS&amp;GS Business to Splitco and Splitco made a special cash payment to Lockheed Martin of $1.8 billion.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- 32</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In connection with the Transactions, Leidos incurred new indebtedness and assumed Splitco's indebtedness in the form of term loans in an aggregate principal amount of $690 million and $1.8 billion, respectively, and entered into a new $ 750 million senior secured revolving credit facility, which replaced its existing revolving credit facility. See "Note 15—Debt" of the notes to the consolidated financial statements contained within this Annual Report on Form 10-K for further information regarding the new debt incurred and the new senior revolving credit facility.</w:t>
      </w:r>
    </w:p>
    <w:p>
      <w:pPr>
        <w:spacing w:after="0" w:line="8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conjunction with the Transactions, our Board of Directors declared a special dividend of $13.64 per share of Leidos common stock. Consequently, on August 22, 2016, we paid $993 million to stockholders of record as of August 15, 2016, and accrued $29 million of dividend equivalents with respect to outstanding unvested equity awards. See "Note 19—Stock-Based Compensation" of the notes to the consolidated financial statements contained within this Annual Report on Form 10-K for further information regarding the modifications made to our outstanding stock awards as a result of the special dividend.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incurred $29 million, $77 million and $46 million of integration costs during fiscal 2018, 2017 and 2016, respectively.</w:t>
      </w:r>
    </w:p>
    <w:p>
      <w:pPr>
        <w:spacing w:after="0" w:line="1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After the acquisition of the IS&amp;GS Business, we began an initiative to review our cost structure, which included optimization of our real estate portfolio by vacating facilities that were not necessary for future requirements and reducing headcount. For fiscal 2018, 2017 and 2016, we recognized $8 million, $37 million and $12 million, respectively, of restructuring expenses related to this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Markets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fiscal 2018, we generated approximately 85% of our total revenues from contracts with the U.S. government, either as a prime contractor or a subcontractor to other contractors engaged in work for the U.S. government. Revenues under contracts with the DoD, including subcontracts under which the DoD is the ultimate purchaser, represented approximately 47% of our total revenues for fiscal 2018.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March 2018, Congress passed and the President signed into law the Omnibus Appropriations Bill, thereby funding the federal government through the end of the 2018 government fiscal year ("GFY"). The appropriations legislation passed earlier in the year suspended previously enacted budget caps and included a two-year budget agreement that provided $300 billion in sequestration relief for defense and non-defense spending. Defense programs saw additional funding of $80 billion and $85 billion in GFY 2018 and GFY 2019, respectively, and non-defense funding increased by $63 billion and $68 billion in GFY 2018 and GFY 2019, respectively, over the caps established in the Budget Control Act of 2011. The legislation also suspended the debt ceiling until March 2019.</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2018, Congress passed and the President signed a second consolidated appropriations bill funding the Departments of Defense, Labor, and Health and Human Services for the full GFY 2019. Earlier in the year, funding for the Departments of Veterans Affairs and Energy as well as funding for Congress were also enacted. All were funded at increased levels from the previous year.</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remaining seven appropriations bills were operating under a continuing resolution ("CR") until it expired on December 21, 2018. From the expiration of that CR until the passage of a new CR on January 25, 2019 there was a partial U.S. government shutdown, which reduced or delayed work on existing contracts and caused delays in other government contracting actions and payments. Prior to the expiration of the January CR, Congress passed appropriations for the seven remaining appropriations bills, thereby completing funding for GFY 2019.</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Trends in the U.S. government contracting process, including a shift towards multiple-awards contracts (in which certain contractors are preapproved using indefinite-delivery/indefinite-quantity ("IDIQ") and U.S. General Services Administration ("GSA") contract vehicles) and awarding contracts on a low price, technically acceptable basis,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- 33</w:t>
      </w:r>
    </w:p>
    <w:p>
      <w:pPr>
        <w:sectPr>
          <w:pgSz w:w="11900" w:h="16838" w:orient="portrait"/>
          <w:cols w:equalWidth="0" w:num="1">
            <w:col w:w="11380"/>
          </w:cols>
          <w:pgMar w:left="240" w:top="175" w:right="27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Markets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Sales to customers in international markets represented 9% of total revenues for fiscal 2018. Our international customers include foreign governments and their agencies, primarily located in the U.K. and Australia. Our international business increases our exposure to international markets and the associated international regulatory and geopolitical risks.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Recent changes in international trade policies, including higher tariffs on imported goods and materials, may increase our procurement costs of certain IT hardware used both on our contracts and for internal use. However, we expect to recover certain portions of these higher tariffs through our cost-plus contracts. While we are still evaluating the impact of higher tariffs, currently, we do not expect tariffs to have a significant impact to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 operating income, cash flows from operations and diluted earnings per share. Bookings and backlog are also useful measures for management and investors to evaluate our performance and potential future revenues. In addition, we consider business performance by contract type to be useful to management and investors when evaluating our operating income and margin performance.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- 34</w:t>
      </w:r>
    </w:p>
    <w:p>
      <w:pPr>
        <w:sectPr>
          <w:pgSz w:w="11900" w:h="16838" w:orient="portrait"/>
          <w:cols w:equalWidth="0" w:num="1">
            <w:col w:w="11380"/>
          </w:cols>
          <w:pgMar w:left="240" w:top="175" w:right="2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for the periods presented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color w:val="auto"/>
              </w:rPr>
              <w:t>2018 to 2017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color w:val="auto"/>
              </w:rPr>
              <w:t>2017 to 2016</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color w:val="auto"/>
              </w:rPr>
              <w:t>December 30,</w:t>
            </w:r>
          </w:p>
        </w:tc>
        <w:tc>
          <w:tcPr>
            <w:tcW w:w="1160" w:type="dxa"/>
            <w:vAlign w:val="bottom"/>
            <w:gridSpan w:val="3"/>
          </w:tcPr>
          <w:p>
            <w:pPr>
              <w:ind w:left="80"/>
              <w:spacing w:after="0"/>
              <w:rPr>
                <w:sz w:val="20"/>
                <w:szCs w:val="20"/>
                <w:color w:val="auto"/>
              </w:rPr>
            </w:pPr>
            <w:r>
              <w:rPr>
                <w:rFonts w:ascii="Arial" w:cs="Arial" w:eastAsia="Arial" w:hAnsi="Arial"/>
                <w:sz w:val="14"/>
                <w:szCs w:val="14"/>
                <w:color w:val="auto"/>
              </w:rPr>
              <w:t>Dollar change</w:t>
            </w:r>
          </w:p>
        </w:tc>
        <w:tc>
          <w:tcPr>
            <w:tcW w:w="1320" w:type="dxa"/>
            <w:vAlign w:val="bottom"/>
            <w:gridSpan w:val="2"/>
          </w:tcPr>
          <w:p>
            <w:pPr>
              <w:ind w:left="360"/>
              <w:spacing w:after="0"/>
              <w:rPr>
                <w:sz w:val="20"/>
                <w:szCs w:val="20"/>
                <w:color w:val="auto"/>
              </w:rPr>
            </w:pPr>
            <w:r>
              <w:rPr>
                <w:rFonts w:ascii="Arial" w:cs="Arial" w:eastAsia="Arial" w:hAnsi="Arial"/>
                <w:sz w:val="14"/>
                <w:szCs w:val="14"/>
                <w:color w:val="auto"/>
              </w:rPr>
              <w:t>Percent</w:t>
            </w:r>
          </w:p>
        </w:tc>
        <w:tc>
          <w:tcPr>
            <w:tcW w:w="1200" w:type="dxa"/>
            <w:vAlign w:val="bottom"/>
            <w:gridSpan w:val="3"/>
          </w:tcPr>
          <w:p>
            <w:pPr>
              <w:ind w:left="100"/>
              <w:spacing w:after="0"/>
              <w:rPr>
                <w:sz w:val="20"/>
                <w:szCs w:val="20"/>
                <w:color w:val="auto"/>
              </w:rPr>
            </w:pPr>
            <w:r>
              <w:rPr>
                <w:rFonts w:ascii="Arial" w:cs="Arial" w:eastAsia="Arial" w:hAnsi="Arial"/>
                <w:sz w:val="14"/>
                <w:szCs w:val="14"/>
                <w:color w:val="auto"/>
              </w:rPr>
              <w:t>Dollar change</w:t>
            </w:r>
          </w:p>
        </w:tc>
        <w:tc>
          <w:tcPr>
            <w:tcW w:w="1200" w:type="dxa"/>
            <w:vAlign w:val="bottom"/>
          </w:tcPr>
          <w:p>
            <w:pPr>
              <w:jc w:val="right"/>
              <w:ind w:right="272"/>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change</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gridSpan w:val="5"/>
          </w:tcPr>
          <w:p>
            <w:pPr>
              <w:ind w:left="920"/>
              <w:spacing w:after="0"/>
              <w:rPr>
                <w:sz w:val="20"/>
                <w:szCs w:val="20"/>
                <w:color w:val="auto"/>
              </w:rPr>
            </w:pPr>
            <w:r>
              <w:rPr>
                <w:rFonts w:ascii="Arial" w:cs="Arial" w:eastAsia="Arial" w:hAnsi="Arial"/>
                <w:sz w:val="14"/>
                <w:szCs w:val="14"/>
                <w:color w:val="auto"/>
              </w:rPr>
              <w:t>(dollars in millions)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0"/>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8,690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6,103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General and</w:t>
            </w:r>
          </w:p>
        </w:tc>
        <w:tc>
          <w:tcPr>
            <w:tcW w:w="1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3"/>
        </w:trPr>
        <w:tc>
          <w:tcPr>
            <w:tcW w:w="1980" w:type="dxa"/>
            <w:vAlign w:val="bottom"/>
            <w:gridSpan w:val="2"/>
          </w:tcPr>
          <w:p>
            <w:pPr>
              <w:ind w:left="340"/>
              <w:spacing w:after="0" w:line="233" w:lineRule="exact"/>
              <w:rPr>
                <w:sz w:val="20"/>
                <w:szCs w:val="20"/>
                <w:color w:val="auto"/>
              </w:rPr>
            </w:pPr>
            <w:r>
              <w:rPr>
                <w:rFonts w:ascii="Arial" w:cs="Arial" w:eastAsia="Arial" w:hAnsi="Arial"/>
                <w:sz w:val="18"/>
                <w:szCs w:val="18"/>
                <w:color w:val="auto"/>
              </w:rPr>
              <w:t>administrative</w:t>
            </w:r>
            <w:r>
              <w:rPr>
                <w:rFonts w:ascii="Arial" w:cs="Arial" w:eastAsia="Arial" w:hAnsi="Arial"/>
                <w:sz w:val="21"/>
                <w:szCs w:val="21"/>
                <w:color w:val="auto"/>
                <w:vertAlign w:val="superscript"/>
              </w:rPr>
              <w:t>(1)</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Bid and proposal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Internal research</w:t>
            </w:r>
          </w:p>
        </w:tc>
        <w:tc>
          <w:tcPr>
            <w:tcW w:w="1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1980" w:type="dxa"/>
            <w:vAlign w:val="bottom"/>
            <w:gridSpan w:val="2"/>
          </w:tcPr>
          <w:p>
            <w:pPr>
              <w:ind w:left="340"/>
              <w:spacing w:after="0"/>
              <w:rPr>
                <w:sz w:val="20"/>
                <w:szCs w:val="20"/>
                <w:color w:val="auto"/>
              </w:rPr>
            </w:pPr>
            <w:r>
              <w:rPr>
                <w:rFonts w:ascii="Arial" w:cs="Arial" w:eastAsia="Arial" w:hAnsi="Arial"/>
                <w:sz w:val="18"/>
                <w:szCs w:val="18"/>
                <w:color w:val="auto"/>
              </w:rPr>
              <w:t>and development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Bad debt expense</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Acquisition,</w:t>
            </w:r>
          </w:p>
        </w:tc>
        <w:tc>
          <w:tcPr>
            <w:tcW w:w="1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1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integration and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80" w:type="dxa"/>
            <w:vAlign w:val="bottom"/>
            <w:gridSpan w:val="2"/>
          </w:tcPr>
          <w:p>
            <w:pPr>
              <w:ind w:left="200"/>
              <w:spacing w:after="0"/>
              <w:rPr>
                <w:sz w:val="20"/>
                <w:szCs w:val="20"/>
                <w:color w:val="auto"/>
              </w:rPr>
            </w:pPr>
            <w:r>
              <w:rPr>
                <w:rFonts w:ascii="Arial" w:cs="Arial" w:eastAsia="Arial" w:hAnsi="Arial"/>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Equity earnings of</w:t>
            </w:r>
          </w:p>
        </w:tc>
        <w:tc>
          <w:tcPr>
            <w:tcW w:w="18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3"/>
        </w:trPr>
        <w:tc>
          <w:tcPr>
            <w:tcW w:w="1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non-consolidated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subsidiaries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Non-operating</w:t>
            </w:r>
          </w:p>
        </w:tc>
        <w:tc>
          <w:tcPr>
            <w:tcW w:w="18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4"/>
        </w:trPr>
        <w:tc>
          <w:tcPr>
            <w:tcW w:w="1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expense,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5"/>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Less: net income</w:t>
            </w:r>
          </w:p>
        </w:tc>
        <w:tc>
          <w:tcPr>
            <w:tcW w:w="18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1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(loss) attributable to</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attributable to</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Leidos Holdings,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Operating income</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70" w:lineRule="exact"/>
              <w:rPr>
                <w:sz w:val="20"/>
                <w:szCs w:val="20"/>
                <w:color w:val="auto"/>
              </w:rPr>
            </w:pPr>
            <w:r>
              <w:rPr>
                <w:rFonts w:ascii="Arial" w:cs="Arial" w:eastAsia="Arial" w:hAnsi="Arial"/>
                <w:sz w:val="18"/>
                <w:szCs w:val="18"/>
                <w:b w:val="1"/>
                <w:bCs w:val="1"/>
                <w:i w:val="1"/>
                <w:iCs w:val="1"/>
                <w:color w:val="auto"/>
              </w:rPr>
              <w:t>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70" w:lineRule="exact"/>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70" w:lineRule="exact"/>
              <w:rPr>
                <w:sz w:val="20"/>
                <w:szCs w:val="20"/>
                <w:color w:val="auto"/>
              </w:rPr>
            </w:pPr>
            <w:r>
              <w:rPr>
                <w:rFonts w:ascii="Arial" w:cs="Arial" w:eastAsia="Arial" w:hAnsi="Arial"/>
                <w:sz w:val="18"/>
                <w:szCs w:val="18"/>
                <w:i w:val="1"/>
                <w:iCs w:val="1"/>
                <w:color w:val="auto"/>
              </w:rPr>
              <w:t>5.9%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980" w:type="dxa"/>
            <w:vAlign w:val="bottom"/>
            <w:gridSpan w:val="2"/>
          </w:tcPr>
          <w:p>
            <w:pPr>
              <w:ind w:left="20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69" w:lineRule="exact"/>
        <w:rPr>
          <w:sz w:val="20"/>
          <w:szCs w:val="20"/>
          <w:color w:val="auto"/>
        </w:rPr>
      </w:pPr>
    </w:p>
    <w:p>
      <w:pPr>
        <w:ind w:left="180" w:right="100" w:hanging="172"/>
        <w:spacing w:after="0" w:line="229"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Effective the beginning of fiscal 2018, the Company established a new U.S. government Cost Accounting Standards structure and revised its disclosure statements accordingly to reflect the related cost accounting practice changes. Consequently, $185 million and $88 million was reclassified from "Cost of revenues" to "Selling, general and administrative expenses" on the consolidated statements of income for fiscal 2017 and 2016, respectively. For more information, see "Note 1—Nature of Operations and Basis of Presentation" of the notes to the consolidated financial statements contained within this Annual Report on Form 10-K.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- 35</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and Corporate Results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color w:val="auto"/>
              </w:rPr>
              <w:t>2018 to 2017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color w:val="auto"/>
              </w:rPr>
              <w:t>2017 to 2016</w:t>
            </w:r>
          </w:p>
        </w:tc>
        <w:tc>
          <w:tcPr>
            <w:tcW w:w="0" w:type="dxa"/>
            <w:vAlign w:val="bottom"/>
          </w:tcPr>
          <w:p>
            <w:pPr>
              <w:spacing w:after="0"/>
              <w:rPr>
                <w:sz w:val="1"/>
                <w:szCs w:val="1"/>
                <w:color w:val="auto"/>
              </w:rPr>
            </w:pPr>
          </w:p>
        </w:tc>
      </w:tr>
      <w:tr>
        <w:trPr>
          <w:trHeight w:val="175"/>
        </w:trPr>
        <w:tc>
          <w:tcPr>
            <w:tcW w:w="1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Defense Solutions</w:t>
            </w:r>
          </w:p>
        </w:tc>
        <w:tc>
          <w:tcPr>
            <w:tcW w:w="160" w:type="dxa"/>
            <w:vAlign w:val="bottom"/>
          </w:tcPr>
          <w:p>
            <w:pPr>
              <w:spacing w:after="0"/>
              <w:rPr>
                <w:sz w:val="15"/>
                <w:szCs w:val="15"/>
                <w:color w:val="auto"/>
              </w:rPr>
            </w:pPr>
          </w:p>
        </w:tc>
        <w:tc>
          <w:tcPr>
            <w:tcW w:w="130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5"/>
                <w:szCs w:val="15"/>
                <w:color w:val="auto"/>
              </w:rPr>
            </w:pPr>
          </w:p>
        </w:tc>
        <w:tc>
          <w:tcPr>
            <w:tcW w:w="1280" w:type="dxa"/>
            <w:vAlign w:val="bottom"/>
          </w:tcPr>
          <w:p>
            <w:pPr>
              <w:jc w:val="right"/>
              <w:ind w:right="239"/>
              <w:spacing w:after="0"/>
              <w:rPr>
                <w:sz w:val="20"/>
                <w:szCs w:val="20"/>
                <w:color w:val="auto"/>
              </w:rPr>
            </w:pPr>
            <w:r>
              <w:rPr>
                <w:rFonts w:ascii="Arial" w:cs="Arial" w:eastAsia="Arial" w:hAnsi="Arial"/>
                <w:sz w:val="14"/>
                <w:szCs w:val="14"/>
                <w:color w:val="auto"/>
              </w:rPr>
              <w:t>December 29,</w:t>
            </w:r>
          </w:p>
        </w:tc>
        <w:tc>
          <w:tcPr>
            <w:tcW w:w="2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December 30,</w:t>
            </w:r>
          </w:p>
        </w:tc>
        <w:tc>
          <w:tcPr>
            <w:tcW w:w="1300" w:type="dxa"/>
            <w:vAlign w:val="bottom"/>
            <w:gridSpan w:val="2"/>
          </w:tcPr>
          <w:p>
            <w:pPr>
              <w:jc w:val="right"/>
              <w:ind w:right="236"/>
              <w:spacing w:after="0"/>
              <w:rPr>
                <w:sz w:val="20"/>
                <w:szCs w:val="20"/>
                <w:color w:val="auto"/>
              </w:rPr>
            </w:pPr>
            <w:r>
              <w:rPr>
                <w:rFonts w:ascii="Arial" w:cs="Arial" w:eastAsia="Arial" w:hAnsi="Arial"/>
                <w:sz w:val="14"/>
                <w:szCs w:val="14"/>
                <w:color w:val="auto"/>
              </w:rPr>
              <w:t>Dollar change</w:t>
            </w: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Percent</w:t>
            </w:r>
          </w:p>
        </w:tc>
        <w:tc>
          <w:tcPr>
            <w:tcW w:w="1300" w:type="dxa"/>
            <w:vAlign w:val="bottom"/>
            <w:gridSpan w:val="2"/>
          </w:tcPr>
          <w:p>
            <w:pPr>
              <w:jc w:val="right"/>
              <w:ind w:right="216"/>
              <w:spacing w:after="0"/>
              <w:rPr>
                <w:sz w:val="20"/>
                <w:szCs w:val="20"/>
                <w:color w:val="auto"/>
              </w:rPr>
            </w:pPr>
            <w:r>
              <w:rPr>
                <w:rFonts w:ascii="Arial" w:cs="Arial" w:eastAsia="Arial" w:hAnsi="Arial"/>
                <w:sz w:val="14"/>
                <w:szCs w:val="14"/>
                <w:color w:val="auto"/>
              </w:rPr>
              <w:t>Dollar change</w:t>
            </w:r>
          </w:p>
        </w:tc>
        <w:tc>
          <w:tcPr>
            <w:tcW w:w="1120" w:type="dxa"/>
            <w:vAlign w:val="bottom"/>
          </w:tcPr>
          <w:p>
            <w:pPr>
              <w:jc w:val="right"/>
              <w:ind w:right="279"/>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jc w:val="right"/>
              <w:ind w:right="29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4"/>
          </w:tcPr>
          <w:p>
            <w:pPr>
              <w:jc w:val="right"/>
              <w:ind w:right="436"/>
              <w:spacing w:after="0"/>
              <w:rPr>
                <w:sz w:val="20"/>
                <w:szCs w:val="20"/>
                <w:color w:val="auto"/>
              </w:rPr>
            </w:pPr>
            <w:r>
              <w:rPr>
                <w:rFonts w:ascii="Arial" w:cs="Arial" w:eastAsia="Arial" w:hAnsi="Arial"/>
                <w:sz w:val="14"/>
                <w:szCs w:val="14"/>
                <w:color w:val="auto"/>
              </w:rPr>
              <w:t>(dollars in millions)</w:t>
            </w: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4,948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4,959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3,843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1,116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300" w:type="dxa"/>
            <w:vAlign w:val="bottom"/>
          </w:tcPr>
          <w:p>
            <w:pPr>
              <w:jc w:val="right"/>
              <w:ind w:right="157"/>
              <w:spacing w:after="0"/>
              <w:rPr>
                <w:sz w:val="20"/>
                <w:szCs w:val="20"/>
                <w:color w:val="auto"/>
              </w:rPr>
            </w:pPr>
            <w:r>
              <w:rPr>
                <w:rFonts w:ascii="Arial" w:cs="Arial" w:eastAsia="Arial" w:hAnsi="Arial"/>
                <w:sz w:val="18"/>
                <w:szCs w:val="18"/>
                <w:b w:val="1"/>
                <w:bCs w:val="1"/>
                <w:color w:val="auto"/>
              </w:rPr>
              <w:t>347</w:t>
            </w:r>
          </w:p>
        </w:tc>
        <w:tc>
          <w:tcPr>
            <w:tcW w:w="240" w:type="dxa"/>
            <w:vAlign w:val="bottom"/>
          </w:tcPr>
          <w:p>
            <w:pPr>
              <w:spacing w:after="0"/>
              <w:rPr>
                <w:sz w:val="21"/>
                <w:szCs w:val="21"/>
                <w:color w:val="auto"/>
              </w:rPr>
            </w:pP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1"/>
                <w:szCs w:val="21"/>
                <w:color w:val="auto"/>
              </w:rPr>
            </w:pP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236"/>
              <w:spacing w:after="0"/>
              <w:rPr>
                <w:sz w:val="20"/>
                <w:szCs w:val="20"/>
                <w:color w:val="auto"/>
              </w:rPr>
            </w:pPr>
            <w:r>
              <w:rPr>
                <w:rFonts w:ascii="Arial" w:cs="Arial" w:eastAsia="Arial" w:hAnsi="Arial"/>
                <w:sz w:val="18"/>
                <w:szCs w:val="18"/>
                <w:color w:val="auto"/>
              </w:rPr>
              <w:t>40</w:t>
            </w: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Operating income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margin</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decrease in revenues for fiscal 2018 as compared to fiscal 2017 was primarily attributable to the completion of certain contracts and adverse impact of the foreign exchange rate movement between the U.S. dollar and Australian dollar, partially offset by new awards.</w:t>
      </w:r>
    </w:p>
    <w:p>
      <w:pPr>
        <w:spacing w:after="0" w:line="8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increase in revenues for fiscal 2017 as compared to fiscal 2016 was primarily attributable to the acquired IS&amp;GS Business of $1,146 million and growth in airborne programs, partially offset by completion of certain contracts, net volume decreases and a contract write-up in fiscal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for fiscal 2018 as compared to fiscal 2017 was primarily attributable to lower amortization.</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decrease in operating income for fiscal 2017 as compared to fiscal 2016 was primarily attributable to a contract write-up in fiscal 2016 and completion of certain contracts, partially offset by the acquired IS&amp;GS Business of $23 million.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color w:val="auto"/>
              </w:rPr>
              <w:t>2018 to 2017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color w:val="auto"/>
              </w:rPr>
              <w:t>2017 to 2016</w:t>
            </w:r>
          </w:p>
        </w:tc>
        <w:tc>
          <w:tcPr>
            <w:tcW w:w="0" w:type="dxa"/>
            <w:vAlign w:val="bottom"/>
          </w:tcPr>
          <w:p>
            <w:pPr>
              <w:spacing w:after="0"/>
              <w:rPr>
                <w:sz w:val="1"/>
                <w:szCs w:val="1"/>
                <w:color w:val="auto"/>
              </w:rPr>
            </w:pPr>
          </w:p>
        </w:tc>
      </w:tr>
      <w:tr>
        <w:trPr>
          <w:trHeight w:val="175"/>
        </w:trPr>
        <w:tc>
          <w:tcPr>
            <w:tcW w:w="1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Civil</w:t>
            </w:r>
          </w:p>
        </w:tc>
        <w:tc>
          <w:tcPr>
            <w:tcW w:w="180" w:type="dxa"/>
            <w:vAlign w:val="bottom"/>
          </w:tcPr>
          <w:p>
            <w:pPr>
              <w:spacing w:after="0"/>
              <w:rPr>
                <w:sz w:val="15"/>
                <w:szCs w:val="15"/>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5"/>
                <w:szCs w:val="15"/>
                <w:color w:val="auto"/>
              </w:rPr>
            </w:pPr>
          </w:p>
        </w:tc>
        <w:tc>
          <w:tcPr>
            <w:tcW w:w="1300" w:type="dxa"/>
            <w:vAlign w:val="bottom"/>
          </w:tcPr>
          <w:p>
            <w:pPr>
              <w:jc w:val="right"/>
              <w:ind w:right="259"/>
              <w:spacing w:after="0"/>
              <w:rPr>
                <w:sz w:val="20"/>
                <w:szCs w:val="20"/>
                <w:color w:val="auto"/>
              </w:rPr>
            </w:pPr>
            <w:r>
              <w:rPr>
                <w:rFonts w:ascii="Arial" w:cs="Arial" w:eastAsia="Arial" w:hAnsi="Arial"/>
                <w:sz w:val="14"/>
                <w:szCs w:val="14"/>
                <w:color w:val="auto"/>
              </w:rPr>
              <w:t>December 29,</w:t>
            </w:r>
          </w:p>
        </w:tc>
        <w:tc>
          <w:tcPr>
            <w:tcW w:w="2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December 30,</w:t>
            </w:r>
          </w:p>
        </w:tc>
        <w:tc>
          <w:tcPr>
            <w:tcW w:w="1140" w:type="dxa"/>
            <w:vAlign w:val="bottom"/>
            <w:gridSpan w:val="2"/>
          </w:tcPr>
          <w:p>
            <w:pPr>
              <w:jc w:val="right"/>
              <w:ind w:right="76"/>
              <w:spacing w:after="0"/>
              <w:rPr>
                <w:sz w:val="20"/>
                <w:szCs w:val="20"/>
                <w:color w:val="auto"/>
              </w:rPr>
            </w:pPr>
            <w:r>
              <w:rPr>
                <w:rFonts w:ascii="Arial" w:cs="Arial" w:eastAsia="Arial" w:hAnsi="Arial"/>
                <w:sz w:val="14"/>
                <w:szCs w:val="14"/>
                <w:color w:val="auto"/>
              </w:rPr>
              <w:t>Dollar change</w:t>
            </w:r>
          </w:p>
        </w:tc>
        <w:tc>
          <w:tcPr>
            <w:tcW w:w="1340" w:type="dxa"/>
            <w:vAlign w:val="bottom"/>
            <w:gridSpan w:val="2"/>
          </w:tcPr>
          <w:p>
            <w:pPr>
              <w:ind w:left="140"/>
              <w:spacing w:after="0"/>
              <w:rPr>
                <w:sz w:val="20"/>
                <w:szCs w:val="20"/>
                <w:color w:val="auto"/>
              </w:rPr>
            </w:pPr>
            <w:r>
              <w:rPr>
                <w:rFonts w:ascii="Arial" w:cs="Arial" w:eastAsia="Arial" w:hAnsi="Arial"/>
                <w:sz w:val="14"/>
                <w:szCs w:val="14"/>
                <w:color w:val="auto"/>
              </w:rPr>
              <w:t>Percent change</w:t>
            </w:r>
          </w:p>
        </w:tc>
        <w:tc>
          <w:tcPr>
            <w:tcW w:w="1160" w:type="dxa"/>
            <w:vAlign w:val="bottom"/>
            <w:gridSpan w:val="2"/>
          </w:tcPr>
          <w:p>
            <w:pPr>
              <w:jc w:val="right"/>
              <w:ind w:right="76"/>
              <w:spacing w:after="0"/>
              <w:rPr>
                <w:sz w:val="20"/>
                <w:szCs w:val="20"/>
                <w:color w:val="auto"/>
              </w:rPr>
            </w:pPr>
            <w:r>
              <w:rPr>
                <w:rFonts w:ascii="Arial" w:cs="Arial" w:eastAsia="Arial" w:hAnsi="Arial"/>
                <w:sz w:val="14"/>
                <w:szCs w:val="14"/>
                <w:color w:val="auto"/>
              </w:rPr>
              <w:t>Dollar change</w:t>
            </w:r>
          </w:p>
        </w:tc>
        <w:tc>
          <w:tcPr>
            <w:tcW w:w="1240" w:type="dxa"/>
            <w:vAlign w:val="bottom"/>
          </w:tcPr>
          <w:p>
            <w:pPr>
              <w:jc w:val="right"/>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300" w:type="dxa"/>
            <w:vAlign w:val="bottom"/>
          </w:tcPr>
          <w:p>
            <w:pPr>
              <w:jc w:val="right"/>
              <w:ind w:right="519"/>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7"/>
                <w:szCs w:val="17"/>
                <w:color w:val="auto"/>
              </w:rPr>
            </w:pPr>
          </w:p>
        </w:tc>
        <w:tc>
          <w:tcPr>
            <w:tcW w:w="1240" w:type="dxa"/>
            <w:vAlign w:val="bottom"/>
          </w:tcPr>
          <w:p>
            <w:pPr>
              <w:jc w:val="right"/>
              <w:ind w:right="479"/>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(dollars in millions)</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3,429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3,409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1,327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b w:val="1"/>
                <w:bCs w:val="1"/>
                <w:color w:val="auto"/>
              </w:rPr>
              <w:t>290</w:t>
            </w:r>
          </w:p>
        </w:tc>
        <w:tc>
          <w:tcPr>
            <w:tcW w:w="220" w:type="dxa"/>
            <w:vAlign w:val="bottom"/>
          </w:tcPr>
          <w:p>
            <w:pPr>
              <w:spacing w:after="0"/>
              <w:rPr>
                <w:sz w:val="21"/>
                <w:szCs w:val="21"/>
                <w:color w:val="auto"/>
              </w:rPr>
            </w:pP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21"/>
                <w:szCs w:val="21"/>
                <w:color w:val="auto"/>
              </w:rPr>
            </w:pP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8"/>
                <w:szCs w:val="18"/>
                <w:color w:val="auto"/>
              </w:rPr>
              <w:t>64</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80</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Operating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i w:val="1"/>
                <w:iCs w:val="1"/>
                <w:color w:val="auto"/>
              </w:rPr>
              <w:t>8.5%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margin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increase in revenues for fiscal 2018 as compared to fiscal 2017 was primarily attributable to new awards, favorable impact of the foreign exchange rate movement between the U.S. dollar and British pound and a net increase in program volumes, partially offset by the completion of certain contracts.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revenues for fiscal 2017 as compared to fiscal 2016 was primarily attributable to the acquired IS&amp;GS Business of $1,528 million, partially offset by fiscal 2016 revenues from the divestiture of the heavy construction business, reduced volume on certain contracts and lower revenues from our international business, including the adverse impact of foreign exchange rates due to the movement of the exchange rate between the U.S. dollar and the British pound.</w:t>
      </w:r>
    </w:p>
    <w:p>
      <w:pPr>
        <w:spacing w:after="0" w:line="96"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increase in operating income for fiscal 2018 as compared to fiscal 2017 was primarily attributable to lower amortization and indirect expenditures, partially offset by net decrease in program volumes.</w:t>
      </w:r>
    </w:p>
    <w:p>
      <w:pPr>
        <w:spacing w:after="0" w:line="8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increase in operating income for fiscal 2017 as compared to fiscal 2016 was primarily attributable to the acquired IS&amp;GS Business of $78 million.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- 36</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2018 to 2017</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color w:val="auto"/>
              </w:rPr>
              <w:t>2017 to 2016</w:t>
            </w:r>
          </w:p>
        </w:tc>
        <w:tc>
          <w:tcPr>
            <w:tcW w:w="0" w:type="dxa"/>
            <w:vAlign w:val="bottom"/>
          </w:tcPr>
          <w:p>
            <w:pPr>
              <w:spacing w:after="0"/>
              <w:rPr>
                <w:sz w:val="1"/>
                <w:szCs w:val="1"/>
                <w:color w:val="auto"/>
              </w:rPr>
            </w:pPr>
          </w:p>
        </w:tc>
      </w:tr>
      <w:tr>
        <w:trPr>
          <w:trHeight w:val="175"/>
        </w:trPr>
        <w:tc>
          <w:tcPr>
            <w:tcW w:w="1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Health</w:t>
            </w:r>
          </w:p>
        </w:tc>
        <w:tc>
          <w:tcPr>
            <w:tcW w:w="180" w:type="dxa"/>
            <w:vAlign w:val="bottom"/>
          </w:tcPr>
          <w:p>
            <w:pPr>
              <w:spacing w:after="0"/>
              <w:rPr>
                <w:sz w:val="15"/>
                <w:szCs w:val="15"/>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5"/>
                <w:szCs w:val="15"/>
                <w:color w:val="auto"/>
              </w:rPr>
            </w:pPr>
          </w:p>
        </w:tc>
        <w:tc>
          <w:tcPr>
            <w:tcW w:w="1300" w:type="dxa"/>
            <w:vAlign w:val="bottom"/>
          </w:tcPr>
          <w:p>
            <w:pPr>
              <w:jc w:val="right"/>
              <w:ind w:right="259"/>
              <w:spacing w:after="0"/>
              <w:rPr>
                <w:sz w:val="20"/>
                <w:szCs w:val="20"/>
                <w:color w:val="auto"/>
              </w:rPr>
            </w:pPr>
            <w:r>
              <w:rPr>
                <w:rFonts w:ascii="Arial" w:cs="Arial" w:eastAsia="Arial" w:hAnsi="Arial"/>
                <w:sz w:val="14"/>
                <w:szCs w:val="14"/>
                <w:color w:val="auto"/>
              </w:rPr>
              <w:t>December 29,</w:t>
            </w:r>
          </w:p>
        </w:tc>
        <w:tc>
          <w:tcPr>
            <w:tcW w:w="2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December 30,</w:t>
            </w:r>
          </w:p>
        </w:tc>
        <w:tc>
          <w:tcPr>
            <w:tcW w:w="1260" w:type="dxa"/>
            <w:vAlign w:val="bottom"/>
            <w:gridSpan w:val="2"/>
          </w:tcPr>
          <w:p>
            <w:pPr>
              <w:jc w:val="right"/>
              <w:ind w:right="196"/>
              <w:spacing w:after="0"/>
              <w:rPr>
                <w:sz w:val="20"/>
                <w:szCs w:val="20"/>
                <w:color w:val="auto"/>
              </w:rPr>
            </w:pPr>
            <w:r>
              <w:rPr>
                <w:rFonts w:ascii="Arial" w:cs="Arial" w:eastAsia="Arial" w:hAnsi="Arial"/>
                <w:sz w:val="14"/>
                <w:szCs w:val="14"/>
                <w:color w:val="auto"/>
              </w:rPr>
              <w:t>Dollar change</w:t>
            </w:r>
          </w:p>
        </w:tc>
        <w:tc>
          <w:tcPr>
            <w:tcW w:w="800" w:type="dxa"/>
            <w:vAlign w:val="bottom"/>
          </w:tcPr>
          <w:p>
            <w:pPr>
              <w:ind w:left="280"/>
              <w:spacing w:after="0"/>
              <w:rPr>
                <w:sz w:val="20"/>
                <w:szCs w:val="20"/>
                <w:color w:val="auto"/>
              </w:rPr>
            </w:pPr>
            <w:r>
              <w:rPr>
                <w:rFonts w:ascii="Arial" w:cs="Arial" w:eastAsia="Arial" w:hAnsi="Arial"/>
                <w:sz w:val="14"/>
                <w:szCs w:val="14"/>
                <w:color w:val="auto"/>
              </w:rPr>
              <w:t>Percent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96"/>
              <w:spacing w:after="0"/>
              <w:rPr>
                <w:sz w:val="20"/>
                <w:szCs w:val="20"/>
                <w:color w:val="auto"/>
              </w:rPr>
            </w:pPr>
            <w:r>
              <w:rPr>
                <w:rFonts w:ascii="Arial" w:cs="Arial" w:eastAsia="Arial" w:hAnsi="Arial"/>
                <w:sz w:val="14"/>
                <w:szCs w:val="14"/>
                <w:color w:val="auto"/>
              </w:rPr>
              <w:t>Dollar change</w:t>
            </w:r>
          </w:p>
        </w:tc>
        <w:tc>
          <w:tcPr>
            <w:tcW w:w="1120" w:type="dxa"/>
            <w:vAlign w:val="bottom"/>
          </w:tcPr>
          <w:p>
            <w:pPr>
              <w:jc w:val="right"/>
              <w:ind w:right="259"/>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300" w:type="dxa"/>
            <w:vAlign w:val="bottom"/>
          </w:tcPr>
          <w:p>
            <w:pPr>
              <w:jc w:val="right"/>
              <w:ind w:right="519"/>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7"/>
                <w:szCs w:val="17"/>
                <w:color w:val="auto"/>
              </w:rPr>
            </w:pPr>
          </w:p>
        </w:tc>
        <w:tc>
          <w:tcPr>
            <w:tcW w:w="1240" w:type="dxa"/>
            <w:vAlign w:val="bottom"/>
          </w:tcPr>
          <w:p>
            <w:pPr>
              <w:jc w:val="right"/>
              <w:ind w:right="479"/>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auto"/>
              </w:rPr>
              <w:t>change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right"/>
              <w:ind w:right="2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(dollars in millions)</w:t>
            </w: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1,817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1,802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685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b w:val="1"/>
                <w:bCs w:val="1"/>
                <w:color w:val="auto"/>
              </w:rPr>
              <w:t>230</w:t>
            </w:r>
          </w:p>
        </w:tc>
        <w:tc>
          <w:tcPr>
            <w:tcW w:w="220" w:type="dxa"/>
            <w:vAlign w:val="bottom"/>
          </w:tcPr>
          <w:p>
            <w:pPr>
              <w:spacing w:after="0"/>
              <w:rPr>
                <w:sz w:val="21"/>
                <w:szCs w:val="21"/>
                <w:color w:val="auto"/>
              </w:rPr>
            </w:pP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1"/>
                <w:szCs w:val="21"/>
                <w:color w:val="auto"/>
              </w:rPr>
            </w:pP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76"/>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118</w:t>
            </w: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Operating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i w:val="1"/>
                <w:iCs w:val="1"/>
                <w:color w:val="auto"/>
              </w:rPr>
              <w:t>12.7%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margin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The increase in revenues for fiscal 2018 as compared to fiscal 2017 was primarily attributable to a net increase in program volumes and new awards, partially offset by the completion of certain contracts and lower net profit write-ups in the current year.</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increase in revenues for fiscal 2017 as compared to fiscal 2016 was primarily attributable to the acquired IS&amp;GS Business of $685 million and growth in our federal health business, partially offset by lower volume in commercial health.</w:t>
      </w:r>
    </w:p>
    <w:p>
      <w:pPr>
        <w:spacing w:after="0" w:line="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increase in operating income for fiscal 2018 as compared to fiscal 2017 was primarily due to a net increase in program volumes, partially offset by the completion of certain contracts, higher investment costs and lower net profit write-ups in the current year.</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increase in operating income for fiscal 2017 as compared to fiscal 2016 was primarily due to the acquired IS&amp;GS Business of $132 million, partially offset by lower volume in commercial health.</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color w:val="auto"/>
              </w:rPr>
              <w:t>Year Ended</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4"/>
                <w:szCs w:val="14"/>
                <w:color w:val="auto"/>
              </w:rPr>
              <w:t>2018 to 2017</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4"/>
                <w:szCs w:val="14"/>
                <w:color w:val="auto"/>
              </w:rPr>
              <w:t>2017 to 2016</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5"/>
                <w:szCs w:val="15"/>
                <w:color w:val="auto"/>
              </w:rPr>
            </w:pPr>
          </w:p>
        </w:tc>
        <w:tc>
          <w:tcPr>
            <w:tcW w:w="1480" w:type="dxa"/>
            <w:vAlign w:val="bottom"/>
          </w:tcPr>
          <w:p>
            <w:pPr>
              <w:jc w:val="center"/>
              <w:ind w:right="419"/>
              <w:spacing w:after="0"/>
              <w:rPr>
                <w:sz w:val="20"/>
                <w:szCs w:val="20"/>
                <w:color w:val="auto"/>
              </w:rPr>
            </w:pPr>
            <w:r>
              <w:rPr>
                <w:rFonts w:ascii="Arial" w:cs="Arial" w:eastAsia="Arial" w:hAnsi="Arial"/>
                <w:sz w:val="14"/>
                <w:szCs w:val="14"/>
                <w:b w:val="1"/>
                <w:bCs w:val="1"/>
                <w:color w:val="auto"/>
              </w:rPr>
              <w:t>December 28,</w:t>
            </w:r>
          </w:p>
        </w:tc>
        <w:tc>
          <w:tcPr>
            <w:tcW w:w="1460" w:type="dxa"/>
            <w:vAlign w:val="bottom"/>
          </w:tcPr>
          <w:p>
            <w:pPr>
              <w:jc w:val="right"/>
              <w:ind w:right="441"/>
              <w:spacing w:after="0"/>
              <w:rPr>
                <w:sz w:val="20"/>
                <w:szCs w:val="20"/>
                <w:color w:val="auto"/>
              </w:rPr>
            </w:pPr>
            <w:r>
              <w:rPr>
                <w:rFonts w:ascii="Arial" w:cs="Arial" w:eastAsia="Arial" w:hAnsi="Arial"/>
                <w:sz w:val="14"/>
                <w:szCs w:val="14"/>
                <w:color w:val="auto"/>
              </w:rPr>
              <w:t>December 29,</w:t>
            </w: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December 30,</w:t>
            </w:r>
          </w:p>
        </w:tc>
        <w:tc>
          <w:tcPr>
            <w:tcW w:w="1300" w:type="dxa"/>
            <w:vAlign w:val="bottom"/>
            <w:gridSpan w:val="2"/>
          </w:tcPr>
          <w:p>
            <w:pPr>
              <w:jc w:val="right"/>
              <w:ind w:right="216"/>
              <w:spacing w:after="0"/>
              <w:rPr>
                <w:sz w:val="20"/>
                <w:szCs w:val="20"/>
                <w:color w:val="auto"/>
              </w:rPr>
            </w:pPr>
            <w:r>
              <w:rPr>
                <w:rFonts w:ascii="Arial" w:cs="Arial" w:eastAsia="Arial" w:hAnsi="Arial"/>
                <w:sz w:val="14"/>
                <w:szCs w:val="14"/>
                <w:color w:val="auto"/>
              </w:rPr>
              <w:t>Dollar change</w:t>
            </w: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Percent</w:t>
            </w:r>
          </w:p>
        </w:tc>
        <w:tc>
          <w:tcPr>
            <w:tcW w:w="1340" w:type="dxa"/>
            <w:vAlign w:val="bottom"/>
            <w:gridSpan w:val="2"/>
          </w:tcPr>
          <w:p>
            <w:pPr>
              <w:jc w:val="right"/>
              <w:ind w:right="256"/>
              <w:spacing w:after="0"/>
              <w:rPr>
                <w:sz w:val="20"/>
                <w:szCs w:val="20"/>
                <w:color w:val="auto"/>
              </w:rPr>
            </w:pPr>
            <w:r>
              <w:rPr>
                <w:rFonts w:ascii="Arial" w:cs="Arial" w:eastAsia="Arial" w:hAnsi="Arial"/>
                <w:sz w:val="14"/>
                <w:szCs w:val="14"/>
                <w:color w:val="auto"/>
              </w:rPr>
              <w:t>Dollar change</w:t>
            </w:r>
          </w:p>
        </w:tc>
        <w:tc>
          <w:tcPr>
            <w:tcW w:w="1140" w:type="dxa"/>
            <w:vAlign w:val="bottom"/>
          </w:tcPr>
          <w:p>
            <w:pPr>
              <w:jc w:val="right"/>
              <w:ind w:right="299"/>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1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719"/>
              <w:spacing w:after="0"/>
              <w:rPr>
                <w:sz w:val="20"/>
                <w:szCs w:val="20"/>
                <w:color w:val="auto"/>
              </w:rPr>
            </w:pPr>
            <w:r>
              <w:rPr>
                <w:rFonts w:ascii="Arial" w:cs="Arial" w:eastAsia="Arial" w:hAnsi="Arial"/>
                <w:sz w:val="14"/>
                <w:szCs w:val="14"/>
                <w:b w:val="1"/>
                <w:bCs w:val="1"/>
                <w:color w:val="auto"/>
              </w:rPr>
              <w:t>2018</w:t>
            </w:r>
          </w:p>
        </w:tc>
        <w:tc>
          <w:tcPr>
            <w:tcW w:w="1460" w:type="dxa"/>
            <w:vAlign w:val="bottom"/>
          </w:tcPr>
          <w:p>
            <w:pPr>
              <w:jc w:val="right"/>
              <w:ind w:right="721"/>
              <w:spacing w:after="0"/>
              <w:rPr>
                <w:sz w:val="20"/>
                <w:szCs w:val="20"/>
                <w:color w:val="auto"/>
              </w:rPr>
            </w:pPr>
            <w:r>
              <w:rPr>
                <w:rFonts w:ascii="Arial" w:cs="Arial" w:eastAsia="Arial" w:hAnsi="Arial"/>
                <w:sz w:val="14"/>
                <w:szCs w:val="14"/>
                <w:color w:val="auto"/>
              </w:rPr>
              <w:t>2017</w:t>
            </w:r>
          </w:p>
        </w:tc>
        <w:tc>
          <w:tcPr>
            <w:tcW w:w="1180" w:type="dxa"/>
            <w:vAlign w:val="bottom"/>
          </w:tcPr>
          <w:p>
            <w:pPr>
              <w:jc w:val="right"/>
              <w:ind w:right="441"/>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jc w:val="right"/>
              <w:ind w:right="31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1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right"/>
              <w:ind w:right="276"/>
              <w:spacing w:after="0"/>
              <w:rPr>
                <w:sz w:val="20"/>
                <w:szCs w:val="20"/>
                <w:color w:val="auto"/>
              </w:rPr>
            </w:pPr>
            <w:r>
              <w:rPr>
                <w:rFonts w:ascii="Arial" w:cs="Arial" w:eastAsia="Arial" w:hAnsi="Arial"/>
                <w:sz w:val="14"/>
                <w:szCs w:val="14"/>
                <w:color w:val="auto"/>
              </w:rPr>
              <w:t>(dollars in millions)</w:t>
            </w: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1"/>
                <w:szCs w:val="21"/>
                <w:color w:val="auto"/>
              </w:rPr>
            </w:pPr>
          </w:p>
        </w:tc>
        <w:tc>
          <w:tcPr>
            <w:tcW w:w="1480" w:type="dxa"/>
            <w:vAlign w:val="bottom"/>
          </w:tcPr>
          <w:p>
            <w:pPr>
              <w:jc w:val="right"/>
              <w:ind w:right="259"/>
              <w:spacing w:after="0"/>
              <w:rPr>
                <w:sz w:val="20"/>
                <w:szCs w:val="20"/>
                <w:color w:val="auto"/>
              </w:rPr>
            </w:pPr>
            <w:r>
              <w:rPr>
                <w:rFonts w:ascii="Arial" w:cs="Arial" w:eastAsia="Arial" w:hAnsi="Arial"/>
                <w:sz w:val="18"/>
                <w:szCs w:val="18"/>
                <w:b w:val="1"/>
                <w:bCs w:val="1"/>
                <w:color w:val="auto"/>
              </w:rPr>
              <w:t>(118)</w:t>
            </w:r>
          </w:p>
        </w:tc>
        <w:tc>
          <w:tcPr>
            <w:tcW w:w="1460" w:type="dxa"/>
            <w:vAlign w:val="bottom"/>
          </w:tcPr>
          <w:p>
            <w:pPr>
              <w:jc w:val="right"/>
              <w:ind w:right="261"/>
              <w:spacing w:after="0"/>
              <w:rPr>
                <w:sz w:val="20"/>
                <w:szCs w:val="20"/>
                <w:color w:val="auto"/>
              </w:rPr>
            </w:pPr>
            <w:r>
              <w:rPr>
                <w:rFonts w:ascii="Arial" w:cs="Arial" w:eastAsia="Arial" w:hAnsi="Arial"/>
                <w:sz w:val="18"/>
                <w:szCs w:val="18"/>
                <w:color w:val="auto"/>
              </w:rPr>
              <w:t>(202)</w:t>
            </w: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216"/>
              <w:spacing w:after="0"/>
              <w:rPr>
                <w:sz w:val="20"/>
                <w:szCs w:val="20"/>
                <w:color w:val="auto"/>
              </w:rPr>
            </w:pPr>
            <w:r>
              <w:rPr>
                <w:rFonts w:ascii="Arial" w:cs="Arial" w:eastAsia="Arial" w:hAnsi="Arial"/>
                <w:sz w:val="18"/>
                <w:szCs w:val="18"/>
                <w:color w:val="auto"/>
              </w:rPr>
              <w:t>84</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(51)</w:t>
            </w:r>
          </w:p>
        </w:tc>
        <w:tc>
          <w:tcPr>
            <w:tcW w:w="114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Corporate operating loss represents corporate costs that are not directly related to the operating performance of the reportable segments.</w:t>
      </w:r>
    </w:p>
    <w:p>
      <w:pPr>
        <w:spacing w:after="0" w:line="11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decrease in operating loss for fiscal 2018 as compared to fiscal 2017, was primarily attributable to lower acquisition, integration and restructuring costs of $102 million, partially offset by increased legal fees and an asset impairment charge of $7 million.</w:t>
      </w:r>
    </w:p>
    <w:p>
      <w:pPr>
        <w:spacing w:after="0" w:line="8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The increase in operating loss for fiscal 2017 as compared to fiscal 2016, was primarily attributable to increases of $31 million of integration costs incurred related to the acquisition of the IS&amp;GS Business and $23 million of restructuring expenses due to severance costs and lease termination expenses. This was partially offset by a decrease of $19 million of acquisition costs incurred related to the IS&amp;GS Business. The acquisition costs incurred during fiscal 2017 were primarily attributable to a $24 million working capital adjustment recorded as a result of the settlement agreement reached.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earnings of non-consolidated subsidiaries</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result of the Transactions, we received certain non-controlling ownership interests in equity method investments. For fiscal 2018 and 2017, we recorded earnings of $28 million and $27 million, respectively, from our equity method investments, partially offset by amortization of $10 million and $14 million, respectively. For fiscal 2016, we recorded earnings of $10 million from our equity method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w:t>
      </w:r>
    </w:p>
    <w:p>
      <w:pPr>
        <w:spacing w:after="0" w:line="135"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Non-operating expense decreased $27 million for fiscal 2018 as compared to fiscal 2017, primarily due to a $ 33 million promissory note impairment that occurred during fiscal 2017, partially offset by unfavorable fair value changes on investments held in our benefit plans.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- 37</w:t>
      </w:r>
    </w:p>
    <w:p>
      <w:pPr>
        <w:sectPr>
          <w:pgSz w:w="11900" w:h="16838" w:orient="portrait"/>
          <w:cols w:equalWidth="0" w:num="1">
            <w:col w:w="11420"/>
          </w:cols>
          <w:pgMar w:left="240" w:top="175"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Non-operating expense increased $67 million for fiscal 2017 as compared to fiscal 2016, primarily due to interest expense associated with our term loans secured in connection with the Transactions and a $33 million promissory note impairment that occurred during fiscal 2017. The increase in non-operating expense was partially offset by favorable year-over-year foreign currency exchange movements, mostly due to the movement of the exchange rate between the U.S. dollar and the British pound.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and (4) limiting the deductibility of certain executive compensation. See “Note 20—Income Taxes” of the notes to the consolidated financial statements contained within this Annual Report on Form 10-K for further information on the impacts of this legislation.</w:t>
      </w:r>
    </w:p>
    <w:p>
      <w:pPr>
        <w:spacing w:after="0" w:line="10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Our effective tax rate was 4.6%, 7.4% and 22.6% in fiscal 2018, 2017 and 2016, respectively. The effective tax rate for fiscal 2018 was favorably impacted primarily by a decrease in valuation allowances arising from the taxable conversion of a subsidiary and the utilization of capital losses, an increase in deferred tax assets related to the stock basis of a subsidiary held for sale, excess tax benefits related to employee stock-based payment transactions and federal research tax credits.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effective tax rate for fiscal 2017 was favorably impacted primarily by the Tax Act’s reduction of the federal corporate tax rate from 35% to 21% applied to our fiscal 2017 year-end deferred tax balances and excess tax benefits related to employee stock-based payment transactions, partially offset by the impact of certain capitalized transaction costs.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effective tax rate for fiscal 2016 was favorably impacted primarily by the tax deductibility of the special cash dividend, related to the Transactions described in “Note 6—Acquisitions” on shares held by the Leidos retirement plan, excess tax benefits related to employee stock-based payment transactions and federal research tax credits, partially offset by the impact of certain capitalized transaction costs related to the Transactions.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the Transactions, we received an interest in Mission Support Alliance, LLC ("MSA"), a joint venture with Centerra Group, LLC. On January 26, 2018, we entered into a Membership Interest Purchase Agreement with Jacobs Engineering Group, Inc. ("Jacobs Group"), whereby we purchased 100% of Jacobs Group's 41% outstanding membership interest in MSA. As a result, we increased our controlling ownership in MSA from 47% to 88%. We include the financial results for MSA in our consolidated financial statements. Net income attributable to non-controlling interest for fiscal 2018 and fiscal 2016 was $1 million and $2 million, respectively, compared to net loss attributable to non-controlling interest of $2 million for fiscal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had net bookings of $13.7 billion and $9.7 billion during fiscal 2018 and 2017, respectively. 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any impacts from foreign currency.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- 38</w:t>
      </w:r>
    </w:p>
    <w:p>
      <w:pPr>
        <w:sectPr>
          <w:pgSz w:w="11900" w:h="16838" w:orient="portrait"/>
          <w:cols w:equalWidth="0" w:num="1">
            <w:col w:w="11400"/>
          </w:cols>
          <w:pgMar w:left="240" w:top="175" w:right="25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which consists of remaining performance obligations (see "Note 4—Revenues" of the notes to the consolidated financial statements contained within this Annual Report on Form 10-K) and unexercised option periods. We segregate our backlog into two categories as follows:</w:t>
      </w:r>
    </w:p>
    <w:p>
      <w:pPr>
        <w:spacing w:after="0" w:line="76" w:lineRule="exact"/>
        <w:rPr>
          <w:sz w:val="20"/>
          <w:szCs w:val="20"/>
          <w:color w:val="auto"/>
        </w:rPr>
      </w:pPr>
    </w:p>
    <w:p>
      <w:pPr>
        <w:ind w:left="660" w:right="10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for contracts with the U.S. government represents the value on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less revenues previously recognized on these contracts. Funded backlog for contracts with non-U.S. government entities and commercial customers represents the estimated value on contracts, which may cover multiple future years, under which we are obligated to perform, less revenues previously recognized on the contracts.</w:t>
      </w:r>
    </w:p>
    <w:p>
      <w:pPr>
        <w:spacing w:after="0" w:line="71"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Negotiated Unfunded Backlog. </w:t>
      </w:r>
      <w:r>
        <w:rPr>
          <w:rFonts w:ascii="Arial" w:cs="Arial" w:eastAsia="Arial" w:hAnsi="Arial"/>
          <w:sz w:val="18"/>
          <w:szCs w:val="18"/>
          <w:color w:val="auto"/>
        </w:rPr>
        <w:t>Negotiated unfunded backlog represents estimated amounts of revenue to be earned in the future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and unexercised priced contract options. Negotiated unfunded backlog does not include future potential task orders expected to be awarded under IDIQ, GSA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task orders is anticipated.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for the periods presented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color w:val="auto"/>
              </w:rPr>
              <w:t>December 29,</w:t>
            </w:r>
          </w:p>
        </w:tc>
      </w:tr>
      <w:tr>
        <w:trPr>
          <w:trHeight w:val="196"/>
        </w:trPr>
        <w:tc>
          <w:tcPr>
            <w:tcW w:w="8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r>
      <w:tr>
        <w:trPr>
          <w:trHeight w:val="250"/>
        </w:trPr>
        <w:tc>
          <w:tcPr>
            <w:tcW w:w="8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4"/>
          </w:tcPr>
          <w:p>
            <w:pPr>
              <w:jc w:val="right"/>
              <w:ind w:right="913"/>
              <w:spacing w:after="0"/>
              <w:rPr>
                <w:sz w:val="20"/>
                <w:szCs w:val="20"/>
                <w:color w:val="auto"/>
              </w:rPr>
            </w:pPr>
            <w:r>
              <w:rPr>
                <w:rFonts w:ascii="Arial" w:cs="Arial" w:eastAsia="Arial" w:hAnsi="Arial"/>
                <w:sz w:val="14"/>
                <w:szCs w:val="14"/>
                <w:color w:val="auto"/>
              </w:rPr>
              <w:t>(in millions)</w:t>
            </w:r>
          </w:p>
        </w:tc>
      </w:tr>
      <w:tr>
        <w:trPr>
          <w:trHeight w:val="256"/>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Defense Solutions: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2,811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2,384</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6,891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5,285</w:t>
            </w:r>
          </w:p>
        </w:tc>
      </w:tr>
      <w:tr>
        <w:trPr>
          <w:trHeight w:val="250"/>
        </w:trPr>
        <w:tc>
          <w:tcPr>
            <w:tcW w:w="8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Defense Solutions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9,702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7,669</w:t>
            </w: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Civil: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2,314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2,064</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5,321</w:t>
            </w:r>
          </w:p>
        </w:tc>
      </w:tr>
      <w:tr>
        <w:trPr>
          <w:trHeight w:val="250"/>
        </w:trPr>
        <w:tc>
          <w:tcPr>
            <w:tcW w:w="8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Civil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7,393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7,385</w:t>
            </w: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Health: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1,254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595</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1,827</w:t>
            </w:r>
          </w:p>
        </w:tc>
      </w:tr>
      <w:tr>
        <w:trPr>
          <w:trHeight w:val="250"/>
        </w:trPr>
        <w:tc>
          <w:tcPr>
            <w:tcW w:w="8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Health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3,737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2,422</w:t>
            </w: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Funded backlog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6,379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5,043</w:t>
            </w:r>
          </w:p>
        </w:tc>
      </w:tr>
      <w:tr>
        <w:trPr>
          <w:trHeight w:val="27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Negotiated unfunded backlog</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14,453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12,433</w:t>
            </w:r>
          </w:p>
        </w:tc>
      </w:tr>
      <w:tr>
        <w:trPr>
          <w:trHeight w:val="250"/>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Total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20,832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17,476</w:t>
            </w:r>
          </w:p>
        </w:tc>
      </w:tr>
      <w:tr>
        <w:trPr>
          <w:trHeight w:val="20"/>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backlog at December 28, 2018 included an adverse impact of $171 million when compared to total backlog at December 29, 2017, due to exchange rate movements in the British pound and Australian dollar when compared to the U.S. dollar. Total backlog at December 28, 2018 included $165 million within our Civil segment attributable to our held for sale commercial cybersecurity business. See "Note 7—Divestitures" of the notes to the consolidated financial statements contained within this Annual Report on Form 10-K for more information on the expected sale.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Bookings and backlog fluctuate from period to period depending on our success rate in winning contracts and the timing of contract awards, renewals, modifications and cancellations, as well as foreign currency movements. Contract awards may be negatively impacted by ongoing industry-wide delays in procurement decisions and budget cuts by the U.S. government as discussed in “Business Environment and Trends” in this Annual Report on Form 10-K.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- 39</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or non-U.S. government customers may include provisions that allow the customer to cancel at any time. Most of our contracts have cancellation terms that would permit us to recover all or a portion of our incurred costs and fees for work performed.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For a discussion of the types of contracts under which we generate revenues, see “Business—Contract Types” in Part I of this Annual Report on Form 10-K. Revenues by contract type as a percentage of our total revenues for the periods presented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Year Ended</w:t>
            </w:r>
          </w:p>
        </w:tc>
        <w:tc>
          <w:tcPr>
            <w:tcW w:w="1440" w:type="dxa"/>
            <w:vAlign w:val="bottom"/>
            <w:tcBorders>
              <w:bottom w:val="single" w:sz="8" w:color="auto"/>
            </w:tcBorders>
          </w:tcPr>
          <w:p>
            <w:pPr>
              <w:spacing w:after="0"/>
              <w:rPr>
                <w:sz w:val="15"/>
                <w:szCs w:val="15"/>
                <w:color w:val="auto"/>
              </w:rPr>
            </w:pPr>
          </w:p>
        </w:tc>
      </w:tr>
      <w:tr>
        <w:trPr>
          <w:trHeight w:val="175"/>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28,</w:t>
            </w:r>
          </w:p>
        </w:tc>
        <w:tc>
          <w:tcPr>
            <w:tcW w:w="1540" w:type="dxa"/>
            <w:vAlign w:val="bottom"/>
            <w:gridSpan w:val="2"/>
          </w:tcPr>
          <w:p>
            <w:pPr>
              <w:ind w:left="240"/>
              <w:spacing w:after="0"/>
              <w:rPr>
                <w:sz w:val="20"/>
                <w:szCs w:val="20"/>
                <w:color w:val="auto"/>
              </w:rPr>
            </w:pPr>
            <w:r>
              <w:rPr>
                <w:rFonts w:ascii="Arial" w:cs="Arial" w:eastAsia="Arial" w:hAnsi="Arial"/>
                <w:sz w:val="14"/>
                <w:szCs w:val="14"/>
                <w:color w:val="auto"/>
              </w:rPr>
              <w:t>December 29,</w:t>
            </w:r>
          </w:p>
        </w:tc>
        <w:tc>
          <w:tcPr>
            <w:tcW w:w="1440" w:type="dxa"/>
            <w:vAlign w:val="bottom"/>
          </w:tcPr>
          <w:p>
            <w:pPr>
              <w:jc w:val="right"/>
              <w:ind w:right="216"/>
              <w:spacing w:after="0"/>
              <w:rPr>
                <w:sz w:val="20"/>
                <w:szCs w:val="20"/>
                <w:color w:val="auto"/>
              </w:rPr>
            </w:pPr>
            <w:r>
              <w:rPr>
                <w:rFonts w:ascii="Arial" w:cs="Arial" w:eastAsia="Arial" w:hAnsi="Arial"/>
                <w:sz w:val="14"/>
                <w:szCs w:val="14"/>
                <w:color w:val="auto"/>
              </w:rPr>
              <w:t>December 30,</w:t>
            </w:r>
          </w:p>
        </w:tc>
      </w:tr>
      <w:tr>
        <w:trPr>
          <w:trHeight w:val="196"/>
        </w:trPr>
        <w:tc>
          <w:tcPr>
            <w:tcW w:w="6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2016</w:t>
            </w:r>
          </w:p>
        </w:tc>
      </w:tr>
      <w:tr>
        <w:trPr>
          <w:trHeight w:val="256"/>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Cost-reimbursement and fixed-price-incentive-fee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Firm-fixed-price</w:t>
            </w:r>
          </w:p>
        </w:tc>
        <w:tc>
          <w:tcPr>
            <w:tcW w:w="1440" w:type="dxa"/>
            <w:vAlign w:val="bottom"/>
          </w:tcPr>
          <w:p>
            <w:pPr>
              <w:jc w:val="right"/>
              <w:ind w:right="116"/>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2"/>
                <w:szCs w:val="22"/>
                <w:color w:val="auto"/>
              </w:rPr>
            </w:pPr>
          </w:p>
        </w:tc>
        <w:tc>
          <w:tcPr>
            <w:tcW w:w="1440" w:type="dxa"/>
            <w:vAlign w:val="bottom"/>
          </w:tcPr>
          <w:p>
            <w:pPr>
              <w:jc w:val="right"/>
              <w:ind w:right="118"/>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440" w:type="dxa"/>
            <w:vAlign w:val="bottom"/>
          </w:tcPr>
          <w:p>
            <w:pPr>
              <w:jc w:val="right"/>
              <w:ind w:right="116"/>
              <w:spacing w:after="0"/>
              <w:rPr>
                <w:sz w:val="20"/>
                <w:szCs w:val="20"/>
                <w:color w:val="auto"/>
              </w:rPr>
            </w:pPr>
            <w:r>
              <w:rPr>
                <w:rFonts w:ascii="Arial" w:cs="Arial" w:eastAsia="Arial" w:hAnsi="Arial"/>
                <w:sz w:val="18"/>
                <w:szCs w:val="18"/>
                <w:color w:val="auto"/>
              </w:rPr>
              <w:t>30</w:t>
            </w:r>
          </w:p>
        </w:tc>
      </w:tr>
      <w:tr>
        <w:trPr>
          <w:trHeight w:val="270"/>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Time-and-materials and fixed-price-level-of-effort</w:t>
            </w:r>
          </w:p>
        </w:tc>
        <w:tc>
          <w:tcPr>
            <w:tcW w:w="1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19</w:t>
            </w:r>
          </w:p>
        </w:tc>
      </w:tr>
      <w:tr>
        <w:trPr>
          <w:trHeight w:val="25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Liquidity</w:t>
      </w:r>
    </w:p>
    <w:p>
      <w:pPr>
        <w:spacing w:after="0" w:line="13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of December 28, 2018, we had $327 million in cash and cash equivalents. In addition, we have a secured revolving credit facility which can provide up to $750 million in secured borrowing capacity, if required. During fiscal 2018 and 2017, there were no borrowings outstanding under the credit facility and we were in compliance with the financial covenants.</w:t>
      </w:r>
    </w:p>
    <w:p>
      <w:pPr>
        <w:spacing w:after="0" w:line="9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2016, our Board of Directors declared a special dividend of $13.64 per share of Leidos common stock. Consequently, on August 22, 2016, we paid $993 million to stockholders of record as of August 15, 2016, and accrued $29 million of dividend equivalents with respect to the outstanding unvested equity awards. In addition, we paid dividends of $198 million for fiscal 2018 and 2017, and $142 million for fiscal 2016.</w:t>
      </w:r>
    </w:p>
    <w:p>
      <w:pPr>
        <w:spacing w:after="0" w:line="9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At December 28, 2018 and December 29, 2017, we had outstanding debt of $3.1 billion. The notes outstanding as of December 28, 2018, contain financial covenants and customary restrictive covenants. We were in compliance with all covenants as of December 28, 2018.</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 Transactions, Leidos incurred $2.5 billion of new indebtedness in the form of term loans (see "Note 6—Acquisitions" of the notes to the consolidated financial statements contained within this Annual Report on Form 10-K). During fiscal 2018 and 2017, we made $59 million and $209 million of principal payments, respectively, on our long-term debt, which was primarily related to our senior secured term loans. This activity included $46 million and $76 million of required quarterly payments on our term loans during fiscal 2018 and fiscal 2017, respectively. In April 2018, we made a required debt prepayment of $10 million on our senior secured term loans. The prepayment was a result of the annual excess cash flow calculation clause in our credit agreements. In addition to the required quarterly payments, we prepaid $130 million and $275 million on our term loans during fiscal 2017 and fiscal 2016, respectively (see "Note 15—Debt" of the notes to the consolidated financial statements contained within this Annual Report on Form 10-K).</w:t>
      </w:r>
    </w:p>
    <w:p>
      <w:pPr>
        <w:spacing w:after="0" w:line="9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During fiscal 2018, 2017 and 2016, we entered into interest rate swap agreements to hedge the cash flows on our variable rate senior secured term loans (see "Note 14—Derivative Instruments" of the notes to the consolidated financial statements contained within this Annual Report on Form 10-K). As of December 28, 2018, we had cash flow interest rate swaps on $1.5 billion of the Company's variable rate senior secured term loans. The objective of these instruments is to reduce variability in the forecasted interest payments of our variable rate secured notes.</w:t>
      </w:r>
    </w:p>
    <w:p>
      <w:pPr>
        <w:spacing w:after="0" w:line="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- 40</w:t>
      </w:r>
    </w:p>
    <w:p>
      <w:pPr>
        <w:sectPr>
          <w:pgSz w:w="11900" w:h="16838" w:orient="portrait"/>
          <w:cols w:equalWidth="0" w:num="1">
            <w:col w:w="11400"/>
          </w:cols>
          <w:pgMar w:left="240" w:top="175"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Stock repurchases of Leidos common stock may be made on the open market or in privately negotiated transactions with third parties including through accelerated share repurchase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96"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During fiscal 2018, we entered into an ASR agreement with a financial institution, whereby we paid an aggregate of $ 250 million and received approximately 4 million shares of Leidos outstanding shares of common stock during the fourth quarter of fiscal 2018 (see "Note 18—Earnings Per Share" of the notes to the consolidated financial statements contained within this Annual Report on Form 10-K). All shares delivered were immediately retired. Additionally, during fiscal 2018, we made open market repurchases of our common stock for an aggregate purchase price of $167 million. During fiscal 2017 and fiscal 2016, there were no open market repurchases of our common stock.</w:t>
      </w:r>
    </w:p>
    <w:p>
      <w:pPr>
        <w:spacing w:after="0" w:line="9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For the next 12 months, we anticipate that we will be able to meet our liquidity needs, including servicing our debt, through cash generated from operations, available cash balances and, if needed, borrowings from our revolving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 information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6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 of continuing operations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 of continuing operations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decrease in cash, cash equivalents and restricted cash from discontinued</w:t>
            </w:r>
          </w:p>
        </w:tc>
        <w:tc>
          <w:tcPr>
            <w:tcW w:w="160" w:type="dxa"/>
            <w:vAlign w:val="bottom"/>
          </w:tcPr>
          <w:p>
            <w:pPr>
              <w:spacing w:after="0"/>
              <w:rPr>
                <w:sz w:val="19"/>
                <w:szCs w:val="19"/>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increased $242 million for fiscal 2018 as compared to fiscal 2017. The increase was primarily due to lower payments for taxes, integration and restructuring costs and proceeds received from the termination of interest rate swaps. This was partially offset by $24 million of cash paid related to the 2016 acquisition of the IS&amp;GS Business.</w:t>
      </w:r>
    </w:p>
    <w:p>
      <w:pPr>
        <w:spacing w:after="0" w:line="9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Net cash provided by operating activities increased $77 million for fiscal 2017 as compared to fiscal 2016. The increase was primarily due to the favorable timing of working capital changes, partially offset by higher integration and restructuring costs and higher payments for interest and taxes.</w:t>
      </w:r>
    </w:p>
    <w:p>
      <w:pPr>
        <w:spacing w:after="0" w:line="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Net cash used in investing activities increased $43 million for fiscal 2018 as compared to fiscal 2017. The increase was primarily due to $81 million of cash paid related to the 2016 acquisition of the IS&amp;GS Business, partially offset by $40 million of proceeds from the settlement of a promissory note.</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Net cash used in investing activities increased $ 97 million for fiscal 2017 as compared to fiscal 2016. The increase was primarily due to cash acquired as part of the acquisition of the IS&amp;GS Business in fiscal 2016, proceeds received from the divestiture of the heavy construction business in fiscal 2016 and higher purchases of property, plant and equipment.</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used in financing activities increased $278 million for fiscal 2018 as compared to fiscal 2017. The increase was primarily due to $250 million of stock repurchases under the ASR program, $167 million of open market stock repurchases and $ 23 million of cash paid related to a tax indemnification liability. This was partially offset by $150 million of lower debt payments and $14 million of proceeds received from a real estate financing transaction.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- 41</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financing activities decreased $322 million for fiscal 2017 as compared to fiscal 2016. The decrease was primarily due to a special dividend cash payment in connection with the Transactions of $993 million in fiscal 2016 and decreased payments of long-term debt of $68 million, partially offset by net proceeds from debt issuance activity of $660 million in fiscal 2016 as well as higher dividend payments of $56 million and less proceeds from issuances of stock of $12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outstanding performance guarantees and cross-indemnity agreements in connection with certain aspects of our business. We also have letters of credit outstanding principally related to performance guarantees on contracts and surety bonds outstanding principally related to performance and subcontractor payment bonds as described in "Note 26—Commitments" of the notes to the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The following table summarizes, as of December 28, 2018, our obligations to make future payments pursuant to certain contracts or arrangements and provides an estimate of the fiscal years in which these obligations are expected to be satisfied: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5"/>
              <w:spacing w:after="0"/>
              <w:rPr>
                <w:sz w:val="20"/>
                <w:szCs w:val="20"/>
                <w:color w:val="auto"/>
              </w:rPr>
            </w:pPr>
            <w:r>
              <w:rPr>
                <w:rFonts w:ascii="Arial" w:cs="Arial" w:eastAsia="Arial" w:hAnsi="Arial"/>
                <w:sz w:val="14"/>
                <w:szCs w:val="14"/>
                <w:color w:val="auto"/>
              </w:rPr>
              <w:t>2024 and</w:t>
            </w:r>
          </w:p>
        </w:tc>
      </w:tr>
      <w:tr>
        <w:trPr>
          <w:trHeight w:val="178"/>
        </w:trPr>
        <w:tc>
          <w:tcPr>
            <w:tcW w:w="4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thereafter</w:t>
            </w:r>
          </w:p>
        </w:tc>
      </w:tr>
      <w:tr>
        <w:trPr>
          <w:trHeight w:val="250"/>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70"/>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2,219</w:t>
            </w:r>
          </w:p>
        </w:tc>
      </w:tr>
      <w:tr>
        <w:trPr>
          <w:trHeight w:val="270"/>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246</w:t>
            </w:r>
          </w:p>
        </w:tc>
      </w:tr>
      <w:tr>
        <w:trPr>
          <w:trHeight w:val="263"/>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r>
      <w:tr>
        <w:trPr>
          <w:trHeight w:val="244"/>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2,518</w:t>
            </w:r>
          </w:p>
        </w:tc>
      </w:tr>
      <w:tr>
        <w:trPr>
          <w:trHeight w:val="20"/>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180" w:right="500" w:hanging="172"/>
        <w:spacing w:after="0" w:line="218"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We have excluded purchase orders for services or products to be delivered pursuant to U.S. government contracts for which we are entitled to full recourse under normal contract termination clauses.</w:t>
      </w:r>
    </w:p>
    <w:p>
      <w:pPr>
        <w:spacing w:after="0" w:line="43" w:lineRule="exact"/>
        <w:rPr>
          <w:rFonts w:ascii="Arial" w:cs="Arial" w:eastAsia="Arial" w:hAnsi="Arial"/>
          <w:sz w:val="18"/>
          <w:szCs w:val="18"/>
          <w:color w:val="auto"/>
          <w:vertAlign w:val="superscript"/>
        </w:rPr>
      </w:pPr>
    </w:p>
    <w:p>
      <w:pPr>
        <w:ind w:left="180" w:right="280" w:hanging="172"/>
        <w:spacing w:after="0" w:line="229"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total interest payments on our outstanding debt. Interest payments represent $161 million, $125 million, $118 million, $110 million and $98 million of the balance for fiscal 2019, 2020, 2021, 2022 and 2023, respectively, and $542 million for fiscal 2024 and thereafter. The total interest payments on our outstanding term loan debt are calculated based on the stated variable rates of the notes as of December 28, 2018. The total interest payments on our outstanding senior fixed rate secured and unsecured notes are calculated based on the stated fixed rates and do not reflect the variable interest component due to the interest rate swap agreements.</w:t>
      </w:r>
    </w:p>
    <w:p>
      <w:pPr>
        <w:spacing w:after="0" w:line="43" w:lineRule="exact"/>
        <w:rPr>
          <w:rFonts w:ascii="Arial" w:cs="Arial" w:eastAsia="Arial" w:hAnsi="Arial"/>
          <w:sz w:val="18"/>
          <w:szCs w:val="18"/>
          <w:color w:val="auto"/>
          <w:vertAlign w:val="superscript"/>
        </w:rPr>
      </w:pPr>
    </w:p>
    <w:p>
      <w:pPr>
        <w:ind w:left="180" w:right="200" w:hanging="172"/>
        <w:spacing w:after="0" w:line="233"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Other long-term liabilities were allocated by fiscal year as follows: liabilities under deferred compensation arrangements are based upon the average annual payments in prior years upon termination of employment by participants and other liabilities are based on the fiscal year that the liabilities are expected to be realized. The table above does not include income tax liabilities for uncertain tax positions of $3 million and $4 million of other tax liabilities, as we are not able to reasonably estimate the timing of payments in individual years due to uncertainties in the timing of audit outcomes and when settlements will become due. There is no obligation included for our foreign defined benefit pension plan, as the plan is overfunded as of December 28, 2018. For a discussion of potential changes in these pension obligations, see "Note 21—Retirement Plans" of the notes to the consolidated financial statements contained within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a number of reviews, investigations, claims, lawsuits, other uncertainties and future obligations related to our business. For a discussion of these items, see "Note 22—Leases," "Note 25—Contingencies" and "Note 26—Commitments" of the notes to the consolidated financial statements contained within this Annual Report on Form 10-K.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- 42</w:t>
      </w:r>
    </w:p>
    <w:p>
      <w:pPr>
        <w:sectPr>
          <w:pgSz w:w="11900" w:h="16838" w:orient="portrait"/>
          <w:cols w:equalWidth="0" w:num="1">
            <w:col w:w="11420"/>
          </w:cols>
          <w:pgMar w:left="240" w:top="175"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and best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9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identified the following accounting policies as critical because they require significant judgments and assumptions about highly complex and inherently uncertain matters and the use of reasonably different estimates and assumptions could have a material impact on our results of operations or financial condition.</w:t>
      </w:r>
    </w:p>
    <w:p>
      <w:pPr>
        <w:spacing w:after="0" w:line="9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on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Intangible Assets Impairment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revenues from contracts with customers are from offerings including enterprise modernization; cyber operations; operations and logistics; mission software systems; integrated systems; sensors and phenomenology; and mission support, primarily with the U.S. government and its agencies. We also serve various state and local governments, foreign governments and U.S. commercial customers.</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perform under various types of contracts, which include firm-fixed-price ("FFP"), time-and-materials ("T&amp;M"), fixed-price-level-of-effort ("FP-LOE"), cost-plus-fixed-fee, cost-plus-award-fee, cost-plus-incentive-fee and fixed-price-incentive-fee contracts.</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IDIQ award. In addition, we assess contract modifications to determine whether the changes to existing contracts should be accounted for as part of the original contract or as a separate contract. Contract modifications for us generally relate to changes in contract specifications and requirements and do not add distinct services, and therefore are accounted for as part of the original contract. If contract modifications add distinct goods or services and increase the contract value by an amount that reflects the standalone selling price, those modifications are accounted for as separate contracts.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Most of our contracts are comprised of multiple promises including the design and build of software-based systems, integration of hardware and software solutions, running and maintaining of IT infrastructure and procurement services. In all cases,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1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contracts when they include distinct goods or services at standalone selling prices.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- 43</w:t>
      </w:r>
    </w:p>
    <w:p>
      <w:pPr>
        <w:sectPr>
          <w:pgSz w:w="11900" w:h="16838" w:orient="portrait"/>
          <w:cols w:equalWidth="0" w:num="1">
            <w:col w:w="11400"/>
          </w:cols>
          <w:pgMar w:left="240" w:top="175" w:right="2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Contracts with the U.S. government are subject to the Federal Acquisition Regulation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In circumstances where the standalone selling price is not directly observable, we estimate the standalone selling price using the expected cost plus margin approach. We exclude any taxes collected or imposed when determining the transaction price.</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allocate the transaction price of a contract to our performance obligations in the proportion of its respective standalone selling prices. The standalone selling price of our performance obligations is generally based on an expected cost-plus margin approach, in accordance with the FAR. For certain product sales, we use prices from other standalone sales. Substantially all of our contracts do not contain a significant financing component, which would require an adjustment to the transaction price of the contract.</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recognize revenue on our service based contracts primarily over time as there is continuous transfer of control to the customer over the duration of the contract as we perform the promised services.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that do not have an alternate use to us. Anticipated losses on service based contracts are recognized when known. In certain product sales, where the products have an alternate use, we recognize revenue at a point in time when the customer takes control of the asset usually denoted by possession and legal title.</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FFP contracts, revenue recognized over time generally uses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we include in an EAC of a performance obligation future losses estimated to be incurred on onerous contracts, as and when known. On certain other contracts, principally T&amp;M, FP-LOE, and cost-plus, revenue is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certain performance obligations, we are not primarily responsible for fulfilling the promise to provide the goods or service to the customer, do not have inventory risk and do not have discretion in establishing the price for the goods or service. In such cases, we recognize revenue on a net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Estimates on Contracts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estimates related to contracts accounted for using the cost-to-cost method of accounting are recognized in the period in which such changes are made for the inception-to-date effect of the changes, with the exception of contracts acquired through the acquisition of the IS&amp;GS Business, where the adjustment is made for the period commencing from the date of acquisition.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- 44</w:t>
      </w:r>
    </w:p>
    <w:p>
      <w:pPr>
        <w:sectPr>
          <w:pgSz w:w="11900" w:h="16838" w:orient="portrait"/>
          <w:cols w:equalWidth="0" w:num="1">
            <w:col w:w="11400"/>
          </w:cols>
          <w:pgMar w:left="240" w:top="175" w:right="25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Changes in estimates on contracts for the periods presented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5"/>
                <w:szCs w:val="15"/>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color w:val="auto"/>
              </w:rPr>
              <w:t>December 29,</w:t>
            </w:r>
          </w:p>
        </w:tc>
        <w:tc>
          <w:tcPr>
            <w:tcW w:w="280" w:type="dxa"/>
            <w:vAlign w:val="bottom"/>
          </w:tcPr>
          <w:p>
            <w:pPr>
              <w:spacing w:after="0"/>
              <w:rPr>
                <w:sz w:val="15"/>
                <w:szCs w:val="15"/>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2016</w:t>
            </w: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180" w:type="dxa"/>
            <w:vAlign w:val="bottom"/>
            <w:gridSpan w:val="5"/>
          </w:tcPr>
          <w:p>
            <w:pPr>
              <w:jc w:val="center"/>
              <w:ind w:right="59"/>
              <w:spacing w:after="0"/>
              <w:rPr>
                <w:sz w:val="20"/>
                <w:szCs w:val="20"/>
                <w:color w:val="auto"/>
              </w:rPr>
            </w:pPr>
            <w:r>
              <w:rPr>
                <w:rFonts w:ascii="Arial" w:cs="Arial" w:eastAsia="Arial" w:hAnsi="Arial"/>
                <w:sz w:val="14"/>
                <w:szCs w:val="14"/>
                <w:color w:val="auto"/>
              </w:rPr>
              <w:t>(in millions, except for per share amounts)</w:t>
            </w: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favorable impact to income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r>
      <w:tr>
        <w:trPr>
          <w:trHeight w:val="25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Impact on diluted EPS attributable to Leidos common stockholders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0.52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0.41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0.22</w:t>
            </w:r>
          </w:p>
        </w:tc>
      </w:tr>
    </w:tbl>
    <w:p>
      <w:pPr>
        <w:spacing w:after="0" w:line="1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increase in the changes in estimates on contracts from fiscal 2016 to fiscal 2017 is primarily due to completion of contracts or events which mitigated risk and due to the finalization of award and incentive fees.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impact on diluted EPS attributable to Leidos common stockholders is calculated using our statutory tax rate.</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fiscal 2018, revenue recognized from performance obligations satisfied in previous periods was $102 million. The changes primarily relate to revisions of variable consideration, including award fees, and revisions to estimates at completion resulting from changes in contract scope, mitigation of contract risks or due to true-ups of contract estimates at the end of contract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instead is tested annually for impairment at the reporting unit level and tested more frequently if events or circumstances indicate that the carrying value may not be recoverable. Our policy is to perform our annual goodwill impairment evaluation as of the first day of the fourth quarter of our fiscal year. During fiscal 2018, we had five reporting units for the purpose of testing goodwill for impairment.</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Goodwill is evaluated for impairment either under a qualitative assessment option or a quantitative approach depending on the facts and circumstances of a reporting unit, consideration of the excess of a reporting unit's fair value over its carrying amount in previous assessments and changes in business environment.</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When performing a qualitative assessment, we consider factors including, but not limited to, current macroeconomic conditions, industry and market conditions, cost factors, financial performance and other events relevant to the entity or reporting unit under evaluation to determine whether it is more likely than not that the fair value of a reporting unit is less than its carrying amount. If we determine that it is more likely than not that a reporting unit’s fair value is less than its carrying amount, a quantitative goodwill impairment test is performed.</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When performing a quantitative goodwill impairment test, the reporting unit carrying value is compared to its fair value. Goodwill is deemed impaired if, and the impairment loss is recognized for the amount by which, the reporting unit carrying value exceeds its fair value. For fiscal 2018, a qualitative analysis was performed for four of our reporting units and a quantitative step one analysis was performed for one reporting unit. A quantitative analysis was performed for all reporting units for fiscal 2017.</w:t>
      </w:r>
    </w:p>
    <w:p>
      <w:pPr>
        <w:spacing w:after="0" w:line="9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estimate the fair value of each reporting unit using both market and income approaches when a quantitative analysis is performed. To determine the fair value of the reporting units, the outputs from both methods are equally weighted.</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market approach is a technique where the fair value is calculated based on the multiples of comparable publicly-traded companies that provide a reasonable basis of comparison with each of our reporting units. Valuation ratios are selected that relate market prices to selected financial metrics from comparable companies. These ratios are applied after consideration of adjustments and weightings related to financial position, growth, volatility, working capital movement and other factors. Due to the fact that stock prices of comparable companies represent minority interests, we also consider an acquisition control premium to reflect the impact of additional value associated with a controlling interest.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- 45</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income approach is a technique where the fair value is calculated based on present value future cash flows using risk-adjusted discount rates, which represent the weighted-average cost of capital ("WACC") for each reporting unit. Determination of WACC includes assessing the cost of equity and debt as of the valuation date. In addition, a terminal value is developed for forecasted future cash flows beyond the projection period discounted back to the present value. The forecasts used in our estimation of fair value are developed by management based on business and market considerations.</w:t>
      </w:r>
    </w:p>
    <w:p>
      <w:pPr>
        <w:spacing w:after="0" w:line="9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goodwill impairment test process and valuation model is based upon certain key assumptions that require the exercise of significant judgment and assumptions including the use of appropriate financial projections, economic expectations, WACC and expected long-term growth rates, as well as using available market data. Significant changes to these estimates and assumptions could adversely impact our conclusions and actual future results may differ from the estimates. In addition, the identification of reporting units and the allocation of assets and liabilities to the reporting units when determining the carrying value of each reporting unit also requires judgment.</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Based on a qualitative analysis performed during our annual impairment evaluation for fiscal 2018 for certain of our reporting units, it was determined that it is more likely than not that the fair values of the reporting units were in excess of the individual reporting unit carrying values, and as a result, a quantitative step one analysis was not necessary. Additionally, based on the results of the quantitative step one analysis for one of our reporting units, it was determined that the fair value significantly exceeded the reporting unit's carrying value. We did not recognize any goodwill impairments during 2018, 2017 or 2016.</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By definition, assumptions used in estimating the fair value of a reporting unit are judgmental and inherently uncertain. A significant change in the economic conditions of a reporting unit, such as declines in business performance, changes in government fiscal policies, deterioration in market conditions, adverse estimates of regulatory or legislative changes or increases in the estimated cost of equity, could cause the estimated fair values of our reporting units to decline in the future and increase the risk of a goodwill impairment charge to earnings in a future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Impairment</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 Intangible assets with indefinite lives are not amortized but are assessed for impairment at the beginning of the fourth quarter and whenever events or changes in circumstances indicate that the carrying value may not be recoverable. Additionally, indefinite-lived intangible assets are not being amortized until such time that the useful life is determined to no longer be indefinite.</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were no intangible asset impairment charges recognized in fiscal 2018, 2017 and 2016. The net carrying value of intangible assets as of December 28, 2018, was $652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account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Recording our provision for income taxes requires management to make significant judgments and estimates for matters whose ultimate resolution may not become known until the final resolution of an examination by the IRS or state agencies. Additionally, recording liabilities for uncertain tax positions involves significant judgment in evaluating our tax positions and developing our best estimate of the taxes ultimately expected to be paid.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- 46</w:t>
      </w:r>
    </w:p>
    <w:p>
      <w:pPr>
        <w:sectPr>
          <w:pgSz w:w="11900" w:h="16838" w:orient="portrait"/>
          <w:cols w:equalWidth="0" w:num="1">
            <w:col w:w="11420"/>
          </w:cols>
          <w:pgMar w:left="240" w:top="175"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have experienced years when liabilities for uncertain tax positions were settled for amounts different from recorded amounts as described in "Note 20—Income Taxes" of the notes to the consolidated financial statements contained within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discussion of these items, see "Note 2—Accounting Standards" of the notes to the consolidated financial statements contained within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exposure to market risk for changes in interest rates relates primarily to long-term debt obligations and derivatives. Our policy authorizes, with Board of Directors' approval, the limited use of derivative instruments to hedge specific interest rate risks.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derivatives</w:t>
      </w:r>
    </w:p>
    <w:p>
      <w:pPr>
        <w:spacing w:after="0" w:line="1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At December 28, 2018 and December 29, 2017, we had $ 3.1 billion of fixed and variable rate debt. During fiscal 2016, in connection with the acquisition of the IS&amp;GS Business, Leidos, Inc. secured a new term loan of $690 million. As a result of the acquisition, Leidos assumed the IS&amp;GS Business' term loans of $1.8 billion, which were obtained by the IS&amp;GS Business immediately prior to the Transactions. These senior secured term loans have variable stated interest rates that are determined based on the LIBOR rate plus a margin. As a result, we may experience fluctuations in interest expense.</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interest rate swap agreements to hedge the cash flows of a portion of our variable rate senior secured term loans ("Variable Rate Loans"). Under the terms of the interest rate swap agreements, we receive variable interest payments based on the one-month LIBOR rate and pay interest at a fixed rate. The interest rate swap agreements on $1.1 billion of our Variable Rate Loans had a maturity date of December</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2021 and a fixed interest rate of 1.08%. The interest rate swap agreements on $300 million and $250 million of our Variable Rate Loans had a maturity date of August 2022 and fixed interest rates of 1.66% and 2.59%, respectively. During fiscal 2018, we terminated these interest rate swaps and entered into new interest rate swap agreements, which mature in August 2025 and have a fixed interest rate of 3.00%, to hedge the cash flows of $1.5 billion of our Variable Rate Loans. The interest rate swap agreements effectively converted a portion of our variable rate borrowings to fixed rate borrowings. As of December 28, 2018, and December 29, 2017, the fair value of our interest rate swap agreements with respect to our variable rate senior secured loans was a $32 million liability and a $37 million asset, respectively.</w:t>
      </w:r>
    </w:p>
    <w:p>
      <w:pPr>
        <w:spacing w:after="0" w:line="1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Additionally, we have interest rate swap agreements with respect to all of the $450 million aggregate principal outstanding on our fixed rate 4.45% notes maturing in December 2020. The interest rate swap agreements effectively converted a portion of our fixed-rate debt to floating-rate debt tied to the changes in the six-month LIBOR benchmark interest rate. As a result, we may experience fluctuations in interest expense. Under the terms of the interest rate swap agreements, we will receive semi-annual interest payments at the coupon rate of 4.45% and will pay variable interest based on the six-month LIBOR rate. As of December 28, 2018, and December 29, 2017, the fair value of our interest rate swaps with respect to our fixed rate debt was a $3 million liability and an immaterial amount, respectively.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- 47</w:t>
      </w:r>
    </w:p>
    <w:p>
      <w:pPr>
        <w:sectPr>
          <w:pgSz w:w="11900" w:h="16838" w:orient="portrait"/>
          <w:cols w:equalWidth="0" w:num="1">
            <w:col w:w="11400"/>
          </w:cols>
          <w:pgMar w:left="240" w:top="175" w:right="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counterparties to these agreements are financial institutions. We do not hold or issue derivative financial instruments for trading or speculative purposes. We cannot predict future market fluctuations in interest rates and their impact on our interest rate swaps. For fiscal 2018 and fiscal 2017, a hypothetical 10% movement in the six-month LIBOR rate would result in a $15 million and $8 million amount, respectively, related to our annual interest expense due to the interest rate swaps. For fiscal 2018 and fiscal 2017, a hypothetical 10% movement in the one-month LIBOR rate would result in a $12 million and $11 million amount, respectively, related to our annual interest expense due to the interest rate swaps and variable rate debt. The net hypothetical 10% movement in the six-month and one-month LIBOR rates would not have a significant impact on our annual interest expense. For additional information related to our interest rate swap agreements and debt, see "Note 14—Derivative Instruments" and "Note 15—Debt," respectively, of the notes to the consolidated financial statements contained within this Annual Report on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December 28, 2018, and December 29, 2017, our cash and cash equivalents included investments in several large institutional money market funds and bank deposits. For fiscal 2018 and fiscal 2017, a hypothetical 10% interest rate movement would not have a significant impact on the value of our holdings or on interest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represented 9% of total revenues for both fiscal 2018 and fiscal 2017.</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- 48</w:t>
      </w:r>
    </w:p>
    <w:p>
      <w:pPr>
        <w:sectPr>
          <w:pgSz w:w="11900" w:h="16838" w:orient="portrait"/>
          <w:cols w:equalWidth="0" w:num="1">
            <w:col w:w="11400"/>
          </w:cols>
          <w:pgMar w:left="240" w:top="175" w:right="2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6"/>
          </w:tcPr>
          <w:p>
            <w:pPr>
              <w:jc w:val="center"/>
              <w:ind w:right="3640"/>
              <w:spacing w:after="0"/>
              <w:rPr>
                <w:sz w:val="20"/>
                <w:szCs w:val="20"/>
                <w:color w:val="auto"/>
              </w:rPr>
            </w:pPr>
            <w:r>
              <w:rPr>
                <w:rFonts w:ascii="Arial" w:cs="Arial" w:eastAsia="Arial" w:hAnsi="Arial"/>
                <w:sz w:val="18"/>
                <w:szCs w:val="18"/>
                <w:b w:val="1"/>
                <w:bCs w:val="1"/>
                <w:color w:val="auto"/>
                <w:w w:val="96"/>
              </w:rPr>
              <w:t>PART II</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45"/>
        </w:trPr>
        <w:tc>
          <w:tcPr>
            <w:tcW w:w="10280" w:type="dxa"/>
            <w:vAlign w:val="bottom"/>
            <w:gridSpan w:val="1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0" w:type="dxa"/>
            <w:vAlign w:val="bottom"/>
            <w:gridSpan w:val="7"/>
          </w:tcPr>
          <w:p>
            <w:pPr>
              <w:jc w:val="center"/>
              <w:ind w:right="2540"/>
              <w:spacing w:after="0"/>
              <w:rPr>
                <w:sz w:val="20"/>
                <w:szCs w:val="20"/>
                <w:color w:val="auto"/>
              </w:rPr>
            </w:pPr>
            <w:r>
              <w:rPr>
                <w:rFonts w:ascii="Arial" w:cs="Arial" w:eastAsia="Arial" w:hAnsi="Arial"/>
                <w:sz w:val="18"/>
                <w:szCs w:val="18"/>
                <w:b w:val="1"/>
                <w:bCs w:val="1"/>
                <w:color w:val="auto"/>
              </w:rPr>
              <w:t>LEIDOS HOLDINGS, INC.</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52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8"/>
        </w:trPr>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43"/>
        </w:trPr>
        <w:tc>
          <w:tcPr>
            <w:tcW w:w="10280" w:type="dxa"/>
            <w:vAlign w:val="bottom"/>
            <w:gridSpan w:val="12"/>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38"/>
        </w:trPr>
        <w:tc>
          <w:tcPr>
            <w:tcW w:w="180" w:type="dxa"/>
            <w:vAlign w:val="bottom"/>
          </w:tcPr>
          <w:p>
            <w:pPr>
              <w:spacing w:after="0"/>
              <w:rPr>
                <w:sz w:val="24"/>
                <w:szCs w:val="24"/>
                <w:color w:val="auto"/>
              </w:rPr>
            </w:pPr>
          </w:p>
        </w:tc>
        <w:tc>
          <w:tcPr>
            <w:tcW w:w="4600" w:type="dxa"/>
            <w:vAlign w:val="bottom"/>
            <w:gridSpan w:val="5"/>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Report of Independent Registered Public Accounting Firm</w:t>
              </w:r>
            </w:hyperlink>
          </w:p>
        </w:tc>
        <w:tc>
          <w:tcPr>
            <w:tcW w:w="5500" w:type="dxa"/>
            <w:vAlign w:val="bottom"/>
            <w:gridSpan w:val="6"/>
          </w:tcPr>
          <w:p>
            <w:pPr>
              <w:spacing w:after="0"/>
              <w:rPr>
                <w:sz w:val="24"/>
                <w:szCs w:val="24"/>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1010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as of December 28, 2018 and December 29, 2017</w:t>
              </w:r>
            </w:hyperlink>
          </w:p>
        </w:tc>
        <w:tc>
          <w:tcPr>
            <w:tcW w:w="114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1010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Income for the fiscal years ended December 28, 2018, December 29, 2017 and December 30,</w:t>
              </w:r>
            </w:hyperlink>
          </w:p>
        </w:tc>
        <w:tc>
          <w:tcPr>
            <w:tcW w:w="114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80" w:type="dxa"/>
            <w:vAlign w:val="bottom"/>
            <w:gridSpan w:val="2"/>
          </w:tcPr>
          <w:p>
            <w:pPr>
              <w:ind w:left="180"/>
              <w:spacing w:after="0" w:line="182"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2016</w:t>
              </w:r>
            </w:hyperlink>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Consolidated Statements of Comprehensive Income for the fiscal years ended December 28, 2018, December 29, 2017 and</w:t>
              </w:r>
            </w:hyperlink>
          </w:p>
        </w:tc>
        <w:tc>
          <w:tcPr>
            <w:tcW w:w="220" w:type="dxa"/>
            <w:vAlign w:val="bottom"/>
            <w:gridSpan w:val="2"/>
          </w:tcPr>
          <w:p>
            <w:pPr>
              <w:spacing w:after="0"/>
              <w:rPr>
                <w:sz w:val="24"/>
                <w:szCs w:val="24"/>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183"/>
        </w:trPr>
        <w:tc>
          <w:tcPr>
            <w:tcW w:w="180" w:type="dxa"/>
            <w:vAlign w:val="bottom"/>
          </w:tcPr>
          <w:p>
            <w:pPr>
              <w:spacing w:after="0"/>
              <w:rPr>
                <w:sz w:val="15"/>
                <w:szCs w:val="15"/>
                <w:color w:val="auto"/>
              </w:rPr>
            </w:pPr>
          </w:p>
        </w:tc>
        <w:tc>
          <w:tcPr>
            <w:tcW w:w="15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December 30, 2016</w:t>
              </w:r>
            </w:hyperlink>
          </w:p>
        </w:tc>
        <w:tc>
          <w:tcPr>
            <w:tcW w:w="8300" w:type="dxa"/>
            <w:vAlign w:val="bottom"/>
            <w:tcBorders>
              <w:top w:val="single" w:sz="8" w:color="0000EE"/>
            </w:tcBorders>
            <w:gridSpan w:val="6"/>
          </w:tcPr>
          <w:p>
            <w:pPr>
              <w:spacing w:after="0"/>
              <w:rPr>
                <w:sz w:val="15"/>
                <w:szCs w:val="15"/>
                <w:color w:val="auto"/>
              </w:rPr>
            </w:pPr>
          </w:p>
        </w:tc>
        <w:tc>
          <w:tcPr>
            <w:tcW w:w="22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80" w:type="dxa"/>
            <w:vAlign w:val="bottom"/>
          </w:tcPr>
          <w:p>
            <w:pPr>
              <w:spacing w:after="0"/>
              <w:rPr>
                <w:sz w:val="24"/>
                <w:szCs w:val="24"/>
                <w:color w:val="auto"/>
              </w:rPr>
            </w:pPr>
          </w:p>
        </w:tc>
        <w:tc>
          <w:tcPr>
            <w:tcW w:w="9660" w:type="dxa"/>
            <w:vAlign w:val="bottom"/>
            <w:gridSpan w:val="7"/>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Consolidated Statements of Equity for the fiscal years ended December 28, 2018, December 29, 2017 and December 30,</w:t>
              </w:r>
            </w:hyperlink>
          </w:p>
        </w:tc>
        <w:tc>
          <w:tcPr>
            <w:tcW w:w="440" w:type="dxa"/>
            <w:vAlign w:val="bottom"/>
            <w:gridSpan w:val="4"/>
          </w:tcPr>
          <w:p>
            <w:pPr>
              <w:spacing w:after="0"/>
              <w:rPr>
                <w:sz w:val="24"/>
                <w:szCs w:val="24"/>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80" w:type="dxa"/>
            <w:vAlign w:val="bottom"/>
            <w:gridSpan w:val="2"/>
          </w:tcPr>
          <w:p>
            <w:pPr>
              <w:ind w:left="180"/>
              <w:spacing w:after="0" w:line="182"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2016</w:t>
              </w:r>
            </w:hyperlink>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9740" w:type="dxa"/>
            <w:vAlign w:val="bottom"/>
            <w:gridSpan w:val="8"/>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Consolidated Statements of Cash Flows for the fiscal years ended December 28, 2018, December 29, 2017 and December</w:t>
              </w:r>
            </w:hyperlink>
          </w:p>
        </w:tc>
        <w:tc>
          <w:tcPr>
            <w:tcW w:w="360" w:type="dxa"/>
            <w:vAlign w:val="bottom"/>
            <w:gridSpan w:val="3"/>
          </w:tcPr>
          <w:p>
            <w:pPr>
              <w:spacing w:after="0"/>
              <w:rPr>
                <w:sz w:val="24"/>
                <w:szCs w:val="24"/>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760" w:type="dxa"/>
            <w:vAlign w:val="bottom"/>
            <w:gridSpan w:val="4"/>
          </w:tcPr>
          <w:p>
            <w:pPr>
              <w:ind w:left="180"/>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30, 2016</w:t>
              </w:r>
            </w:hyperlink>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3500" w:type="dxa"/>
            <w:vAlign w:val="bottom"/>
            <w:gridSpan w:val="4"/>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Notes to Consolidated Financial Statements</w:t>
              </w:r>
            </w:hyperlink>
          </w:p>
        </w:tc>
        <w:tc>
          <w:tcPr>
            <w:tcW w:w="6600" w:type="dxa"/>
            <w:vAlign w:val="bottom"/>
            <w:gridSpan w:val="7"/>
          </w:tcPr>
          <w:p>
            <w:pPr>
              <w:spacing w:after="0"/>
              <w:rPr>
                <w:sz w:val="24"/>
                <w:szCs w:val="24"/>
                <w:color w:val="auto"/>
              </w:rPr>
            </w:pPr>
          </w:p>
        </w:tc>
        <w:tc>
          <w:tcPr>
            <w:tcW w:w="1140" w:type="dxa"/>
            <w:vAlign w:val="bottom"/>
            <w:gridSpan w:val="3"/>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presented in the consolidated financial statements or the notes thereto.</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- 49</w:t>
      </w:r>
    </w:p>
    <w:p>
      <w:pPr>
        <w:sectPr>
          <w:pgSz w:w="11900" w:h="16838" w:orient="portrait"/>
          <w:cols w:equalWidth="0" w:num="1">
            <w:col w:w="11420"/>
          </w:cols>
          <w:pgMar w:left="240" w:top="175"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Leidos Holdings, Inc. and subsidiaries (the "Company") as of</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December 28, 2018 and December 29, 2017, the related consolidated statements of income, comprehensive income, equity, and cash flows, for the fiscal years ended December 28, 2018, December 29, 2017, and December 30, 2016 and the related notes (collectively referred to as the "financial statements"). In our opinion, the financial statements present fairly, in all material respects, the financial position of the Company as of December 28, 2018, December 29, 2017, and the results of its operations and its cash flows for the fiscal years ended December 28, 2018, December 29, 2017, and December 30, 2016, in conformity with accounting principles generally accepted in the United States of America.</w:t>
      </w:r>
    </w:p>
    <w:p>
      <w:pPr>
        <w:spacing w:after="0" w:line="101"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28, 2018, based on criteria established in Internal Control — Integrated Framework (2013) issued by the Committee of Sponsoring Organizations of the Treadway Commission and our report dated February 19, 2019, expressed an unqualified opinion on the Company's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2000.</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Leidos Holdings, Inc. Annual Report - 50</w:t>
      </w:r>
    </w:p>
    <w:p>
      <w:pPr>
        <w:sectPr>
          <w:pgSz w:w="11900" w:h="16838" w:orient="portrait"/>
          <w:cols w:equalWidth="0" w:num="1">
            <w:col w:w="11320"/>
          </w:cols>
          <w:pgMar w:left="240" w:top="175"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1" w:lineRule="exact"/>
        <w:rPr>
          <w:sz w:val="20"/>
          <w:szCs w:val="20"/>
          <w:color w:val="auto"/>
        </w:rPr>
      </w:pPr>
    </w:p>
    <w:tbl>
      <w:tblPr>
        <w:tblLayout w:type="fixed"/>
        <w:tblInd w:w="8560" w:type="dxa"/>
        <w:tblCellMar>
          <w:top w:w="0" w:type="dxa"/>
          <w:left w:w="0" w:type="dxa"/>
          <w:bottom w:w="0" w:type="dxa"/>
          <w:right w:w="0" w:type="dxa"/>
        </w:tblCellMar>
      </w:tblPr>
      <w:tr>
        <w:trPr>
          <w:trHeight w:val="162"/>
        </w:trPr>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rPr>
              <w:t>December 28,</w:t>
            </w:r>
          </w:p>
        </w:tc>
        <w:tc>
          <w:tcPr>
            <w:tcW w:w="1440" w:type="dxa"/>
            <w:vAlign w:val="bottom"/>
          </w:tcPr>
          <w:p>
            <w:pPr>
              <w:jc w:val="center"/>
              <w:spacing w:after="0"/>
              <w:rPr>
                <w:sz w:val="20"/>
                <w:szCs w:val="20"/>
                <w:color w:val="auto"/>
              </w:rPr>
            </w:pPr>
            <w:r>
              <w:rPr>
                <w:rFonts w:ascii="Arial" w:cs="Arial" w:eastAsia="Arial" w:hAnsi="Arial"/>
                <w:sz w:val="14"/>
                <w:szCs w:val="14"/>
                <w:color w:val="auto"/>
              </w:rPr>
              <w:t>December 29,</w:t>
            </w:r>
          </w:p>
        </w:tc>
      </w:tr>
      <w:tr>
        <w:trPr>
          <w:trHeight w:val="196"/>
        </w:trPr>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4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360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spacing w:after="0"/>
        <w:tabs>
          <w:tab w:leader="none" w:pos="856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Receivables,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Assets held for sale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spacing w:after="0"/>
        <w:tabs>
          <w:tab w:leader="none" w:pos="8560" w:val="left"/>
        </w:tabs>
        <w:rPr>
          <w:sz w:val="20"/>
          <w:szCs w:val="20"/>
          <w:color w:val="auto"/>
        </w:rPr>
      </w:pPr>
      <w:r>
        <w:rPr>
          <w:rFonts w:ascii="Arial" w:cs="Arial" w:eastAsia="Arial" w:hAnsi="Arial"/>
          <w:sz w:val="18"/>
          <w:szCs w:val="18"/>
          <w:color w:val="auto"/>
        </w:rPr>
        <w:t>Accounts payable and accrued liabilities</w:t>
      </w:r>
      <w:r>
        <w:rPr>
          <w:sz w:val="20"/>
          <w:szCs w:val="20"/>
          <w:color w:val="auto"/>
        </w:rPr>
        <w:tab/>
      </w:r>
      <w:r>
        <w:rPr>
          <w:rFonts w:ascii="Arial" w:cs="Arial" w:eastAsia="Arial" w:hAnsi="Arial"/>
          <w:sz w:val="17"/>
          <w:szCs w:val="17"/>
          <w:b w:val="1"/>
          <w:bCs w:val="1"/>
          <w:color w:val="auto"/>
        </w:rPr>
        <w:t>$</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payroll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current portion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(Notes 22, 25 and 26)</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340" w:right="260" w:hanging="161"/>
        <w:spacing w:after="0" w:line="246" w:lineRule="auto"/>
        <w:rPr>
          <w:sz w:val="20"/>
          <w:szCs w:val="20"/>
          <w:color w:val="auto"/>
        </w:rPr>
      </w:pPr>
      <w:r>
        <w:rPr>
          <w:rFonts w:ascii="Arial" w:cs="Arial" w:eastAsia="Arial" w:hAnsi="Arial"/>
          <w:sz w:val="18"/>
          <w:szCs w:val="18"/>
          <w:color w:val="auto"/>
        </w:rPr>
        <w:t>Preferred stock, $.0001 par value,10 million shares authorized and no shares issued and outstanding at December 28, 2018, and December 29, 2017</w:t>
      </w:r>
    </w:p>
    <w:p>
      <w:pPr>
        <w:spacing w:after="0" w:line="35" w:lineRule="exact"/>
        <w:rPr>
          <w:sz w:val="20"/>
          <w:szCs w:val="20"/>
          <w:color w:val="auto"/>
        </w:rPr>
      </w:pPr>
    </w:p>
    <w:p>
      <w:pPr>
        <w:ind w:left="340" w:right="620" w:hanging="161"/>
        <w:spacing w:after="0" w:line="246" w:lineRule="auto"/>
        <w:rPr>
          <w:sz w:val="20"/>
          <w:szCs w:val="20"/>
          <w:color w:val="auto"/>
        </w:rPr>
      </w:pPr>
      <w:r>
        <w:rPr>
          <w:rFonts w:ascii="Arial" w:cs="Arial" w:eastAsia="Arial" w:hAnsi="Arial"/>
          <w:sz w:val="18"/>
          <w:szCs w:val="18"/>
          <w:color w:val="auto"/>
        </w:rPr>
        <w:t>Common stock, $.0001 par value, 500 million shares authorized, 146 million and 151 million shares issued and outstanding at December 28, 2018, and December 29,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earnings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 income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Leidos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Non-controlling interest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800"/>
        <w:spacing w:after="0"/>
        <w:rPr>
          <w:sz w:val="20"/>
          <w:szCs w:val="20"/>
          <w:color w:val="auto"/>
        </w:rPr>
      </w:pPr>
      <w:r>
        <w:rPr>
          <w:rFonts w:ascii="Arial" w:cs="Arial" w:eastAsia="Arial" w:hAnsi="Arial"/>
          <w:sz w:val="14"/>
          <w:szCs w:val="14"/>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327</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1,877</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w:t>
            </w:r>
          </w:p>
        </w:tc>
      </w:tr>
    </w:tbl>
    <w:p>
      <w:pPr>
        <w:spacing w:after="0" w:line="53" w:lineRule="exact"/>
        <w:rPr>
          <w:sz w:val="20"/>
          <w:szCs w:val="20"/>
          <w:color w:val="auto"/>
        </w:rPr>
      </w:pPr>
    </w:p>
    <w:p>
      <w:pPr>
        <w:ind w:left="1640" w:hanging="1494"/>
        <w:spacing w:after="0"/>
        <w:tabs>
          <w:tab w:leader="none" w:pos="16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453</w:t>
      </w:r>
    </w:p>
    <w:p>
      <w:pPr>
        <w:spacing w:after="0" w:line="63" w:lineRule="exact"/>
        <w:rPr>
          <w:rFonts w:ascii="Arial" w:cs="Arial" w:eastAsia="Arial" w:hAnsi="Arial"/>
          <w:sz w:val="18"/>
          <w:szCs w:val="18"/>
          <w:b w:val="1"/>
          <w:bCs w:val="1"/>
          <w:color w:val="auto"/>
        </w:rPr>
      </w:pPr>
    </w:p>
    <w:p>
      <w:pPr>
        <w:ind w:left="1760" w:hanging="1514"/>
        <w:spacing w:after="0"/>
        <w:tabs>
          <w:tab w:leader="none" w:pos="17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8"/>
          <w:szCs w:val="18"/>
          <w:color w:val="auto"/>
        </w:rPr>
        <w:t>2,674</w:t>
      </w:r>
    </w:p>
    <w:p>
      <w:pPr>
        <w:spacing w:after="0" w:line="85" w:lineRule="exact"/>
        <w:rPr>
          <w:sz w:val="20"/>
          <w:szCs w:val="20"/>
          <w:color w:val="auto"/>
        </w:rPr>
      </w:pPr>
    </w:p>
    <w:p>
      <w:pPr>
        <w:ind w:left="1640" w:hanging="1494"/>
        <w:spacing w:after="0"/>
        <w:tabs>
          <w:tab w:leader="none" w:pos="16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232</w:t>
      </w:r>
    </w:p>
    <w:p>
      <w:pPr>
        <w:spacing w:after="0" w:line="63" w:lineRule="exact"/>
        <w:rPr>
          <w:sz w:val="20"/>
          <w:szCs w:val="20"/>
          <w:color w:val="auto"/>
        </w:rPr>
      </w:pPr>
    </w:p>
    <w:p>
      <w:pPr>
        <w:ind w:left="1640" w:hanging="1494"/>
        <w:spacing w:after="0"/>
        <w:tabs>
          <w:tab w:leader="none" w:pos="16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856</w:t>
      </w:r>
    </w:p>
    <w:p>
      <w:pPr>
        <w:spacing w:after="0" w:line="4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4,860</w:t>
      </w:r>
      <w:r>
        <w:rPr>
          <w:sz w:val="20"/>
          <w:szCs w:val="20"/>
          <w:color w:val="auto"/>
        </w:rPr>
        <w:tab/>
      </w:r>
      <w:r>
        <w:rPr>
          <w:rFonts w:ascii="Arial" w:cs="Arial" w:eastAsia="Arial" w:hAnsi="Arial"/>
          <w:sz w:val="18"/>
          <w:szCs w:val="18"/>
          <w:color w:val="auto"/>
        </w:rPr>
        <w:t>4,974</w:t>
      </w:r>
    </w:p>
    <w:p>
      <w:pPr>
        <w:spacing w:after="0" w:line="85" w:lineRule="exact"/>
        <w:rPr>
          <w:sz w:val="20"/>
          <w:szCs w:val="20"/>
          <w:color w:val="auto"/>
        </w:rPr>
      </w:pPr>
    </w:p>
    <w:p>
      <w:pPr>
        <w:ind w:left="1640" w:hanging="1494"/>
        <w:spacing w:after="0"/>
        <w:tabs>
          <w:tab w:leader="none" w:pos="16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254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8,770</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1,476</w:t>
            </w: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0" w:type="dxa"/>
            <w:vAlign w:val="bottom"/>
            <w:vMerge w:val="continue"/>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-325120</wp:posOffset>
            </wp:positionV>
            <wp:extent cx="875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3" w:lineRule="exact"/>
        <w:rPr>
          <w:sz w:val="20"/>
          <w:szCs w:val="20"/>
          <w:color w:val="auto"/>
        </w:rPr>
      </w:pPr>
    </w:p>
    <w:p>
      <w:pPr>
        <w:ind w:left="1640" w:hanging="1494"/>
        <w:spacing w:after="0"/>
        <w:tabs>
          <w:tab w:leader="none" w:pos="16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487</w:t>
      </w:r>
    </w:p>
    <w:p>
      <w:pPr>
        <w:spacing w:after="0" w:line="63" w:lineRule="exact"/>
        <w:rPr>
          <w:sz w:val="20"/>
          <w:szCs w:val="20"/>
          <w:color w:val="auto"/>
        </w:rPr>
      </w:pPr>
    </w:p>
    <w:p>
      <w:pPr>
        <w:ind w:left="1740" w:hanging="1494"/>
        <w:spacing w:after="0"/>
        <w:tabs>
          <w:tab w:leader="none" w:pos="17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17</w:t>
      </w:r>
    </w:p>
    <w:p>
      <w:pPr>
        <w:spacing w:after="0" w:line="41"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color w:val="auto"/>
        </w:rPr>
        <w:t>4</w:t>
      </w:r>
    </w:p>
    <w:p>
      <w:pPr>
        <w:spacing w:after="0" w:line="85" w:lineRule="exact"/>
        <w:rPr>
          <w:sz w:val="20"/>
          <w:szCs w:val="20"/>
          <w:color w:val="auto"/>
        </w:rPr>
      </w:pPr>
    </w:p>
    <w:p>
      <w:pPr>
        <w:ind w:left="1740" w:hanging="1494"/>
        <w:spacing w:after="0"/>
        <w:tabs>
          <w:tab w:leader="none" w:pos="17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55</w:t>
      </w:r>
    </w:p>
    <w:p>
      <w:pPr>
        <w:spacing w:after="0" w:line="63" w:lineRule="exact"/>
        <w:rPr>
          <w:rFonts w:ascii="Arial" w:cs="Arial" w:eastAsia="Arial" w:hAnsi="Arial"/>
          <w:sz w:val="18"/>
          <w:szCs w:val="18"/>
          <w:b w:val="1"/>
          <w:bCs w:val="1"/>
          <w:color w:val="auto"/>
        </w:rPr>
      </w:pPr>
    </w:p>
    <w:p>
      <w:pPr>
        <w:ind w:left="1760" w:hanging="1514"/>
        <w:spacing w:after="0"/>
        <w:tabs>
          <w:tab w:leader="none" w:pos="17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w w:val="93"/>
              </w:rPr>
              <w:t>2,059</w:t>
            </w:r>
          </w:p>
        </w:tc>
        <w:tc>
          <w:tcPr>
            <w:tcW w:w="980" w:type="dxa"/>
            <w:vAlign w:val="bottom"/>
          </w:tcPr>
          <w:p>
            <w:pPr>
              <w:jc w:val="right"/>
              <w:spacing w:after="0"/>
              <w:rPr>
                <w:sz w:val="20"/>
                <w:szCs w:val="20"/>
                <w:color w:val="auto"/>
              </w:rPr>
            </w:pPr>
            <w:r>
              <w:rPr>
                <w:rFonts w:ascii="Arial" w:cs="Arial" w:eastAsia="Arial" w:hAnsi="Arial"/>
                <w:sz w:val="18"/>
                <w:szCs w:val="18"/>
                <w:color w:val="auto"/>
              </w:rPr>
              <w:t>2,202</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w w:val="93"/>
              </w:rPr>
              <w:t>3,052</w:t>
            </w:r>
          </w:p>
        </w:tc>
        <w:tc>
          <w:tcPr>
            <w:tcW w:w="980" w:type="dxa"/>
            <w:vAlign w:val="bottom"/>
          </w:tcPr>
          <w:p>
            <w:pPr>
              <w:jc w:val="right"/>
              <w:spacing w:after="0"/>
              <w:rPr>
                <w:sz w:val="20"/>
                <w:szCs w:val="20"/>
                <w:color w:val="auto"/>
              </w:rPr>
            </w:pPr>
            <w:r>
              <w:rPr>
                <w:rFonts w:ascii="Arial" w:cs="Arial" w:eastAsia="Arial" w:hAnsi="Arial"/>
                <w:sz w:val="18"/>
                <w:szCs w:val="18"/>
                <w:color w:val="auto"/>
              </w:rPr>
              <w:t>3,056</w:t>
            </w:r>
          </w:p>
        </w:tc>
      </w:tr>
    </w:tbl>
    <w:p>
      <w:pPr>
        <w:spacing w:after="0" w:line="53" w:lineRule="exact"/>
        <w:rPr>
          <w:sz w:val="20"/>
          <w:szCs w:val="20"/>
          <w:color w:val="auto"/>
        </w:rPr>
      </w:pPr>
    </w:p>
    <w:p>
      <w:pPr>
        <w:ind w:left="1640" w:hanging="1494"/>
        <w:spacing w:after="0"/>
        <w:tabs>
          <w:tab w:leader="none" w:pos="16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220</w:t>
      </w:r>
    </w:p>
    <w:p>
      <w:pPr>
        <w:spacing w:after="0" w:line="63" w:lineRule="exact"/>
        <w:rPr>
          <w:sz w:val="20"/>
          <w:szCs w:val="20"/>
          <w:color w:val="auto"/>
        </w:rPr>
      </w:pPr>
    </w:p>
    <w:p>
      <w:pPr>
        <w:ind w:left="1640" w:hanging="1494"/>
        <w:spacing w:after="0"/>
        <w:tabs>
          <w:tab w:leader="none" w:pos="16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2,966</w:t>
      </w:r>
      <w:r>
        <w:rPr>
          <w:sz w:val="20"/>
          <w:szCs w:val="20"/>
          <w:color w:val="auto"/>
        </w:rPr>
        <w:tab/>
      </w:r>
      <w:r>
        <w:rPr>
          <w:rFonts w:ascii="Arial" w:cs="Arial" w:eastAsia="Arial" w:hAnsi="Arial"/>
          <w:sz w:val="18"/>
          <w:szCs w:val="18"/>
          <w:color w:val="auto"/>
        </w:rPr>
        <w:t>3,344</w:t>
      </w:r>
    </w:p>
    <w:p>
      <w:pPr>
        <w:spacing w:after="0" w:line="85" w:lineRule="exact"/>
        <w:rPr>
          <w:sz w:val="20"/>
          <w:szCs w:val="20"/>
          <w:color w:val="auto"/>
        </w:rPr>
      </w:pPr>
    </w:p>
    <w:p>
      <w:pPr>
        <w:ind w:left="1780" w:hanging="1634"/>
        <w:spacing w:after="0"/>
        <w:tabs>
          <w:tab w:leader="none" w:pos="17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(7)</w:t>
      </w:r>
    </w:p>
    <w:p>
      <w:pPr>
        <w:spacing w:after="0" w:line="63" w:lineRule="exact"/>
        <w:rPr>
          <w:rFonts w:ascii="Arial" w:cs="Arial" w:eastAsia="Arial" w:hAnsi="Arial"/>
          <w:sz w:val="18"/>
          <w:szCs w:val="18"/>
          <w:b w:val="1"/>
          <w:bCs w:val="1"/>
          <w:color w:val="auto"/>
        </w:rPr>
      </w:pPr>
    </w:p>
    <w:p>
      <w:pPr>
        <w:ind w:left="1740" w:hanging="1554"/>
        <w:spacing w:after="0"/>
        <w:tabs>
          <w:tab w:leader="none" w:pos="1740"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3,308</w:t>
      </w:r>
      <w:r>
        <w:rPr>
          <w:sz w:val="20"/>
          <w:szCs w:val="20"/>
          <w:color w:val="auto"/>
        </w:rPr>
        <w:tab/>
      </w:r>
      <w:r>
        <w:rPr>
          <w:rFonts w:ascii="Arial" w:cs="Arial" w:eastAsia="Arial" w:hAnsi="Arial"/>
          <w:sz w:val="18"/>
          <w:szCs w:val="18"/>
          <w:color w:val="auto"/>
        </w:rPr>
        <w:t>3,370</w:t>
      </w:r>
    </w:p>
    <w:p>
      <w:pPr>
        <w:spacing w:after="0" w:line="85" w:lineRule="exact"/>
        <w:rPr>
          <w:sz w:val="20"/>
          <w:szCs w:val="20"/>
          <w:color w:val="auto"/>
        </w:rPr>
      </w:pPr>
    </w:p>
    <w:p>
      <w:pPr>
        <w:ind w:left="1740" w:hanging="1394"/>
        <w:spacing w:after="0"/>
        <w:tabs>
          <w:tab w:leader="none" w:pos="17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14605</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3,311</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3,383</w:t>
            </w:r>
          </w:p>
        </w:tc>
      </w:tr>
      <w:tr>
        <w:trPr>
          <w:trHeight w:val="250"/>
        </w:trPr>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8,770</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8,990</w:t>
            </w:r>
          </w:p>
        </w:tc>
      </w:tr>
      <w:tr>
        <w:trPr>
          <w:trHeight w:val="20"/>
        </w:trPr>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-8255</wp:posOffset>
            </wp:positionV>
            <wp:extent cx="875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8680" w:space="700"/>
            <w:col w:w="2040"/>
          </w:cols>
          <w:pgMar w:left="240" w:top="175" w:right="239" w:bottom="1440"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- 51</w:t>
      </w:r>
    </w:p>
    <w:p>
      <w:pPr>
        <w:sectPr>
          <w:pgSz w:w="11900" w:h="16838" w:orient="portrait"/>
          <w:cols w:equalWidth="0" w:num="1">
            <w:col w:w="11420"/>
          </w:cols>
          <w:pgMar w:left="240" w:top="175" w:right="2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gridSpan w:val="7"/>
          </w:tcPr>
          <w:p>
            <w:pPr>
              <w:jc w:val="center"/>
              <w:ind w:right="52"/>
              <w:spacing w:after="0"/>
              <w:rPr>
                <w:sz w:val="20"/>
                <w:szCs w:val="20"/>
                <w:color w:val="auto"/>
              </w:rPr>
            </w:pPr>
            <w:r>
              <w:rPr>
                <w:rFonts w:ascii="Arial" w:cs="Arial" w:eastAsia="Arial" w:hAnsi="Arial"/>
                <w:sz w:val="14"/>
                <w:szCs w:val="14"/>
                <w:color w:val="auto"/>
              </w:rPr>
              <w:t>(in millions, except per share amounts)</w:t>
            </w: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10,194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7,043</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8,690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6,103</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integration and restructuring costs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Asset impairment charges</w:t>
            </w: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earnings of non-consolidated subsidiaries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749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417</w:t>
            </w: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318</w:t>
            </w: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582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246</w:t>
            </w: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90"/>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Leidos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581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w:t>
            </w:r>
          </w:p>
        </w:tc>
      </w:tr>
      <w:tr>
        <w:trPr>
          <w:trHeight w:val="284"/>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57"/>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3.80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- 52</w:t>
      </w:r>
    </w:p>
    <w:p>
      <w:pPr>
        <w:sectPr>
          <w:pgSz w:w="11900" w:h="16838" w:orient="portrait"/>
          <w:cols w:equalWidth="0" w:num="1">
            <w:col w:w="11420"/>
          </w:cols>
          <w:pgMar w:left="240" w:top="175"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Unrecognized (loss) gain on derivative instruments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Pension adjustments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 net of taxes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w:t>
            </w: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Comprehensive income attributable to Leidos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509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- 53</w:t>
      </w:r>
    </w:p>
    <w:p>
      <w:pPr>
        <w:sectPr>
          <w:pgSz w:w="11900" w:h="16838" w:orient="portrait"/>
          <w:cols w:equalWidth="0" w:num="1">
            <w:col w:w="11420"/>
          </w:cols>
          <w:pgMar w:left="240" w:top="175"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Shares of</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other</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Leidos Holdings,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paid-in</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rPr>
              <w:t>comprehensive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Inc. stockholders'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3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stock</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capital</w:t>
            </w: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earnings (deficit)</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(loss) income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Total</w:t>
            </w:r>
          </w:p>
        </w:tc>
      </w:tr>
      <w:tr>
        <w:trPr>
          <w:trHeight w:val="250"/>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8"/>
          </w:tcPr>
          <w:p>
            <w:pPr>
              <w:ind w:left="540"/>
              <w:spacing w:after="0"/>
              <w:rPr>
                <w:sz w:val="20"/>
                <w:szCs w:val="20"/>
                <w:color w:val="auto"/>
              </w:rPr>
            </w:pPr>
            <w:r>
              <w:rPr>
                <w:rFonts w:ascii="Arial" w:cs="Arial" w:eastAsia="Arial" w:hAnsi="Arial"/>
                <w:sz w:val="14"/>
                <w:szCs w:val="14"/>
                <w:color w:val="auto"/>
              </w:rPr>
              <w:t>(in millions, except for per share amounts)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Issuances of stock (less forfeitures)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stock and other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Dividends of $1.28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cash dividend of $13.64 per</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issued for the IS&amp;GS Business</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r>
      <w:tr>
        <w:trPr>
          <w:trHeight w:val="264"/>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Equity interest acquired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57"/>
        </w:trPr>
        <w:tc>
          <w:tcPr>
            <w:tcW w:w="33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364</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Issuances of stock (less forfeitures)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stock and other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Dividends of $1.28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Adjustment to original purchase price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allocation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57"/>
        </w:trPr>
        <w:tc>
          <w:tcPr>
            <w:tcW w:w="33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29, 2017</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3,383</w:t>
            </w:r>
          </w:p>
        </w:tc>
      </w:tr>
      <w:tr>
        <w:trPr>
          <w:trHeight w:val="229"/>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Cumulative adjustments related to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320" w:type="dxa"/>
            <w:vAlign w:val="bottom"/>
            <w:gridSpan w:val="2"/>
          </w:tcPr>
          <w:p>
            <w:pPr>
              <w:ind w:left="340"/>
              <w:spacing w:after="0"/>
              <w:rPr>
                <w:sz w:val="20"/>
                <w:szCs w:val="20"/>
                <w:color w:val="auto"/>
              </w:rPr>
            </w:pPr>
            <w:r>
              <w:rPr>
                <w:rFonts w:ascii="Arial" w:cs="Arial" w:eastAsia="Arial" w:hAnsi="Arial"/>
                <w:sz w:val="18"/>
                <w:szCs w:val="18"/>
                <w:color w:val="auto"/>
              </w:rPr>
              <w:t>ASU adoptions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57"/>
        </w:trPr>
        <w:tc>
          <w:tcPr>
            <w:tcW w:w="33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30, 2017</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3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Issuances of stock (less forfeitures)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stock and 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Dividends of $1.28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6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Purchase of a non-controlling interest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28, 2018</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3,311</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- 54</w:t>
      </w:r>
    </w:p>
    <w:p>
      <w:pPr>
        <w:sectPr>
          <w:pgSz w:w="11900" w:h="16838" w:orient="portrait"/>
          <w:cols w:equalWidth="0" w:num="1">
            <w:col w:w="11420"/>
          </w:cols>
          <w:pgMar w:left="240" w:top="175"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1"/>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582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57"/>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continuing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7"/>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equity method investments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Asset impairment charges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6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Promissory note impairment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7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Change in assets and liabilities, net of effects of acquisitions and dispositions: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63"/>
        </w:trPr>
        <w:tc>
          <w:tcPr>
            <w:tcW w:w="7080" w:type="dxa"/>
            <w:vAlign w:val="bottom"/>
            <w:gridSpan w:val="2"/>
          </w:tcPr>
          <w:p>
            <w:pPr>
              <w:ind w:left="60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7"/>
        </w:trPr>
        <w:tc>
          <w:tcPr>
            <w:tcW w:w="7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7080" w:type="dxa"/>
            <w:vAlign w:val="bottom"/>
            <w:gridSpan w:val="2"/>
          </w:tcPr>
          <w:p>
            <w:pPr>
              <w:ind w:left="60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7"/>
        </w:trPr>
        <w:tc>
          <w:tcPr>
            <w:tcW w:w="7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Deferred income taxes and income taxes receivable/payable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64"/>
        </w:trPr>
        <w:tc>
          <w:tcPr>
            <w:tcW w:w="7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long-term assets/liabilities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for property, plant and equipment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Collections on promissory note</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 of businesses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Net proceeds from sale of assets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disposition of business</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 of continuing operations</w:t>
            </w: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- 55</w:t>
      </w:r>
    </w:p>
    <w:p>
      <w:pPr>
        <w:sectPr>
          <w:pgSz w:w="11900" w:h="16838" w:orient="portrait"/>
          <w:cols w:equalWidth="0" w:num="1">
            <w:col w:w="11420"/>
          </w:cols>
          <w:pgMar w:left="240" w:top="175"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Payments of long-term debt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debt issuance</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Payments for debt issuance and modification costs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issuances of stock</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Repurchases of stock and other</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cash dividend payment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Dividend payments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tax indemnification liability</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Proceeds from real estate financing transaction</w:t>
            </w:r>
          </w:p>
        </w:tc>
        <w:tc>
          <w:tcPr>
            <w:tcW w:w="1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for non-controlling interest acquired</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 of continuing operations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9"/>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cash equivalents and restricted cash from continuing</w:t>
            </w:r>
          </w:p>
        </w:tc>
        <w:tc>
          <w:tcPr>
            <w:tcW w:w="1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cash used in investing activities of discontinued operations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 from discontinued</w:t>
            </w:r>
          </w:p>
        </w:tc>
        <w:tc>
          <w:tcPr>
            <w:tcW w:w="16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5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- 56</w:t>
      </w:r>
    </w:p>
    <w:p>
      <w:pPr>
        <w:sectPr>
          <w:pgSz w:w="11900" w:h="16838" w:orient="portrait"/>
          <w:cols w:equalWidth="0" w:num="1">
            <w:col w:w="11420"/>
          </w:cols>
          <w:pgMar w:left="240" w:top="392"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 and Basis of Presentation</w:t>
      </w:r>
    </w:p>
    <w:p>
      <w:pPr>
        <w:spacing w:after="0" w:line="139"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Leidos Holdings, Inc. ("Leidos"), a Delaware corporation, is a holding company whose direct 100%-owned subsidiary and principal operating company is Leidos, Inc. Leidos is a FORTUNE 500</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science, engineering and information technology company that provides services and solutions in the defense, intelligence, civil and health markets. Leidos' domestic customers include the U.S. Department of Defense ("DoD"), the U.S. Intelligence Community, the U.S. Department of Homeland Security ("DHS"), the Federal Aviation Administration, the Department of Veterans Affairs and many other U.S. government civilian agencies, as well as state and local government agencies. Leidos' international customers include foreign governments and their agencies, primarily located in Australia and the United Kingdom ("U.K."). Unless indicated otherwise, references to the "Company," "we," "us" and "our" refer collectively to Leidos Holdings, Inc. and its consolidated subsidiaries.</w:t>
      </w:r>
    </w:p>
    <w:p>
      <w:pPr>
        <w:spacing w:after="0" w:line="1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August 16, 2016, a wholly-owned subsidiary of Leidos Holdings, Inc. merged with the Information Systems &amp; Global Solutions business (the "IS&amp;GS Business") of Lockheed Martin Corporation in a Reverse Morris Trust transaction (see "Note 6—Acquisitions" for further information). The acquired IS&amp;GS Business was renamed Leidos Innovations Corporation. On December 28, 2018, Leidos Innovations Corporation was merged into Leidos, Inc. As a result of the Lockheed Martin transaction, the Company received a controlling interest in Mission Support Alliance, LLC ("MSA"), a joint venture with Centerra Group, LLC and Jacobs Engineering Group, Inc. ("Jacobs Group"). On January 26, 2018, the Company entered into a Membership Interest Purchase Agreement with Jacobs Group, whereby the Company purchased 100% of Jacobs Group's 41% outstanding membership interest in MSA. As a result, Leidos increased its controlling ownership in MSA from 47% to 88%. The Company consolidates the financial results for MSA into its consolidated financial statements.</w:t>
      </w:r>
    </w:p>
    <w:p>
      <w:pPr>
        <w:spacing w:after="0" w:line="98"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The consolidated financial statements also include the balances of all voting interest entities in which Leidos has a controlling voting interest ("subsidiaries") and a variable interest entity ("VIE") in which Leidos is the primary beneficiary. The consolidated balances of the Company's VIE are not material to the Company's consolidated financial statements for the periods presented. Intercompany accounts and transactions between consolidated companies have been eliminated in consolidation.</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fiscal 2017, the Company completed its business reorganization, which resulted in identification of three reportable segments (Defense Solutions, Civil and Health). Additionally, the Company separately presents the costs associated with corporate functions as Corporate. The Company commenced operating and reporting under the new organizational structure effective the beginning of fiscal 2017. As a result of this change, fiscal 2016 segment results and disclosures have been recast to reflect the new reportable segments (see "Note 24—Business Segments").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amounts in the prior year financial statements have been reclassified to conform to the current year presentation. The Company classifies indirect costs incurred within or allocated to its U.S. government customers as overhead (included in "Cost of revenues") or general administrative expenses in the same manner as such costs are defined in the Company's disclosure statements under U.S. government Cost Accounting Standards ("CAS"). Effective the beginning of fiscal 2018, the Company established a new CAS structure and revised its disclosure statements accordingly to reflect the related cost accounting practice changes. Consequently, $185 million and $88 million was reclassified from "Cost of revenues" to "Selling, general and administrative expenses" on the consolidated statements of income for fiscal 2017 and 2016, respectively.</w:t>
      </w:r>
    </w:p>
    <w:p>
      <w:pPr>
        <w:spacing w:after="0" w:line="9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aggregated "Acquisition and integration costs" and "Restructuring expenses" into "Acquisition, integration and restructuring costs", and "Interest income" and "Interest expense" into "Interest expense, net" on the consolidated statements of income. Additionally, the Company separately disclosed "Collections on promissory note", which was previously included in "Other" within investing cash flows on the consolidated statements of cash flows.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- 57</w:t>
      </w:r>
    </w:p>
    <w:p>
      <w:pPr>
        <w:sectPr>
          <w:pgSz w:w="11900" w:h="16838" w:orient="portrait"/>
          <w:cols w:equalWidth="0" w:num="1">
            <w:col w:w="11400"/>
          </w:cols>
          <w:pgMar w:left="240" w:top="175" w:right="2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2018, the Company adopted the following Accounting Standards Updates ("ASU"):</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2014-09, </w:t>
      </w:r>
      <w:r>
        <w:rPr>
          <w:rFonts w:ascii="Arial" w:cs="Arial" w:eastAsia="Arial" w:hAnsi="Arial"/>
          <w:sz w:val="18"/>
          <w:szCs w:val="18"/>
          <w:i w:val="1"/>
          <w:iCs w:val="1"/>
          <w:u w:val="single" w:color="auto"/>
          <w:color w:val="auto"/>
        </w:rPr>
        <w:t>Revenue from Contracts with Customers (Topic 606)</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2014-09 ("ASC 606") and related amendments, which superseded all prior revenue recognition methods and industry-specific guidance. The core principle of ASC 606 is an entity should recognize revenue to depict the transfer of control for promised goods or services to customers in an amount that reflects the consideration to which the entity expects to be entitled in exchange for those goods or services. In applying the revenue principles, an entity is required to identify the contract(s) with a customer, identify the performance obligations, determine the transaction price, allocate the transaction price to the performance obligations and recognize revenue when the performance obligation is satisfied (i.e., either over time or point in time). ASC 606 further requires that companies disclose sufficient information to enable users of financial statements to understand the nature, amount, timing and uncertainty of revenue and cash flows arising from contracts with customers.</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ASC 606 provided companies an option of two transition methods,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ASU was effective for annual reporting periods beginning after December 15, 2017.</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Effective December 30, 2017 (the beginning of fiscal 2018), the Company adopted the requirements of ASC 606 using the modified retrospective method. The guidance was not applied to contracts that were complete at December 30, 2017, and the comparative information for the prior fiscal years have not been retrospectively adjusted.</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adoption the Company recorded a $1 million decrease to its beginning accumulated deficit as the cumulative impact of adoption of the new revenue standard. The primary impact was on certain units-of-delivery contracts, as the Company previously recognized revenue at a point in time when the customer accepted delivery of the product or service. Under ASC 606, revenues on certain units-of-delivery contracts are now recognized using an over-time model. The adoption of ASC 606 did not have a significant impact on the Company's revenue recognition policy as revenues on substantially all of the Company's contracts continue to be recognized over time.</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adopting ASC 606, the Company elected to use certain practical expedients permitted by the standard including using the portfolio approach where contracts with similar characteristics were assessed collectively to evaluate risk over the impact of ASC 606. The Company also elected to adopt the right-to-invoice practical expedient on certain cost-reimbursable contracts where the Company recognizes revenues as it is contractually able to invoice the customer based on the control transferred to the customer.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2017-12, </w:t>
      </w:r>
      <w:r>
        <w:rPr>
          <w:rFonts w:ascii="Arial" w:cs="Arial" w:eastAsia="Arial" w:hAnsi="Arial"/>
          <w:sz w:val="18"/>
          <w:szCs w:val="18"/>
          <w:i w:val="1"/>
          <w:iCs w:val="1"/>
          <w:u w:val="single" w:color="auto"/>
          <w:color w:val="auto"/>
        </w:rPr>
        <w:t>Derivatives and Hedging (Topic 815): Targeted Improvements to Accounting for Hedge Activities</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August 2017, the FASB issued ASU 2017-12, which simplifies the application of hedge accounting and improves the financial reporting of hedging relationships to better portray the economic results of an entity's risk management activities. The ASU is effective for public companies for annual reporting periods beginning after December 15, 2018, and should be applied on a modified retrospective basis. Early adoption is permitted.</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 early adopted the provisions of ASU 2017-12 using the modified retrospective method during the first quarter of fiscal 2018, and recorded a $3 million increase to accumulated other comprehensive income and a corresponding increase to beginning accumulated deficit for the cumulative ineffectiveness gains related to the cash flow hedges.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- 58</w:t>
      </w:r>
    </w:p>
    <w:p>
      <w:pPr>
        <w:sectPr>
          <w:pgSz w:w="11900" w:h="16838" w:orient="portrait"/>
          <w:cols w:equalWidth="0" w:num="1">
            <w:col w:w="11400"/>
          </w:cols>
          <w:pgMar w:left="240" w:top="175" w:right="2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u w:val="single" w:color="auto"/>
          <w:color w:val="auto"/>
        </w:rPr>
        <w:t xml:space="preserve">ASU 2018-02, </w:t>
      </w:r>
      <w:r>
        <w:rPr>
          <w:rFonts w:ascii="Arial" w:cs="Arial" w:eastAsia="Arial" w:hAnsi="Arial"/>
          <w:sz w:val="18"/>
          <w:szCs w:val="18"/>
          <w:i w:val="1"/>
          <w:iCs w:val="1"/>
          <w:u w:val="single" w:color="auto"/>
          <w:color w:val="auto"/>
        </w:rPr>
        <w:t>Income Statement</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Reporting Comprehensive Income (Topic 220): Reclassification of Certain Tax Effects from Accumulated</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auto"/>
        </w:rPr>
        <w:t>Other Comprehensive Income</w:t>
      </w:r>
    </w:p>
    <w:p>
      <w:pPr>
        <w:spacing w:after="0" w:line="7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February 2018, the FASB issued ASU 2018-02, which allows a reclassification from accumulated other comprehensive income to retained earnings for stranded tax effects resulting from the Tax Cuts and Jobs Act ("Tax Act"). This ASU is effective for all entities for annual reporting periods beginning after December 15, 2018, and should be applied either in the period of adoption or retrospectively to each period in which the effect of the change in the U.S. federal corporate income tax rate due to the Tax Act is recognized. Early adoption is permitted.</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early adopted the provisions of ASU 2018-02 during the first quarter of fiscal 2018 (applied in the period of adoption), and recorded a $6 million increase to accumulated other comprehensive income and a corresponding increase to beginning accumulated deficit to reflect the changes in the U.S. federal corporate income tax rate as a result of the Tax Act. As a result of the adoption of ASU 2018-02, the Company's policy to release income tax effects in accumulated other comprehensive income is consistent with the underlying book method.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the changes made to the Company's consolidated balance sheet for the adoptions of the ASUs above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color w:val="auto"/>
              </w:rPr>
              <w:t>Balance at</w:t>
            </w:r>
          </w:p>
        </w:tc>
        <w:tc>
          <w:tcPr>
            <w:tcW w:w="1480" w:type="dxa"/>
            <w:vAlign w:val="bottom"/>
            <w:gridSpan w:val="2"/>
          </w:tcPr>
          <w:p>
            <w:pPr>
              <w:jc w:val="right"/>
              <w:ind w:right="34"/>
              <w:spacing w:after="0"/>
              <w:rPr>
                <w:sz w:val="20"/>
                <w:szCs w:val="20"/>
                <w:color w:val="auto"/>
              </w:rPr>
            </w:pPr>
            <w:r>
              <w:rPr>
                <w:rFonts w:ascii="Arial" w:cs="Arial" w:eastAsia="Arial" w:hAnsi="Arial"/>
                <w:sz w:val="14"/>
                <w:szCs w:val="14"/>
                <w:color w:val="auto"/>
              </w:rPr>
              <w:t>Adjustments due to</w:t>
            </w:r>
          </w:p>
        </w:tc>
        <w:tc>
          <w:tcPr>
            <w:tcW w:w="1480" w:type="dxa"/>
            <w:vAlign w:val="bottom"/>
            <w:gridSpan w:val="2"/>
          </w:tcPr>
          <w:p>
            <w:pPr>
              <w:jc w:val="right"/>
              <w:ind w:right="36"/>
              <w:spacing w:after="0"/>
              <w:rPr>
                <w:sz w:val="20"/>
                <w:szCs w:val="20"/>
                <w:color w:val="auto"/>
              </w:rPr>
            </w:pPr>
            <w:r>
              <w:rPr>
                <w:rFonts w:ascii="Arial" w:cs="Arial" w:eastAsia="Arial" w:hAnsi="Arial"/>
                <w:sz w:val="14"/>
                <w:szCs w:val="14"/>
                <w:color w:val="auto"/>
              </w:rPr>
              <w:t>Adjustments due to</w:t>
            </w:r>
          </w:p>
        </w:tc>
        <w:tc>
          <w:tcPr>
            <w:tcW w:w="148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 due to</w:t>
            </w:r>
          </w:p>
        </w:tc>
        <w:tc>
          <w:tcPr>
            <w:tcW w:w="1560" w:type="dxa"/>
            <w:vAlign w:val="bottom"/>
            <w:gridSpan w:val="2"/>
          </w:tcPr>
          <w:p>
            <w:pPr>
              <w:ind w:left="120"/>
              <w:spacing w:after="0"/>
              <w:rPr>
                <w:sz w:val="20"/>
                <w:szCs w:val="20"/>
                <w:color w:val="auto"/>
              </w:rPr>
            </w:pPr>
            <w:r>
              <w:rPr>
                <w:rFonts w:ascii="Arial" w:cs="Arial" w:eastAsia="Arial" w:hAnsi="Arial"/>
                <w:sz w:val="14"/>
                <w:szCs w:val="14"/>
                <w:color w:val="auto"/>
              </w:rPr>
              <w:t>Balance at December</w:t>
            </w:r>
          </w:p>
        </w:tc>
      </w:tr>
      <w:tr>
        <w:trPr>
          <w:trHeight w:val="178"/>
        </w:trPr>
        <w:tc>
          <w:tcPr>
            <w:tcW w:w="3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December 29, 2017</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ASU 2014-09</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ASU 2017-12</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ASU 2018-02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30, 2017</w:t>
            </w:r>
          </w:p>
        </w:tc>
      </w:tr>
      <w:tr>
        <w:trPr>
          <w:trHeight w:val="264"/>
        </w:trPr>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Receivables, net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1,831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1,835</w:t>
            </w:r>
          </w:p>
        </w:tc>
      </w:tr>
      <w:tr>
        <w:trPr>
          <w:trHeight w:val="277"/>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r>
      <w:tr>
        <w:trPr>
          <w:trHeight w:val="26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2"/>
                <w:szCs w:val="22"/>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2"/>
                <w:szCs w:val="22"/>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2"/>
                <w:szCs w:val="22"/>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But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2016-02, ASU 2018-10, ASU 2018-11 and ASU 2018-20, </w:t>
      </w:r>
      <w:r>
        <w:rPr>
          <w:rFonts w:ascii="Arial" w:cs="Arial" w:eastAsia="Arial" w:hAnsi="Arial"/>
          <w:sz w:val="18"/>
          <w:szCs w:val="18"/>
          <w:i w:val="1"/>
          <w:iCs w:val="1"/>
          <w:u w:val="single" w:color="auto"/>
          <w:color w:val="auto"/>
        </w:rPr>
        <w:t>Leases (Topic 842)</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In February 2016, the FASB issued ASU 2016-02, which supersedes the current lease guidance under </w:t>
      </w:r>
      <w:r>
        <w:rPr>
          <w:rFonts w:ascii="Arial" w:cs="Arial" w:eastAsia="Arial" w:hAnsi="Arial"/>
          <w:sz w:val="18"/>
          <w:szCs w:val="18"/>
          <w:i w:val="1"/>
          <w:iCs w:val="1"/>
          <w:color w:val="auto"/>
        </w:rPr>
        <w:t>Leases (Topic 840)</w:t>
      </w:r>
      <w:r>
        <w:rPr>
          <w:rFonts w:ascii="Arial" w:cs="Arial" w:eastAsia="Arial" w:hAnsi="Arial"/>
          <w:sz w:val="18"/>
          <w:szCs w:val="18"/>
          <w:color w:val="auto"/>
        </w:rPr>
        <w:t xml:space="preserve"> and makes several changes, such as requiring an entity to recognize a right-of-use ("ROU") asset and corresponding lease obligation on the balance sheet, classified as financing or operating, as appropriate. The update is effective for public companies for annual and interim reporting periods beginning after December 15, 2018, and should be adopted under the modified retrospective approach.</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July 2018, the FASB issued ASU 2018-10 "Codification Improvements to Topic 842, Leases" to add clarity to certain areas within ASU 2016-02 and ASU 2018-11 "Targeted Improvements", to add an additional and optional transition method to adopt the new leases standard by allowing recognition of a cumulative-effect adjustment to the opening balance of retained earnings in the period of adoption. In December 2018, the FASB issued ASU 2018-20 "Narrow-Scope Improvements for Lessors" to add clarity to lessors accounting for sales taxes and other similar taxes collected from lessees, accounting for variable payments for contracts with lease and non-lease components, and accounting for certain lessor costs. The effective date and transition requirements of these updates will be the same as ASU 2016-02.</w:t>
      </w:r>
    </w:p>
    <w:p>
      <w:pPr>
        <w:spacing w:after="0" w:line="1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plans to adopt the new lease accounting standards in fiscal 2019 using the optional transition method. The Company has made progress in reviewing lease and other service based contracts, implementing a new lease accounting and administration software solution, establishing new processes and internal controls. The Company has elected to adopt certain practical expedients provided under ASC 842, including the option to not apply lease recognition for short-term leases, reassessment of whether expired or existing contracts contain leases, reassessment of lease classification for expired or existing leases, applying a single discount rate to a portfolio of leased assets with similar durations, reassessing initial direct costs and combining lease and non-lease components in revenue arrangements.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- 59</w:t>
      </w:r>
    </w:p>
    <w:p>
      <w:pPr>
        <w:sectPr>
          <w:pgSz w:w="11900" w:h="16838" w:orient="portrait"/>
          <w:cols w:equalWidth="0" w:num="1">
            <w:col w:w="11420"/>
          </w:cols>
          <w:pgMar w:left="240" w:top="175"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 expects the adoption of the new standard will result in the recognition of at least $350 million and $400 million of ROU assets and lease liabilities, respectively, primarily due to its operating leases, to the Company's consolidated balance sheets, but will not have a material impact on the consolidated statements of income and consolidated statements of cash flows. The Company's accounting for capital leases will remain substantially unchanged. Additionally, the Company estimates a $65 million increase in retained earnings due to the cumulative effect of recognizing a gain related to the sale and leaseback of the San Diego properties (see "Note 22—Leases").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2016-13, </w:t>
      </w:r>
      <w:r>
        <w:rPr>
          <w:rFonts w:ascii="Arial" w:cs="Arial" w:eastAsia="Arial" w:hAnsi="Arial"/>
          <w:sz w:val="18"/>
          <w:szCs w:val="18"/>
          <w:i w:val="1"/>
          <w:iCs w:val="1"/>
          <w:u w:val="single" w:color="auto"/>
          <w:color w:val="auto"/>
        </w:rPr>
        <w:t>Financial Instruments – Credit Losses (Topic 326)</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June 2016, the FASB issued ASU 2016-13, which eliminates the requirement that a credit loss on a financial instrument be "probable" prior to recognition. Instead, a valuation allowance will be recorded to reflect an entity's current estimate of all expected credit losses, based on both historical and forecasted information related to an instrument. The update is effective for public companies for annual and interim reporting periods beginning after December 15, 2019, and should be adopted using a modified retrospective approach, which applies a cumulative-effect adjustment to retained earnings as of the beginning of the first reporting period in which the guidance is effective. A prospective approach is required for debt securities for which an other-than-temporary impairment had been recognized before the effective date and loans and debt securities acquired with deteriorated credit quality. Early adoption is permitted. The Company is evaluating the provisions of ASU 2016-13 and its impact on the Company's consolidated financial position,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ASU 2018-15, </w:t>
      </w:r>
      <w:r>
        <w:rPr>
          <w:rFonts w:ascii="Arial" w:cs="Arial" w:eastAsia="Arial" w:hAnsi="Arial"/>
          <w:sz w:val="18"/>
          <w:szCs w:val="18"/>
          <w:i w:val="1"/>
          <w:iCs w:val="1"/>
          <w:u w:val="single" w:color="auto"/>
          <w:color w:val="auto"/>
        </w:rPr>
        <w:t>Customer’s Accounting for Implementation Costs Incurred in a Cloud Computing Arrangement (Subtopic 350-40)</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2018, the FASB issued ASU 2018-15, which aligns the capitalization requirements for implementation costs incurred in a hosting arrangement that is a service contract with the existing capitalization requirements for implementation costs associated with internal-use software. The update is effective for public companies for annual and interim reporting periods beginning after December 15, 2019, and may be adopted either retrospectively or prospectively. Early adoption is permitted. The Company is evaluating the provisions of ASU 2018-15 and its impact on the Company’s consolidated financial position,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Leidos' fiscal year ends on the Friday nearest the end of December. Fiscal 2018, 2017 and 2016 each included 52 weeks.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fair value and impairment of intangible assets and goodwill, income taxes, pension benefits, stock-based compensation expense and contingencies. These estimates have been prepared by management on the basis of the most current and best available information; however, actual results could differ materially from those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Cycle</w:t>
      </w:r>
    </w:p>
    <w:p>
      <w:pPr>
        <w:spacing w:after="0" w:line="13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Company's operating cycle for long-term contracts may be greater than one year and is measured by the average time intervening between the inception and the completion of those contracts.</w:t>
      </w:r>
    </w:p>
    <w:p>
      <w:pPr>
        <w:spacing w:after="0" w:line="66" w:lineRule="exact"/>
        <w:rPr>
          <w:sz w:val="20"/>
          <w:szCs w:val="20"/>
          <w:color w:val="auto"/>
        </w:rPr>
      </w:pPr>
    </w:p>
    <w:p>
      <w:pPr>
        <w:ind w:right="5680"/>
        <w:spacing w:after="0" w:line="388" w:lineRule="auto"/>
        <w:rPr>
          <w:sz w:val="20"/>
          <w:szCs w:val="20"/>
          <w:color w:val="auto"/>
        </w:rPr>
      </w:pPr>
      <w:r>
        <w:rPr>
          <w:rFonts w:ascii="Arial" w:cs="Arial" w:eastAsia="Arial" w:hAnsi="Arial"/>
          <w:sz w:val="18"/>
          <w:szCs w:val="18"/>
          <w:b w:val="1"/>
          <w:bCs w:val="1"/>
          <w:i w:val="1"/>
          <w:iCs w:val="1"/>
          <w:color w:val="auto"/>
        </w:rPr>
        <w:t xml:space="preserve">Business Combinations, Investments and Variable Interest Entities </w:t>
      </w:r>
      <w:r>
        <w:rPr>
          <w:rFonts w:ascii="Arial" w:cs="Arial" w:eastAsia="Arial" w:hAnsi="Arial"/>
          <w:sz w:val="18"/>
          <w:szCs w:val="18"/>
          <w:i w:val="1"/>
          <w:iCs w:val="1"/>
          <w:color w:val="auto"/>
        </w:rPr>
        <w:t>Business Combinations</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accounting for business combinations requires the Company to make judgments and estimates related to the fair value of assets acquired, including the identification and valuation of intangible assets, as well as liabilities and contingencies assumed. Such judgments and estimates directly impact the amount of goodwill recognized in connection with an acquisition.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- 60</w:t>
      </w:r>
    </w:p>
    <w:p>
      <w:pPr>
        <w:sectPr>
          <w:pgSz w:w="11900" w:h="16838" w:orient="portrait"/>
          <w:cols w:equalWidth="0" w:num="1">
            <w:col w:w="11400"/>
          </w:cols>
          <w:pgMar w:left="240" w:top="176" w:right="2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Investments in entities and corporate joint ventures where the Company has a non-controlling ownership interest but over which the Company has the ability to exercise significant influence, are accounted for under the equity method of accounting whereby the Company recognizes its proportionate share of the entities' net income or loss and does not consolidate the entities' assets and liabilities.</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VIE. If the arrangement is determined to be a VIE, the Company assesses whether it is the primary beneficiary of the VIE and is consequently required to consolidate the VIE.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3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From time-to-time, the Company may dispose (or management may commit to plans to dispose) of strategic or non-strategic components of the business. Divestitures representing a strategic shift in operations are classified as discontinued operations for all periods presented. Non-strategic divestitures are not reclassified as discontinued operations and remain in continuing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39"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Restructuring expenses are incurred in connection with programs aimed at reducing the Company's costs and primarily include lease termination, vacancy costs and termination costs associated with headcount reduction.</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Company's restructuring actions include one-time involuntary termination benefits as well as certain contractual termination benefits or employee terminations under ongoing benefit arrangements. One-time involuntary termination benefits are recognized as a liability at estimated fair value when the plan of termination has been communicated to employees and certain other criteria are met. Ongoing termination benefit arrangements are recognized as a liability at estimated fair value when it is probable that amounts will be paid to employees and such amounts are reasonably estimable. When the Company ceases using a facility but does not intend to or is unable to terminate the operating lease, the Company records a liability for the present value of the remaining lease payments, net of estimated sublease income, if any, that could be reasonably obtained for the property (even if the Company does not intend to sublease the facility for the remaining term of the lease). Costs associated with exit or disposal activities, including the related one-time and ongoing involuntary termination benefits, are included as "Acquisition, integration and restructuring costs" on the consolidated statements of income. See "Note 8—Restructuring Expenses" for additional information about the Company's restructuring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Company's revenues from contracts with customers are from offerings including enterprise modernization; cyber operations; operations and logistics; mission software systems; integrated systems; sensors and phenomenology; and mission support, primarily with the U.S. government and its agencies. The Company also serves various state and local governments, foreign governments and U.S. commercial customers.</w:t>
      </w:r>
    </w:p>
    <w:p>
      <w:pPr>
        <w:spacing w:after="0" w:line="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performs under various types of contracts, which include firm-fixed-price ("FFP"), time-and-materials ("T&amp;M"), fixed-price-level-of-effort ("FP-LOE"), cost-plus-fixed-fee, cost-plus-award-fee, cost-plus-incentive-fee and fixed-price-incentive-fee ("FP-IF") contracts.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- 61</w:t>
      </w:r>
    </w:p>
    <w:p>
      <w:pPr>
        <w:sectPr>
          <w:pgSz w:w="11900" w:h="16838" w:orient="portrait"/>
          <w:cols w:equalWidth="0" w:num="1">
            <w:col w:w="11400"/>
          </w:cols>
          <w:pgMar w:left="240" w:top="175" w:right="25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 determine the proper revenue recognition, the Company first evaluates whether it has a duly approved and enforceable contract with a customer, in which the rights of the parties and payment terms are identified, and collectability is probable. The Company also evaluates whether two or more contracts should be combined and accounted for as a single contract, including the task orders issued under an indefinite delivery/indefinite quantity ("IDIQ") award. In addition, the Company assesses contract modifications to determine whether changes to existing contracts should be accounted for as part of the original contract or as a separate contract. Contract modifications for the Company generally relate to changes in contract specifications and requirements and do not add distinct services, and therefore are accounted for as part of the original contract. If contract modifications add distinct goods or services and increase the contract value by an amount that reflects the standalone selling price, those modifications are accounted for as separate contracts.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Most of the Company's contracts are comprised of multiple promises including the design and build of software-based systems, integration of hardware and software solutions, running and maintaining of IT infrastructure and procurement services. In all cases, the Company assesses if the multiple promises should be accounted for as separate performance obligations or combined into a single performance obligation. The Company generally separates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1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The Company accounts for renewal options as separate contracts when they include distinct goods or services at standalone selling prices.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Contracts with the U.S. government are subject to the Federal Acquisition Regulation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In circumstances where the standalone selling price is not directly observable, we estimate the standalone selling price using the expected cost plus margin approach. The Company excludes any taxes collected or imposed when determining the transaction price.</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Certain of the Company's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The Company estimates variable consideration at the most probable amount that it expects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allocates the transaction price of a contract to its performance obligations in the proportion of its respective standalone selling prices. The standalone selling price of the Company's performance obligations is generally based on an expected cost-plus margin approach, in accordance with the FAR. For certain product sales, the Company uses prices from other standalone sales. Substantially all of the Company's contracts do not contain a significant financing component, which would require an adjustment to the transaction price of the contract.</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recognizes revenue on its service based contracts primarily over time as there is continuous transfer of control to the customer over the duration of the contract as the Company performs the promised services.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that do not have an alternate use to the Company. Anticipated losses on service based contracts are recognized when known. In certain product sales, where the products have an alternate use, the Company recognizes revenue at a point in time when the customer takes control of the asset usually denoted by possession and legal title.</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- 62</w:t>
      </w:r>
    </w:p>
    <w:p>
      <w:pPr>
        <w:sectPr>
          <w:pgSz w:w="11900" w:h="16838" w:orient="portrait"/>
          <w:cols w:equalWidth="0" w:num="1">
            <w:col w:w="11380"/>
          </w:cols>
          <w:pgMar w:left="240" w:top="175" w:right="27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FFP contracts, revenue recognized over time generally uses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the Company includes in an EAC of a performance obligation future losses estimated to be incurred on onerous contracts, as and when known. On certain other contracts, principally T&amp;M, FP-LOE, and cost-plus, revenue is recognized using the right-to-invoice practical expedient as the Company is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10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certain performance obligations, the Company is not primarily responsible for fulfilling the promise to provide the goods or service to the customer, does not have inventory risk and does not have discretion in establishing the price for the goods or service. In such cases, the Company recognizes revenue on a net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3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Contract costs generally include direct costs such as materials, labor, subcontract costs and indirect costs identifiable with or allocable to a specific contract. Costs are expensed as incurred except for costs incurred to fulfill a contract, which are capitalized and amortized on a straight-line basis over the expected period of performance. The Company does not incur significant incremental costs to acquire contracts. Contract costs incurred for U.S. government contracts, including indirect costs, are subject to audit and adjustment by the Defense Contract Audit Agency ("DCAA") (see "Note 25—Contingencies").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Pre-contract Costs</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Costs incurred on projects as pre-contract costs are deferred as assets when the Company has been requested by the customer to begin work under a new arrangement prior to contract execution and it is probable that the Company will recover the costs through the issuance of a contract. When the formal contract has been executed, the costs are recorded to the contract and revenue is recognized.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Costs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certain service contracts, costs are incurred, usually at the beginning of the contract performance, to transition the services, employees and equipment to or from the customer or prior contractor. These costs are generally capitalized as deferred assets and amortized over the contractual period of performance and unexercised option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 Assets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Purchases of project assets are capitalized for specific contracts where delivery has not yet occurred, ownership is maintained by the Company over the life of the contract or the benefit is received over a period of time. Project assets include enterprise software licenses, hardware, maintenance agreements, computers and significant material purchases and other costs incurred on contracts. Project assets are relieved from the balance sheet based on different methodologies, including transfer of assets and amortization based on the estimated useful life of the asset or using the straight-line method over the expected term of the performance obligation.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on Contracts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estimates related to contracts accounted for using the cost-to-cost method of accounting are recognized in the period in which such changes are made for the inception-to-date effect of the changes, with the exception of contracts acquired through the acquisition of the IS&amp;GS Business (see "Note 6—Acquisitions"), where the adjustment is for the period commencing from the date of acquisition.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- 63</w:t>
      </w:r>
    </w:p>
    <w:p>
      <w:pPr>
        <w:sectPr>
          <w:pgSz w:w="11900" w:h="16838" w:orient="portrait"/>
          <w:cols w:equalWidth="0" w:num="1">
            <w:col w:w="11400"/>
          </w:cols>
          <w:pgMar w:left="240" w:top="175" w:right="2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estimates on contracts for the periods presented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5"/>
                <w:szCs w:val="15"/>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color w:val="auto"/>
              </w:rPr>
              <w:t>December 29,</w:t>
            </w:r>
          </w:p>
        </w:tc>
        <w:tc>
          <w:tcPr>
            <w:tcW w:w="280" w:type="dxa"/>
            <w:vAlign w:val="bottom"/>
          </w:tcPr>
          <w:p>
            <w:pPr>
              <w:spacing w:after="0"/>
              <w:rPr>
                <w:sz w:val="15"/>
                <w:szCs w:val="15"/>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2016</w:t>
            </w: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180" w:type="dxa"/>
            <w:vAlign w:val="bottom"/>
            <w:gridSpan w:val="5"/>
          </w:tcPr>
          <w:p>
            <w:pPr>
              <w:jc w:val="center"/>
              <w:ind w:right="59"/>
              <w:spacing w:after="0"/>
              <w:rPr>
                <w:sz w:val="20"/>
                <w:szCs w:val="20"/>
                <w:color w:val="auto"/>
              </w:rPr>
            </w:pPr>
            <w:r>
              <w:rPr>
                <w:rFonts w:ascii="Arial" w:cs="Arial" w:eastAsia="Arial" w:hAnsi="Arial"/>
                <w:sz w:val="14"/>
                <w:szCs w:val="14"/>
                <w:color w:val="auto"/>
              </w:rPr>
              <w:t>(in millions, except for per share amounts)</w:t>
            </w: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favorable impact to income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r>
      <w:tr>
        <w:trPr>
          <w:trHeight w:val="25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Impact on diluted EPS attributable to Leidos common stockholders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0.52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0.41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0.22</w:t>
            </w:r>
          </w:p>
        </w:tc>
      </w:tr>
    </w:tbl>
    <w:p>
      <w:pPr>
        <w:spacing w:after="0" w:line="1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increase in the changes in estimates on contracts from fiscal 2016 to fiscal 2017 is primarily due to completion of contracts or events which mitigated risk and due to the finalization of award and incentive fees.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impact on diluted EPS attributable to Leidos common stockholders is calculated using the Company's statutory tax rate.</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fiscal 2018, revenue recognized from performance obligations satisfied in previous periods was $102 million. The changes primarily relate to revisions of variable consideration, including award fees, and revisions to estimates at completion resulting from changes in contract scope, mitigation of contract risks or due to true-ups of contract estimates at the end of contract performance.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classifies indirect costs incurred within or allocated to its U.S. government customers as overhead (included in "Cost of revenues") or general and administrative expenses in the same manner as such costs are defined in the Company's disclosure statements under U.S. government CAS.</w:t>
      </w:r>
    </w:p>
    <w:p>
      <w:pPr>
        <w:spacing w:after="0" w:line="9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Selling, general and administrative expenses include general and administrative, bid and proposal and internal research and development ("IR&amp;D") expenses.</w:t>
      </w:r>
    </w:p>
    <w:p>
      <w:pPr>
        <w:spacing w:after="0" w:line="8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IR&amp;D funds. For fiscal 2018, 2017 and 2016, company-funded IR&amp;D expense was $46 million, $42 million and $44 million, respectively. Expenses for research and development activities performed under customer contracts are charged directly to cost of revenues for those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accounts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the Company were to determine that it would be able to realize its deferred income tax assets in the future in excess of their net recorded amount or would no longer be able to realize its deferred income tax assets in the future as currently recorded, the Company would make an adjustment to the valuation allowance which would decrease or increase the provision for income taxes.</w:t>
      </w:r>
    </w:p>
    <w:p>
      <w:pPr>
        <w:spacing w:after="0" w:line="1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recognizes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The Company recognizes interest and penalties related to uncertain tax positions in its income tax expense.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- 64</w:t>
      </w:r>
    </w:p>
    <w:p>
      <w:pPr>
        <w:sectPr>
          <w:pgSz w:w="11900" w:h="16838" w:orient="portrait"/>
          <w:cols w:equalWidth="0" w:num="1">
            <w:col w:w="11420"/>
          </w:cols>
          <w:pgMar w:left="240" w:top="175"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cash equivalents were primarily comprised of investments in several large institutional money market funds and bank deposits, with original maturity of three months or less. The Company includes outstanding payments within "Cash and cash equivalents" and correspondingly increases "Accounts payable and accrued liabilities" on the consolidated balance sheets. At December 28, 2018, and December 29, 2017, the Company included $56 million and $169 million, respectively, of outstanding payments within "Cash and cash equivalents."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has restricted cash balances, primarily representing advances from customers that are restricted as to use for certain expenditures related to that customer's contract. Restricted cash balances are included as "Other current assets" in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receivables include amounts billed and currently due from customers, amounts billable where the right to consideration is unconditional and amounts unbilled. As of fiscal 2018, amounts billable were classified as billed receivables. These receivables were classified as unbilled receivables for fiscal 2017 (see "Note 9—Receivables").</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Amounts billable and unbilled amounts are recognized at estimated realizable value and consist of costs and fees, substantially all of which are expected to be billed and collected generally within one year. Unbilled amounts also include rate variances that are billable upon negotiation of final indirect rates with the DCAA.</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typical billing for the Company's cost-reimbursable and T&amp;M contracts is as costs are incurred. FFP contracts are billed either based on milestones, which are the achievement of specific events as defined in the contract, or based on progress payments, which are interim payments up to a designated amount of costs incurred as work progresses. On certain contracts, the customer withholds a certain percentage of the contract price (retainage). These withheld amounts are included within the Company's unbilled receivables and are billed upon contract completion or the occurrence of a specified event, and when negotiation of final indirect rates with the U.S. government is complete. Based on the Company's historical experience, the write-offs of retention balances have not been significant.</w:t>
      </w:r>
    </w:p>
    <w:p>
      <w:pPr>
        <w:spacing w:after="0" w:line="10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When events or conditions indicate that amounts outstanding from customers may become uncollectible, an allowance is estimated and recorded.</w:t>
      </w:r>
    </w:p>
    <w:p>
      <w:pPr>
        <w:spacing w:after="0" w:line="8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Amounts billed and collected on contracts but not yet recorded as revenue because the Company has not performed its obligation under the arrangement with a customer are deferred and included within "Accounts payable and accrued liabilities" or "Other long-term liabilities" on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accounts receivable and derivatives. Since the Company's receivables are primarily with the U.S. government, the Company does not have exposure to a material credit risk. The Company manages its credit risk related to derivatives through the use of multiple counterparties with high credit standards.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Inventories are valued at the lower of cost or estimated net realizable value. Raw material inventory is valued using the average cost method. Work-in-process inventory includes raw material costs plus labor costs, including fringe benefits and allocable overhead costs. The majority of finished goods inventory consists of security products, inspection systems and baggage scanning equipment. The Company evaluates inventory against historical and planned usage to determine appropriate provisions for obsolete inventory. Inventory balances are included as "Other current assets" in the consolidated balance sheets.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- 65</w:t>
      </w:r>
    </w:p>
    <w:p>
      <w:pPr>
        <w:sectPr>
          <w:pgSz w:w="11900" w:h="16838" w:orient="portrait"/>
          <w:cols w:equalWidth="0" w:num="1">
            <w:col w:w="11400"/>
          </w:cols>
          <w:pgMar w:left="240" w:top="175" w:right="2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instead is tested annually for impairment at the reporting unit level and tested more frequently if events or circumstances indicate that the carrying value may not be recoverable. The Company's policy is to perform its annual goodwill impairment evaluation as of the first day of the fourth quarter of its fiscal year. During fiscal 2018, the Company had five reporting units for the purpose of testing goodwill for impairment.</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Goodwill is evaluated for impairment either under a qualitative assessment option or a quantitative approach depending on the facts and circumstances of a reporting unit, consideration of the excess of a reporting unit's fair value over its carrying amount in previous assessments and changes in business environment.</w:t>
      </w:r>
    </w:p>
    <w:p>
      <w:pPr>
        <w:spacing w:after="0" w:line="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When performing a qualitative assessment, the Company considers factors including, but not limited to, current macroeconomic conditions, industry and market conditions, cost factors, financial performance and other events relevant to the entity or reporting unit under evaluation to determine whether it is more likely than not that the fair value of a reporting unit is less than its carrying amount. If the Company determines that it is more likely than not that a reporting unit's fair value is less than its carrying amount, a quantitative goodwill impairment test is performed.</w:t>
      </w:r>
    </w:p>
    <w:p>
      <w:pPr>
        <w:spacing w:after="0" w:line="9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When performing a quantitative goodwill impairment test, the reporting unit carrying value is compared to its fair value. Goodwill is deemed impaired if, and the impairment loss is recognized for the amount by which, the reporting unit carrying value exceeds its fair value.</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estimates the fair value of each reporting unit using both market and income approaches (Level 3) when a quantitative analysis is performed. To determine the fair value of the reporting units, the outputs from both methods are equally weighted.</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market approach is a technique where the fair value is calculated based on the multiples of comparable publicly-traded companies that provide a reasonable basis of comparison with each of the Company's reporting units. Valuation ratios are selected that relate market prices to selected financial metrics from comparable companies. These ratios are applied after consideration of adjustments and weightings related to financial position, growth, volatility, working capital movement and other factors. Due to the fact that stock prices of comparable companies represent minority interests, the Company also considers an acquisition control premium to reflect the impact of additional value associated with a controlling interest.</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income approach is a technique where the fair value is calculated based on present value of future cash flows using risk-adjusted discount rates, which represent the weighted-average cost of capital ("WACC") for each reporting unit. Determination of WACC includes assessing the cost of equity and debt as of the valuation date. In addition, a terminal value is developed for forecasted future cash flows beyond the projection period discounted back to the present value. The forecasts used in the Company’s estimation of fair value are developed by management based on business and market considerations.</w:t>
      </w:r>
    </w:p>
    <w:p>
      <w:pPr>
        <w:spacing w:after="0" w:line="9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goodwill impairment test process and valuation model is based upon certain key assumptions that require the exercise of significant judgment and assumptions including the use of appropriate financial projections, economic expectations, WACC and expected long-term growth rates, as well as using available market data. Significant changes to these estimates and assumptions could adversely impact conclusions and actual future results may differ from the estimates. In addition, the identification of reporting units and the allocation of assets and liabilities to the reporting units when determining the carrying value of each reporting unit also requires judgment.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- 66</w:t>
      </w:r>
    </w:p>
    <w:p>
      <w:pPr>
        <w:sectPr>
          <w:pgSz w:w="11900" w:h="16838" w:orient="portrait"/>
          <w:cols w:equalWidth="0" w:num="1">
            <w:col w:w="11420"/>
          </w:cols>
          <w:pgMar w:left="240" w:top="175"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Acquired intangible assets with finite lives and internally developed software are amortized using the method that best reflects how their economic benefits are utilized or, if a pattern of economic benefits cannot be reliably determined, on a straight-line basis over their estimated useful lives. Intangible assets with finite lives are amortized over the following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Estimated useful lives (in years)</w:t>
            </w:r>
          </w:p>
        </w:tc>
      </w:tr>
      <w:tr>
        <w:trPr>
          <w:trHeight w:val="256"/>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Program and contract intangibles</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6-11</w:t>
            </w:r>
          </w:p>
        </w:tc>
      </w:tr>
      <w:tr>
        <w:trPr>
          <w:trHeight w:val="26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Backlog</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Software and technology</w:t>
            </w:r>
          </w:p>
        </w:tc>
        <w:tc>
          <w:tcPr>
            <w:tcW w:w="2620" w:type="dxa"/>
            <w:vAlign w:val="bottom"/>
          </w:tcPr>
          <w:p>
            <w:pPr>
              <w:jc w:val="center"/>
              <w:spacing w:after="0"/>
              <w:rPr>
                <w:sz w:val="20"/>
                <w:szCs w:val="20"/>
                <w:color w:val="auto"/>
              </w:rPr>
            </w:pPr>
            <w:r>
              <w:rPr>
                <w:rFonts w:ascii="Arial" w:cs="Arial" w:eastAsia="Arial" w:hAnsi="Arial"/>
                <w:sz w:val="18"/>
                <w:szCs w:val="18"/>
                <w:color w:val="auto"/>
              </w:rPr>
              <w:t>4-15</w:t>
            </w:r>
          </w:p>
        </w:tc>
      </w:tr>
    </w:tbl>
    <w:p>
      <w:pPr>
        <w:spacing w:after="0" w:line="121"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w:t>
      </w:r>
    </w:p>
    <w:p>
      <w:pPr>
        <w:spacing w:after="0" w:line="8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Purchases of property, plant and equipment, including purchases of software and software licenses, as well as costs associated with major renewals and improvements are capitalized. Maintenance, repairs and minor renewals and improvements are expensed as incurred.</w:t>
      </w:r>
    </w:p>
    <w:p>
      <w:pPr>
        <w:spacing w:after="0" w:line="8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Construction in Progress ("CIP") is used to accumulate all costs for projects that are not yet complete. CIP balances are transferred to the appropriate asset account when the asset is capitalized and ready for its intended use.</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When assets are sold or otherwise disposed of, the cost and related accumulated depreciation or amortization are removed from the accounts and any resulting gain or loss is recognized. Depreciation is recognized using the methods and estimated useful lives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Depreciation method</w:t>
            </w:r>
          </w:p>
        </w:tc>
        <w:tc>
          <w:tcPr>
            <w:tcW w:w="10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Estimated useful lives (in years)</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Computers and other equipment</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Straight-line or declining-balance</w:t>
            </w:r>
          </w:p>
        </w:tc>
        <w:tc>
          <w:tcPr>
            <w:tcW w:w="262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6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Straight-line</w:t>
            </w:r>
          </w:p>
        </w:tc>
        <w:tc>
          <w:tcPr>
            <w:tcW w:w="2620" w:type="dxa"/>
            <w:vAlign w:val="bottom"/>
          </w:tcPr>
          <w:p>
            <w:pPr>
              <w:jc w:val="center"/>
              <w:spacing w:after="0"/>
              <w:rPr>
                <w:sz w:val="20"/>
                <w:szCs w:val="20"/>
                <w:color w:val="auto"/>
              </w:rPr>
            </w:pPr>
            <w:r>
              <w:rPr>
                <w:rFonts w:ascii="Arial" w:cs="Arial" w:eastAsia="Arial" w:hAnsi="Arial"/>
                <w:sz w:val="18"/>
                <w:szCs w:val="18"/>
                <w:color w:val="auto"/>
              </w:rPr>
              <w:t>Not to exceed 40</w:t>
            </w:r>
          </w:p>
        </w:tc>
        <w:tc>
          <w:tcPr>
            <w:tcW w:w="0" w:type="dxa"/>
            <w:vAlign w:val="bottom"/>
          </w:tcPr>
          <w:p>
            <w:pPr>
              <w:spacing w:after="0"/>
              <w:rPr>
                <w:sz w:val="1"/>
                <w:szCs w:val="1"/>
                <w:color w:val="auto"/>
              </w:rPr>
            </w:pPr>
          </w:p>
        </w:tc>
      </w:tr>
      <w:tr>
        <w:trPr>
          <w:trHeight w:val="235"/>
        </w:trPr>
        <w:tc>
          <w:tcPr>
            <w:tcW w:w="50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Building improvements and leasehold improvements</w:t>
            </w:r>
          </w:p>
        </w:tc>
        <w:tc>
          <w:tcPr>
            <w:tcW w:w="3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Straight-line</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Shorter of useful life of asset or</w:t>
            </w:r>
          </w:p>
        </w:tc>
        <w:tc>
          <w:tcPr>
            <w:tcW w:w="0" w:type="dxa"/>
            <w:vAlign w:val="bottom"/>
          </w:tcPr>
          <w:p>
            <w:pPr>
              <w:spacing w:after="0"/>
              <w:rPr>
                <w:sz w:val="1"/>
                <w:szCs w:val="1"/>
                <w:color w:val="auto"/>
              </w:rPr>
            </w:pPr>
          </w:p>
        </w:tc>
      </w:tr>
      <w:tr>
        <w:trPr>
          <w:trHeight w:val="109"/>
        </w:trPr>
        <w:tc>
          <w:tcPr>
            <w:tcW w:w="5040" w:type="dxa"/>
            <w:vAlign w:val="bottom"/>
            <w:gridSpan w:val="2"/>
            <w:vMerge w:val="continue"/>
            <w:shd w:val="clear" w:color="auto" w:fill="CCEEFF"/>
          </w:tcPr>
          <w:p>
            <w:pPr>
              <w:spacing w:after="0"/>
              <w:rPr>
                <w:sz w:val="9"/>
                <w:szCs w:val="9"/>
                <w:color w:val="auto"/>
              </w:rPr>
            </w:pPr>
          </w:p>
        </w:tc>
        <w:tc>
          <w:tcPr>
            <w:tcW w:w="3760" w:type="dxa"/>
            <w:vAlign w:val="bottom"/>
            <w:gridSpan w:val="2"/>
            <w:vMerge w:val="continue"/>
            <w:shd w:val="clear" w:color="auto" w:fill="CCEEFF"/>
          </w:tcPr>
          <w:p>
            <w:pPr>
              <w:spacing w:after="0"/>
              <w:rPr>
                <w:sz w:val="9"/>
                <w:szCs w:val="9"/>
                <w:color w:val="auto"/>
              </w:rPr>
            </w:pP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remaining lease term</w:t>
            </w:r>
          </w:p>
        </w:tc>
        <w:tc>
          <w:tcPr>
            <w:tcW w:w="0" w:type="dxa"/>
            <w:vAlign w:val="bottom"/>
          </w:tcPr>
          <w:p>
            <w:pPr>
              <w:spacing w:after="0"/>
              <w:rPr>
                <w:sz w:val="1"/>
                <w:szCs w:val="1"/>
                <w:color w:val="auto"/>
              </w:rPr>
            </w:pPr>
          </w:p>
        </w:tc>
      </w:tr>
      <w:tr>
        <w:trPr>
          <w:trHeight w:val="122"/>
        </w:trPr>
        <w:tc>
          <w:tcPr>
            <w:tcW w:w="4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Office furniture and fixtures</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Straight-line or declining-balance</w:t>
            </w:r>
          </w:p>
        </w:tc>
        <w:tc>
          <w:tcPr>
            <w:tcW w:w="2620" w:type="dxa"/>
            <w:vAlign w:val="bottom"/>
          </w:tcPr>
          <w:p>
            <w:pPr>
              <w:jc w:val="right"/>
              <w:ind w:right="109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fair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for identical assets or liabilities that are observable either directly or indirectly or quoted prices that are not active (Level 2); and unobservable inputs in which there is little or no market data (e.g., discounted cash flow and other similar pricing models), which requires the Company to develop its own assumptions (Level 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- 67</w:t>
      </w:r>
    </w:p>
    <w:p>
      <w:pPr>
        <w:sectPr>
          <w:pgSz w:w="11900" w:h="16838" w:orient="portrait"/>
          <w:cols w:equalWidth="0" w:num="1">
            <w:col w:w="11420"/>
          </w:cols>
          <w:pgMar w:left="240" w:top="17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accounting guidance for fair value measurements requires that the Company maximize the use of observable inputs and minimize the use of unobservable inputs in determining fair value. The accounting guidance provides for the irrevocable option to elect, on a contract-by-contract basis, to measure certain financial assets and liabilities at fair value at inception of the contract and record any subsequent changes in fair value in earnings. The Company has not made fair value option elections on any of its financial assets and liabilities.</w:t>
      </w:r>
    </w:p>
    <w:p>
      <w:pPr>
        <w:spacing w:after="0" w:line="96"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fair value of financial instruments is determined based on quoted market prices, if available, or management's best estimate (see "Financial Instruments" below).</w:t>
      </w:r>
    </w:p>
    <w:p>
      <w:pPr>
        <w:spacing w:after="0" w:line="8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Management evaluates its investments for other-than-temporary impairment at each balance sheet date. When testing long-term investments for recovery of carrying value, the fair value of long-term investments is determined using various valuation techniques and factors such as, market prices of comparable companies (Level 2 input), discounted cash flow models (Level 3 input) and recent capital transactions of the portfolio companies being valued (Level 3 input). If management determines that an other-than-temporary decline in the fair value of an investment has occurred, an impairment loss is recognized to reduce the investment to its estimated fair value.</w:t>
      </w:r>
    </w:p>
    <w:p>
      <w:pPr>
        <w:spacing w:after="0" w:line="9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The Company's non-financial instruments measured at fair value on a non-recurring basis include goodwill, indefinite-lived intangible assets and long-lived tangible assets. The valuation methods used to determine fair value require a significant degree of management judgment to determine the key assumptions. As such, the Company generally classifies non-financial instruments as either Level 2 or Level 3 fair value measurements.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is exposed to certain market risks which are inherent in certain transactions entered into during the normal course of business. These transactions include sales or purchase contracts denominated in foreign currencies and exposure to changing interest rates. The Company manages its risk to changes in interest rates through the use of derivative instruments.</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For fixed rate borrowings, the Company uses variable interest rate swaps, effectively converting fixed rate borrowings to variable rate borrowings. These swaps are designated as fair value hedges. The fair value of these interest rate swaps is determined based on observed values for underlying interest rates on the LIBOR yield curve (Level 2).</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variable rate borrowings, the Company uses fixed interest rate swaps, effectively converting a portion of the variable interest rate payments to fixed interest rate payments. These swaps are designated as cash flow hedges. The fair value of these interest rate swaps is determined based on observed values for the underlying interest rates (Level 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hold derivative instruments for trading or speculative purposes.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Company's defined benefit plan assets consist of investments in pooled funds that contain investments with values based on quoted market prices, but for which the pools are not valued on a daily quoted market basis (Level 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 accounts for stock-based compensation at the grant date based on the fair value of the award and is recognized as expense over the requisite service period, which is generally the vesting period, net of an estimated forfeiture rate.</w:t>
      </w:r>
    </w:p>
    <w:p>
      <w:pPr>
        <w:spacing w:after="0" w:line="8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The fair value of restricted stock awards and performance-based stock awards is based on the closing price of the Company's common stock on the date of grant. The fair value of performance-based stock awards with market conditions is based on using the Monte Carlo simulation.</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 of stock option awards granted is based on using the Black-Scholes-Merton option pricing model. The estimation of stock option fair value requires management to make estimates and judgments about, among other things, employee exercise behavior, forfeiture rates and the expected volatility of Leidos common stock over the expected option term. These judgments directly affect the amount of compensation expense that will ultimately be recognized.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- 68</w:t>
      </w:r>
    </w:p>
    <w:p>
      <w:pPr>
        <w:sectPr>
          <w:pgSz w:w="11900" w:h="16838" w:orient="portrait"/>
          <w:cols w:equalWidth="0" w:num="1">
            <w:col w:w="11380"/>
          </w:cols>
          <w:pgMar w:left="240" w:top="175" w:right="27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(loss) income in stockholders' equity. Gains and losses due to movements in foreign currency exchange rates are recognized as "Other expense, net" on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effects to the consolidated financial statements at and as of December 28, 2018, as a result of applying ASC 606, rather than previous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("ASC 605"), were the following: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color w:val="auto"/>
              </w:rPr>
              <w:t>As Reported</w:t>
            </w:r>
          </w:p>
        </w:tc>
        <w:tc>
          <w:tcPr>
            <w:tcW w:w="420" w:type="dxa"/>
            <w:vAlign w:val="bottom"/>
          </w:tcPr>
          <w:p>
            <w:pPr>
              <w:spacing w:after="0"/>
              <w:rPr>
                <w:sz w:val="14"/>
                <w:szCs w:val="14"/>
                <w:color w:val="auto"/>
              </w:rPr>
            </w:pPr>
          </w:p>
        </w:tc>
        <w:tc>
          <w:tcPr>
            <w:tcW w:w="1160" w:type="dxa"/>
            <w:vAlign w:val="bottom"/>
          </w:tcPr>
          <w:p>
            <w:pPr>
              <w:jc w:val="center"/>
              <w:ind w:right="237"/>
              <w:spacing w:after="0"/>
              <w:rPr>
                <w:sz w:val="20"/>
                <w:szCs w:val="20"/>
                <w:color w:val="auto"/>
              </w:rPr>
            </w:pPr>
            <w:r>
              <w:rPr>
                <w:rFonts w:ascii="Arial" w:cs="Arial" w:eastAsia="Arial" w:hAnsi="Arial"/>
                <w:sz w:val="14"/>
                <w:szCs w:val="14"/>
                <w:color w:val="auto"/>
              </w:rPr>
              <w:t>As Adjusted</w:t>
            </w:r>
          </w:p>
        </w:tc>
      </w:tr>
      <w:tr>
        <w:trPr>
          <w:trHeight w:val="178"/>
        </w:trPr>
        <w:tc>
          <w:tcPr>
            <w:tcW w:w="8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(ASC 606)</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rPr>
              <w:t>(ASC 605)</w:t>
            </w:r>
          </w:p>
        </w:tc>
      </w:tr>
      <w:tr>
        <w:trPr>
          <w:trHeight w:val="264"/>
        </w:trPr>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2"/>
          </w:tcPr>
          <w:p>
            <w:pPr>
              <w:jc w:val="center"/>
              <w:ind w:left="880"/>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2"/>
                <w:szCs w:val="22"/>
                <w:color w:val="auto"/>
              </w:rPr>
            </w:pP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1,877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1,872</w:t>
            </w:r>
          </w:p>
        </w:tc>
      </w:tr>
      <w:tr>
        <w:trPr>
          <w:trHeight w:val="26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b w:val="1"/>
                <w:bCs w:val="1"/>
                <w:color w:val="auto"/>
              </w:rPr>
              <w:t>543</w:t>
            </w:r>
          </w:p>
        </w:tc>
        <w:tc>
          <w:tcPr>
            <w:tcW w:w="420" w:type="dxa"/>
            <w:vAlign w:val="bottom"/>
          </w:tcPr>
          <w:p>
            <w:pPr>
              <w:spacing w:after="0"/>
              <w:rPr>
                <w:sz w:val="22"/>
                <w:szCs w:val="22"/>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545</w:t>
            </w:r>
          </w:p>
        </w:tc>
      </w:tr>
      <w:tr>
        <w:trPr>
          <w:trHeight w:val="277"/>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earnings (deficit)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372</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369</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i w:val="1"/>
                <w:iCs w:val="1"/>
                <w:color w:val="auto"/>
              </w:rPr>
              <w:t>Income Statement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right="137"/>
              <w:spacing w:after="0"/>
              <w:rPr>
                <w:sz w:val="20"/>
                <w:szCs w:val="20"/>
                <w:color w:val="auto"/>
              </w:rPr>
            </w:pPr>
            <w:r>
              <w:rPr>
                <w:rFonts w:ascii="Arial" w:cs="Arial" w:eastAsia="Arial" w:hAnsi="Arial"/>
                <w:sz w:val="14"/>
                <w:szCs w:val="14"/>
                <w:color w:val="auto"/>
              </w:rPr>
              <w:t>Year Ended December 28, 2018</w:t>
            </w:r>
          </w:p>
        </w:tc>
      </w:tr>
      <w:tr>
        <w:trPr>
          <w:trHeight w:val="193"/>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color w:val="auto"/>
              </w:rPr>
              <w:t>As Reported</w:t>
            </w:r>
          </w:p>
        </w:tc>
        <w:tc>
          <w:tcPr>
            <w:tcW w:w="420" w:type="dxa"/>
            <w:vAlign w:val="bottom"/>
          </w:tcPr>
          <w:p>
            <w:pPr>
              <w:spacing w:after="0"/>
              <w:rPr>
                <w:sz w:val="16"/>
                <w:szCs w:val="16"/>
                <w:color w:val="auto"/>
              </w:rPr>
            </w:pPr>
          </w:p>
        </w:tc>
        <w:tc>
          <w:tcPr>
            <w:tcW w:w="1160" w:type="dxa"/>
            <w:vAlign w:val="bottom"/>
          </w:tcPr>
          <w:p>
            <w:pPr>
              <w:jc w:val="center"/>
              <w:ind w:right="277"/>
              <w:spacing w:after="0"/>
              <w:rPr>
                <w:sz w:val="20"/>
                <w:szCs w:val="20"/>
                <w:color w:val="auto"/>
              </w:rPr>
            </w:pPr>
            <w:r>
              <w:rPr>
                <w:rFonts w:ascii="Arial" w:cs="Arial" w:eastAsia="Arial" w:hAnsi="Arial"/>
                <w:sz w:val="14"/>
                <w:szCs w:val="14"/>
                <w:color w:val="auto"/>
              </w:rPr>
              <w:t>As Adjusted</w:t>
            </w:r>
          </w:p>
        </w:tc>
      </w:tr>
      <w:tr>
        <w:trPr>
          <w:trHeight w:val="178"/>
        </w:trPr>
        <w:tc>
          <w:tcPr>
            <w:tcW w:w="8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(ASC 606)</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rPr>
              <w:t>(ASC 605)</w:t>
            </w:r>
          </w:p>
        </w:tc>
      </w:tr>
      <w:tr>
        <w:trPr>
          <w:trHeight w:val="264"/>
        </w:trPr>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2"/>
          </w:tcPr>
          <w:p>
            <w:pPr>
              <w:jc w:val="center"/>
              <w:ind w:left="880"/>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2"/>
                <w:szCs w:val="22"/>
                <w:color w:val="auto"/>
              </w:rPr>
            </w:pP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10,194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10,189</w:t>
            </w:r>
          </w:p>
        </w:tc>
      </w:tr>
      <w:tr>
        <w:trPr>
          <w:trHeight w:val="26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b w:val="1"/>
                <w:bCs w:val="1"/>
                <w:color w:val="auto"/>
              </w:rPr>
              <w:t>8,690</w:t>
            </w:r>
          </w:p>
        </w:tc>
        <w:tc>
          <w:tcPr>
            <w:tcW w:w="420" w:type="dxa"/>
            <w:vAlign w:val="bottom"/>
          </w:tcPr>
          <w:p>
            <w:pPr>
              <w:spacing w:after="0"/>
              <w:rPr>
                <w:sz w:val="22"/>
                <w:szCs w:val="22"/>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8,688</w:t>
            </w:r>
          </w:p>
        </w:tc>
      </w:tr>
      <w:tr>
        <w:trPr>
          <w:trHeight w:val="277"/>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749</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746</w:t>
            </w:r>
          </w:p>
        </w:tc>
      </w:tr>
    </w:tbl>
    <w:p>
      <w:pPr>
        <w:spacing w:after="0" w:line="10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changes reflected above were primarily due to the Company's units-of-delivery contracts, which were recognized at a point in time under ASC 605 and are recognized using an over-time model under ASC 606.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Remaining performance obligations represent the expected value of exercised contracts, both funded and unfunded, less revenue recognized to date. Remaining performance obligations do not include unexercised option periods and future potential task orders expected to be awarded under IDIQ contracts.</w:t>
      </w:r>
    </w:p>
    <w:p>
      <w:pPr>
        <w:spacing w:after="0" w:line="94" w:lineRule="exact"/>
        <w:rPr>
          <w:sz w:val="20"/>
          <w:szCs w:val="20"/>
          <w:color w:val="auto"/>
        </w:rPr>
      </w:pPr>
    </w:p>
    <w:p>
      <w:pPr>
        <w:jc w:val="both"/>
        <w:ind w:right="560"/>
        <w:spacing w:after="0" w:line="291" w:lineRule="auto"/>
        <w:rPr>
          <w:sz w:val="20"/>
          <w:szCs w:val="20"/>
          <w:color w:val="auto"/>
        </w:rPr>
      </w:pPr>
      <w:r>
        <w:rPr>
          <w:rFonts w:ascii="Arial" w:cs="Arial" w:eastAsia="Arial" w:hAnsi="Arial"/>
          <w:sz w:val="17"/>
          <w:szCs w:val="17"/>
          <w:color w:val="auto"/>
        </w:rPr>
        <w:t>As of December 28, 2018, the Company had $10.2 billion of remaining performance obligations, which are expected to be recognized as revenue in the amounts of $7.3 billion, $1.1 billion and $1.8 billion for fiscal 2019, fiscal 2020 and fiscal 2021 and thereafter,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The Company disaggregates revenues by customer-type, contract-type and geographic location for each of its reportable segments. These categories represent how the nature, timing and uncertainty of revenues and cash flows are affected by the U.S. government procurement environment.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- 69</w:t>
      </w:r>
    </w:p>
    <w:p>
      <w:pPr>
        <w:sectPr>
          <w:pgSz w:w="11900" w:h="16838" w:orient="portrait"/>
          <w:cols w:equalWidth="0" w:num="1">
            <w:col w:w="11420"/>
          </w:cols>
          <w:pgMar w:left="240" w:top="175"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customer-type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Year Ended December 28, 2018</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64"/>
        </w:trPr>
        <w:tc>
          <w:tcPr>
            <w:tcW w:w="5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Defense Solutions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r>
      <w:tr>
        <w:trPr>
          <w:trHeight w:val="264"/>
        </w:trPr>
        <w:tc>
          <w:tcPr>
            <w:tcW w:w="5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DoD</w:t>
            </w: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4,832</w:t>
            </w: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 government agencies</w:t>
            </w:r>
            <w:r>
              <w:rPr>
                <w:rFonts w:ascii="Arial" w:cs="Arial" w:eastAsia="Arial" w:hAnsi="Arial"/>
                <w:sz w:val="21"/>
                <w:szCs w:val="21"/>
                <w:color w:val="auto"/>
                <w:vertAlign w:val="superscript"/>
              </w:rPr>
              <w:t>(1)</w:t>
            </w: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b w:val="1"/>
                <w:bCs w:val="1"/>
                <w:color w:val="auto"/>
              </w:rPr>
              <w:t>2,412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1,276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3,882</w:t>
            </w:r>
          </w:p>
        </w:tc>
      </w:tr>
      <w:tr>
        <w:trPr>
          <w:trHeight w:val="264"/>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Commercial and non-U.S. customers</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889</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1,480</w:t>
            </w:r>
          </w:p>
        </w:tc>
      </w:tr>
      <w:tr>
        <w:trPr>
          <w:trHeight w:val="257"/>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3,429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1,817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10,194</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non-DoD federal government agencies, state and local government agencies.</w:t>
      </w:r>
    </w:p>
    <w:p>
      <w:pPr>
        <w:spacing w:after="0" w:line="9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majority of the Company's revenues are generated from U.S. government contracts, either as a prime contractor or as a subcontractor to other contractors. Revenues from the U.S. government can be adversely impacted by spending caps or changes in budgetary priorities of the U.S. government, as well as delays in program start dates or the award of a contract. Government spending levels for the DoD may be impacted by spending priorities as a result of competing demands for federal funds.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contract-type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Year Ended December 28, 2018</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64"/>
        </w:trPr>
        <w:tc>
          <w:tcPr>
            <w:tcW w:w="5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Defense Solutions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r>
      <w:tr>
        <w:trPr>
          <w:trHeight w:val="264"/>
        </w:trPr>
        <w:tc>
          <w:tcPr>
            <w:tcW w:w="5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Cost-reimbursement and fixed-price-incentive-fee</w:t>
            </w: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1,863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5,469</w:t>
            </w:r>
          </w:p>
        </w:tc>
      </w:tr>
      <w:tr>
        <w:trPr>
          <w:trHeight w:val="26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Firm-fixed-price</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1,031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b w:val="1"/>
                <w:bCs w:val="1"/>
                <w:color w:val="auto"/>
              </w:rPr>
              <w:t>1,004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1,134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3,169</w:t>
            </w: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Time-and-materials and fixed-price-level-of-effort</w:t>
            </w: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562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494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1,556</w:t>
            </w:r>
          </w:p>
        </w:tc>
      </w:tr>
      <w:tr>
        <w:trPr>
          <w:trHeight w:val="257"/>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3,429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1,817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10,194</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Cost-reimbursement and FP-IF contracts are generally lower risk and have lower profits. T&amp;M and FP-LOE contracts are also low risk but profits may vary depending on actual labor costs compared to negotiated contract billing rates. FFP contracts offer the potential for higher profits while increasing the Company’s exposure to risk of cost overruns.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geographic location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Year Ended December 28, 2018</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64"/>
        </w:trPr>
        <w:tc>
          <w:tcPr>
            <w:tcW w:w="5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Defense Solutions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r>
      <w:tr>
        <w:trPr>
          <w:trHeight w:val="264"/>
        </w:trPr>
        <w:tc>
          <w:tcPr>
            <w:tcW w:w="5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2,876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9,265</w:t>
            </w:r>
          </w:p>
        </w:tc>
      </w:tr>
      <w:tr>
        <w:trPr>
          <w:trHeight w:val="264"/>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b w:val="1"/>
                <w:bCs w:val="1"/>
                <w:color w:val="auto"/>
              </w:rPr>
              <w:t>553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929</w:t>
            </w:r>
          </w:p>
        </w:tc>
      </w:tr>
      <w:tr>
        <w:trPr>
          <w:trHeight w:val="257"/>
        </w:trPr>
        <w:tc>
          <w:tcPr>
            <w:tcW w:w="5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3,429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10,194</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Company's international business operations, primarily located in Australia and the U.K., are subject to additional and different risks than its U.S. business. Failure to comply with U.S. government laws and regulations applicable to international business, such as the Foreign Corrupt Practices Act or U.S. export control regulations, could have an adverse impact on the Company's business with the U.S. government.</w:t>
      </w:r>
    </w:p>
    <w:p>
      <w:pPr>
        <w:spacing w:after="0" w:line="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some countries, there is an increased chance for economic, legal or political changes that may adversely affect the performance of the Company's services, sales of products or repatriation of profits. International transactions can also involve increased financial and legal risks arising from foreign exchange variability, imposition of tariffs or additional taxes and restrictive trade policies and delays or failure to collect amounts due to differing legal systems.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- 70</w:t>
      </w:r>
    </w:p>
    <w:p>
      <w:pPr>
        <w:sectPr>
          <w:pgSz w:w="11900" w:h="16838" w:orient="portrait"/>
          <w:cols w:equalWidth="0" w:num="1">
            <w:col w:w="11420"/>
          </w:cols>
          <w:pgMar w:left="240" w:top="175"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5—Contract Assets and Liabilities</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performance obligations are satisfied either over time as work progresses or at a point in time. FFP contracts are typically billed to the customer using milestone payments while cost-reimbursable and T&amp;M contracts are typically billed to the customer on a monthly or bi-weekly basis as indicated by the negotiated billing terms and conditions of the contract. As a result, for each of the company’s contracts, the timing of revenue recognition, customer billings and cash collections results in a net contract asset or liability at the end of each reporting period.</w:t>
      </w:r>
    </w:p>
    <w:p>
      <w:pPr>
        <w:spacing w:after="0" w:line="1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Contract assets include unbilled receivables, which is the amount of revenue recognized that exceeds the amount billed to the customer, where right to payment is not just subject to the passage of time.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Contract liabilities consist of deferred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 assets and contract liabilities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28,</w:t>
            </w:r>
          </w:p>
        </w:tc>
        <w:tc>
          <w:tcPr>
            <w:tcW w:w="28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4"/>
                <w:szCs w:val="14"/>
                <w:color w:val="auto"/>
              </w:rPr>
              <w:t>December 30,</w:t>
            </w:r>
          </w:p>
        </w:tc>
      </w:tr>
      <w:tr>
        <w:trPr>
          <w:trHeight w:val="202"/>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2"/>
          </w:tcPr>
          <w:p>
            <w:pPr>
              <w:ind w:left="2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7"/>
                <w:szCs w:val="17"/>
                <w:color w:val="auto"/>
              </w:rPr>
            </w:pPr>
          </w:p>
        </w:tc>
        <w:tc>
          <w:tcPr>
            <w:tcW w:w="1200" w:type="dxa"/>
            <w:vAlign w:val="bottom"/>
          </w:tcPr>
          <w:p>
            <w:pPr>
              <w:jc w:val="right"/>
              <w:ind w:right="397"/>
              <w:spacing w:after="0"/>
              <w:rPr>
                <w:sz w:val="20"/>
                <w:szCs w:val="20"/>
                <w:color w:val="auto"/>
              </w:rPr>
            </w:pPr>
            <w:r>
              <w:rPr>
                <w:rFonts w:ascii="Arial" w:cs="Arial" w:eastAsia="Arial" w:hAnsi="Arial"/>
                <w:sz w:val="14"/>
                <w:szCs w:val="14"/>
                <w:color w:val="auto"/>
              </w:rPr>
              <w:t>2017</w:t>
            </w:r>
            <w:r>
              <w:rPr>
                <w:rFonts w:ascii="Arial" w:cs="Arial" w:eastAsia="Arial" w:hAnsi="Arial"/>
                <w:sz w:val="17"/>
                <w:szCs w:val="17"/>
                <w:color w:val="auto"/>
                <w:vertAlign w:val="superscript"/>
              </w:rPr>
              <w:t>(1)</w:t>
            </w:r>
          </w:p>
        </w:tc>
      </w:tr>
      <w:tr>
        <w:trPr>
          <w:trHeight w:val="258"/>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977"/>
              <w:spacing w:after="0"/>
              <w:rPr>
                <w:sz w:val="20"/>
                <w:szCs w:val="20"/>
                <w:color w:val="auto"/>
              </w:rPr>
            </w:pPr>
            <w:r>
              <w:rPr>
                <w:rFonts w:ascii="Arial" w:cs="Arial" w:eastAsia="Arial" w:hAnsi="Arial"/>
                <w:sz w:val="14"/>
                <w:szCs w:val="14"/>
                <w:color w:val="auto"/>
              </w:rPr>
              <w:t>(in millions)</w:t>
            </w:r>
          </w:p>
        </w:tc>
      </w:tr>
      <w:tr>
        <w:trPr>
          <w:trHeight w:val="276"/>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 - current:</w:t>
            </w:r>
          </w:p>
        </w:tc>
        <w:tc>
          <w:tcPr>
            <w:tcW w:w="4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Unbilled receivables</w:t>
            </w:r>
            <w:r>
              <w:rPr>
                <w:rFonts w:ascii="Arial" w:cs="Arial" w:eastAsia="Arial" w:hAnsi="Arial"/>
                <w:sz w:val="18"/>
                <w:szCs w:val="18"/>
                <w:color w:val="auto"/>
                <w:vertAlign w:val="superscript"/>
              </w:rPr>
              <w:t>(2)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b w:val="1"/>
                <w:bCs w:val="1"/>
                <w:color w:val="auto"/>
              </w:rPr>
              <w:t>818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844</w:t>
            </w:r>
          </w:p>
        </w:tc>
      </w:tr>
      <w:tr>
        <w:trPr>
          <w:trHeight w:val="324"/>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Contract liabilities - current:</w:t>
            </w:r>
          </w:p>
        </w:tc>
        <w:tc>
          <w:tcPr>
            <w:tcW w:w="4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293</w:t>
            </w:r>
          </w:p>
        </w:tc>
      </w:tr>
      <w:tr>
        <w:trPr>
          <w:trHeight w:val="32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4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57"/>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w:t>
            </w:r>
          </w:p>
        </w:tc>
      </w:tr>
    </w:tbl>
    <w:p>
      <w:pPr>
        <w:spacing w:after="0" w:line="112" w:lineRule="exact"/>
        <w:rPr>
          <w:sz w:val="20"/>
          <w:szCs w:val="20"/>
          <w:color w:val="auto"/>
        </w:rPr>
      </w:pPr>
    </w:p>
    <w:p>
      <w:pPr>
        <w:ind w:left="180" w:right="100" w:hanging="172"/>
        <w:spacing w:after="0" w:line="227" w:lineRule="auto"/>
        <w:tabs>
          <w:tab w:leader="none" w:pos="168"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 xml:space="preserve">Includes the cumulative effect of the changes made to the Company's opening balance sheet at December 30, 2017, as a result of the adoption of ASU 2014-09, </w:t>
      </w:r>
      <w:r>
        <w:rPr>
          <w:rFonts w:ascii="Arial" w:cs="Arial" w:eastAsia="Arial" w:hAnsi="Arial"/>
          <w:sz w:val="14"/>
          <w:szCs w:val="14"/>
          <w:i w:val="1"/>
          <w:iCs w:val="1"/>
          <w:color w:val="auto"/>
        </w:rPr>
        <w:t>Revenue from</w:t>
      </w:r>
      <w:r>
        <w:rPr>
          <w:rFonts w:ascii="Arial" w:cs="Arial" w:eastAsia="Arial" w:hAnsi="Arial"/>
          <w:sz w:val="14"/>
          <w:szCs w:val="14"/>
          <w:color w:val="auto"/>
        </w:rPr>
        <w:t xml:space="preserve"> </w:t>
      </w:r>
      <w:r>
        <w:rPr>
          <w:rFonts w:ascii="Arial" w:cs="Arial" w:eastAsia="Arial" w:hAnsi="Arial"/>
          <w:sz w:val="14"/>
          <w:szCs w:val="14"/>
          <w:i w:val="1"/>
          <w:iCs w:val="1"/>
          <w:color w:val="auto"/>
        </w:rPr>
        <w:t>Contracts with Customers (Topic 606)</w:t>
      </w:r>
      <w:r>
        <w:rPr>
          <w:rFonts w:ascii="Arial" w:cs="Arial" w:eastAsia="Arial" w:hAnsi="Arial"/>
          <w:sz w:val="14"/>
          <w:szCs w:val="14"/>
          <w:color w:val="auto"/>
        </w:rPr>
        <w:t>.</w:t>
      </w:r>
    </w:p>
    <w:p>
      <w:pPr>
        <w:ind w:left="160" w:hanging="152"/>
        <w:spacing w:after="0" w:line="203" w:lineRule="auto"/>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Balances exclude $381 million and $234 million determined to be billable at December 28, 2018, and December 30, 2017, respectively.</w:t>
      </w:r>
    </w:p>
    <w:p>
      <w:pPr>
        <w:spacing w:after="0" w:line="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decrease in unbilled receivables was primarily due to the timing of billings and revenue recognized on certain contracts. The decrease in deferred revenue was primarily due to revenue recognized during the period partially offset by the timing of advance payments from customers.</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fiscal 2018, the Company recognized revenues of $208 million relating to amounts that were included as a contract liability at December 30, 2017.</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any impairment losses on contract assets during fiscal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w:t>
      </w:r>
    </w:p>
    <w:p>
      <w:pPr>
        <w:spacing w:after="0" w:line="139"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Company may acquire businesses as part of its growth strategy to provide new or enhance existing capabilities and offerings to customers. During fiscal 2016, the Company completed the acquisition of Lockheed Martin's IS&amp;GS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Lockheed Martin Transaction</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26, 2016, Leidos announced it had entered into a definitive agreement (as amended, the "Merger Agreement") with Lockheed Martin Corporation ("Lockheed Martin"); Abacus Innovations Corporation, a Delaware corporation and a wholly owned subsidiary of Lockheed Martin ("Splitco"); and Lion Merger Co., a Delaware corporation and, at the time of announcement, a wholly owned subsidiary of Leidos ("Merger Sub"), pursuant to which Leidos would combine with Lockheed Martin's realigned Information Systems &amp; Global Solutions business in a Reverse Morris Trust transaction. In connection with the Merger Agreement, Lockheed Martin and Splitco entered into a Separation Agreement dated January 26, 2016 (as amended, the "Separation Agreement"), pursuant to which Lockheed Martin would separate the IS&amp;GS Business from Lockheed Martin and transfer the IS&amp;GS Business to Splitco. The transactions contemplated by the Merger Agreement and the Separation Agreement are referred to herein as the "Transactions."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- 71</w:t>
      </w:r>
    </w:p>
    <w:p>
      <w:pPr>
        <w:sectPr>
          <w:pgSz w:w="11900" w:h="16838" w:orient="portrait"/>
          <w:cols w:equalWidth="0" w:num="1">
            <w:col w:w="11420"/>
          </w:cols>
          <w:pgMar w:left="240" w:top="175"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August 16, 2016, the acquisition date, the Company completed the Transactions. In the Transactions, among other steps, (i) Lockheed Martin transferred the IS&amp;GS Business to Splitco; (ii) Lockheed Martin offered to Lockheed Martin stockholders the right to exchange all or a portion of their shares of Lockheed Martin common stock for shares of Splitco common stock by way of an exchange offer (the "Distribution"); and (iii) Merger Sub merged with and into Splitco, with Splitco as the surviving corporation (the "Merger") and a wholly owned subsidiary of Leidos. Upon consummation of the Transactions, those Lockheed Martin stockholders who elected to participate in the exchange offer received approximately 77 million shares of Leidos common stock, which represented approximately 50.5% of the outstanding shares of Leidos common stock after consummation of the Transactions. Holders of Leidos shares prior to the transaction held the remaining 49.5% of the outstanding shares of Leidos common stock immediately after the closing.</w:t>
      </w:r>
    </w:p>
    <w:p>
      <w:pPr>
        <w:spacing w:after="0" w:line="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Prior to the Distribution, Splitco incurred third-party debt financing in an aggregate principal amount of $1.8 billion and immediately thereafter, Lockheed Martin transferred the IS&amp;GS Business to Splitco and Splitco made a special cash payment to Lockheed Martin of $1.8 billion.</w:t>
      </w:r>
    </w:p>
    <w:p>
      <w:pPr>
        <w:spacing w:after="0" w:line="8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connection with the Transactions, Leidos incurred new indebtedness and assumed Splitco's indebtedness in the form of term loans in an aggregate principal amount of $690 million and $1.8 billion, respectively, and entered into a new $750 million senior secured revolving credit facility, which replaced its existing revolving credit facility. See "Note 15—Debt" for further information regarding the debt incurred and the senior revolving credit facility.</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conjunction with the Transactions, Leidos' Board of Directors declared a special dividend of $ 13.64 per share of Leidos common stock. Consequently, on August 22, 2016, the Company paid $993 million to stockholders of record as of August 15, 2016, and accrued $29 million of dividend equivalents with respect to outstanding equity awards. See "Note 19—Stock-Based Compensation" for further information regarding the modifications made to the Company's outstanding stock awards as a result of the special dividend.</w:t>
      </w:r>
    </w:p>
    <w:p>
      <w:pPr>
        <w:spacing w:after="0" w:line="9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As a result of the Transactions, membership on the Leidos Board of Directors was increased to 12 directors, in which three directors designated by Lockheed Martin were appointed to the board. A majority of the senior management of Leidos immediately prior to the consummation of the Transactions remained Leidos executive officers immediately after the Transactions. Leidos management determined that Leidos is the accounting acquirer in the Transactions based on the facts and circumstances noted within this section and other relevant factors.</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acquisition adds large, complex information technology ("IT") system implementation and operation experience and additional federal and international IT solutions and services work to the Leidos portfolio, providing more venues to sell value added services such as cybersecurity and analytics. As a result, the Company is more diversified in markets it serves and provides the Company the scale and access to markets intended to further growth.</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40" w:type="dxa"/>
            <w:vAlign w:val="bottom"/>
          </w:tcPr>
          <w:p>
            <w:pPr>
              <w:spacing w:after="0"/>
              <w:rPr>
                <w:sz w:val="20"/>
                <w:szCs w:val="20"/>
                <w:color w:val="auto"/>
              </w:rPr>
            </w:pPr>
            <w:r>
              <w:rPr>
                <w:rFonts w:ascii="Arial" w:cs="Arial" w:eastAsia="Arial" w:hAnsi="Arial"/>
                <w:sz w:val="18"/>
                <w:szCs w:val="18"/>
                <w:color w:val="auto"/>
              </w:rPr>
              <w:t>The final purchase consideration for the acquisition of the IS&amp;GS Business was as follows (in millions):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35"/>
        </w:trPr>
        <w:tc>
          <w:tcPr>
            <w:tcW w:w="10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Value of common stock issued to Lockheed Martin stockholders</w:t>
            </w:r>
            <w:r>
              <w:rPr>
                <w:rFonts w:ascii="Arial" w:cs="Arial" w:eastAsia="Arial" w:hAnsi="Arial"/>
                <w:sz w:val="21"/>
                <w:szCs w:val="21"/>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2,929</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color w:val="auto"/>
              </w:rPr>
              <w:t>Equity consideration for replacement awards</w:t>
            </w:r>
            <w:r>
              <w:rPr>
                <w:rFonts w:ascii="Arial" w:cs="Arial" w:eastAsia="Arial" w:hAnsi="Arial"/>
                <w:sz w:val="21"/>
                <w:szCs w:val="21"/>
                <w:color w:val="auto"/>
                <w:vertAlign w:val="superscript"/>
              </w:rPr>
              <w:t>(2)</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capital adjustments</w:t>
            </w:r>
            <w:r>
              <w:rPr>
                <w:rFonts w:ascii="Arial" w:cs="Arial" w:eastAsia="Arial" w:hAnsi="Arial"/>
                <w:sz w:val="21"/>
                <w:szCs w:val="21"/>
                <w:color w:val="auto"/>
                <w:vertAlign w:val="superscript"/>
              </w:rPr>
              <w:t>(3)</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3,019</w:t>
            </w:r>
          </w:p>
        </w:tc>
      </w:tr>
      <w:tr>
        <w:trPr>
          <w:trHeight w:val="20"/>
        </w:trPr>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180" w:right="100" w:hanging="172"/>
        <w:spacing w:after="0" w:line="220" w:lineRule="auto"/>
        <w:tabs>
          <w:tab w:leader="none" w:pos="168"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Represents approximately 77 million new shares of Leidos common stock issued to those Lockheed Martin stockholders who elected to participate in the exchange offer, based on the Company's August 16, 2016, closing share price of $51.69, less the Leidos special cash dividend amount of $13.64, which the Lockheed Martin stockholders were not entitled to receive.</w:t>
      </w:r>
    </w:p>
    <w:p>
      <w:pPr>
        <w:spacing w:after="0" w:line="1" w:lineRule="exact"/>
        <w:rPr>
          <w:rFonts w:ascii="Arial" w:cs="Arial" w:eastAsia="Arial" w:hAnsi="Arial"/>
          <w:sz w:val="18"/>
          <w:szCs w:val="18"/>
          <w:color w:val="auto"/>
          <w:vertAlign w:val="superscript"/>
        </w:rPr>
      </w:pPr>
    </w:p>
    <w:p>
      <w:pPr>
        <w:jc w:val="both"/>
        <w:ind w:left="180" w:right="460" w:hanging="172"/>
        <w:spacing w:after="0" w:line="211" w:lineRule="auto"/>
        <w:tabs>
          <w:tab w:leader="none" w:pos="168"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Represents a portion of the $23 million total fair value of replacement equity-based awards attributable to the pre-Merger service period. The remaining $12 million, net of estimated forfeitures, will be recognized as stock-based compensation expense over the remaining requisite service period (see "Note 19—Stock-Based Compensation").</w:t>
      </w:r>
    </w:p>
    <w:p>
      <w:pPr>
        <w:ind w:left="180" w:right="300" w:hanging="172"/>
        <w:spacing w:after="0" w:line="225" w:lineRule="auto"/>
        <w:tabs>
          <w:tab w:leader="none" w:pos="153" w:val="left"/>
        </w:tabs>
        <w:numPr>
          <w:ilvl w:val="0"/>
          <w:numId w:val="41"/>
        </w:numPr>
        <w:rPr>
          <w:rFonts w:ascii="Arial" w:cs="Arial" w:eastAsia="Arial" w:hAnsi="Arial"/>
          <w:sz w:val="17"/>
          <w:szCs w:val="17"/>
          <w:color w:val="auto"/>
          <w:vertAlign w:val="superscript"/>
        </w:rPr>
      </w:pPr>
      <w:r>
        <w:rPr>
          <w:rFonts w:ascii="Arial" w:cs="Arial" w:eastAsia="Arial" w:hAnsi="Arial"/>
          <w:sz w:val="14"/>
          <w:szCs w:val="14"/>
          <w:color w:val="auto"/>
        </w:rPr>
        <w:t>In January 2018, the Company finalized its net working capital at $105 million. The additional $24 million was recorded as acquisition costs in the consolidated statements of income.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- 72</w:t>
      </w:r>
    </w:p>
    <w:p>
      <w:pPr>
        <w:sectPr>
          <w:pgSz w:w="11900" w:h="16838" w:orient="portrait"/>
          <w:cols w:equalWidth="0" w:num="1">
            <w:col w:w="11420"/>
          </w:cols>
          <w:pgMar w:left="240" w:top="175"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final fair values of the assets acquired and liabilities assumed at the date of the Transactions were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938</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Accrued payroll and employee benefits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current portion</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liabilities assumed</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3,019</w:t>
            </w:r>
          </w:p>
        </w:tc>
      </w:tr>
      <w:tr>
        <w:trPr>
          <w:trHeight w:val="20"/>
        </w:trPr>
        <w:tc>
          <w:tcPr>
            <w:tcW w:w="10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fiscal 2017, the Company recorded adjustments to finalize the fair value of acquired assets and liabilities assumed which resulted in a $337 million increase in goodwill. Significant changes included intangible assets, property, plant and equipment, deferred tax assets, other assets, accounts payable and accrued liabilities and deferred tax liabilities. The Company recognized cumulative catch-up adjustments related to valuation adjustments for equity method investments and property, plant, and equipment, which resulted in an increase of $7 million in amortization expense and an increase of $ 7 million of depreciation expense, respectively. The Company recorded the cumulative catch-up adjustments to equity method investments within "Equity earnings of non-consolidated subsidiaries" and adjustments to depreciation within "Costs of revenues" and "Selling, general and administrative expenses" on the consolidated statement of income.</w:t>
      </w:r>
    </w:p>
    <w:p>
      <w:pPr>
        <w:spacing w:after="0" w:line="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during fiscal 2017, the Company recorded a valuation adjustment to reflect the fair value of the non-controlling interest acquired. The fair value of $13 million was determined by calculating the present value of future cash flows for the non-controlling interest. Significant assumptions inherent in the valuation of the non-controlling interest include the estimated after-tax cash flows expected to be received and an assessment of the appropriate discount rate.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goodwill represents intellectual capital and the acquired assembled work force, none of which qualify for recognition as a separate intangible asset. The value of goodwill has been allocated to the reporting units on a relative fair value approach (see "Note 10—Goodwill"). Of the total goodwill, $414 million is tax deductible.</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identified $1.2 billion of intangible assets, representing program and contract intangibles, backlog and software and technology. The fair value measurements were primarily based on significant inputs that are not observable in the market and represent a Level 3 measurement (see "Note 13—Fair Value Measurements"). The income approach was primarily used to value the intangible assets, consisting primarily of acquired program and contract intangibles and backlog. The income approach indicates value for an asset based on the present value of cash flow projected to be generated by the asset. Projected cash flow is discounted at a rate of return that reflects the relative risk of achieving the cash flow and the time value of money.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- 73</w:t>
      </w:r>
    </w:p>
    <w:p>
      <w:pPr>
        <w:sectPr>
          <w:pgSz w:w="11900" w:h="16838" w:orient="portrait"/>
          <w:cols w:equalWidth="0" w:num="1">
            <w:col w:w="11420"/>
          </w:cols>
          <w:pgMar w:left="240" w:top="17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following table summarizes the fair value of intangible assets acquired at the date of acquisition and the related weighted average amortization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8"/>
        </w:trPr>
        <w:tc>
          <w:tcPr>
            <w:tcW w:w="8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Fair value</w:t>
            </w:r>
          </w:p>
        </w:tc>
      </w:tr>
      <w:tr>
        <w:trPr>
          <w:trHeight w:val="264"/>
        </w:trPr>
        <w:tc>
          <w:tcPr>
            <w:tcW w:w="8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22"/>
                <w:szCs w:val="22"/>
                <w:color w:val="auto"/>
              </w:rPr>
            </w:pPr>
          </w:p>
        </w:tc>
        <w:tc>
          <w:tcPr>
            <w:tcW w:w="1160" w:type="dxa"/>
            <w:vAlign w:val="bottom"/>
          </w:tcPr>
          <w:p>
            <w:pPr>
              <w:jc w:val="right"/>
              <w:ind w:right="236"/>
              <w:spacing w:after="0"/>
              <w:rPr>
                <w:sz w:val="20"/>
                <w:szCs w:val="20"/>
                <w:color w:val="auto"/>
              </w:rPr>
            </w:pPr>
            <w:r>
              <w:rPr>
                <w:rFonts w:ascii="Arial" w:cs="Arial" w:eastAsia="Arial" w:hAnsi="Arial"/>
                <w:sz w:val="14"/>
                <w:szCs w:val="14"/>
                <w:color w:val="auto"/>
              </w:rPr>
              <w:t>(in millions)</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Program and contract intangibles</w:t>
            </w:r>
            <w:r>
              <w:rPr>
                <w:rFonts w:ascii="Arial" w:cs="Arial" w:eastAsia="Arial" w:hAnsi="Arial"/>
                <w:sz w:val="21"/>
                <w:szCs w:val="21"/>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1,011</w:t>
            </w:r>
          </w:p>
        </w:tc>
      </w:tr>
      <w:tr>
        <w:trPr>
          <w:trHeight w:val="26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Backlog</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157</w:t>
            </w:r>
          </w:p>
        </w:tc>
      </w:tr>
      <w:tr>
        <w:trPr>
          <w:trHeight w:val="27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Software and technology</w:t>
            </w:r>
            <w:r>
              <w:rPr>
                <w:rFonts w:ascii="Arial" w:cs="Arial" w:eastAsia="Arial" w:hAnsi="Arial"/>
                <w:sz w:val="21"/>
                <w:szCs w:val="21"/>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1,194</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weighted average amortization period is estimated based on the projected economic benefits associated with these assets.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expenses related to the acquisition and integration of the IS&amp;GS Business: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2016</w:t>
            </w: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r>
      <w:tr>
        <w:trPr>
          <w:trHeight w:val="264"/>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Integration costs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w:t>
            </w: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acquisition and integration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90</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acquisition and integration costs have been recorded within Corporate and presented in "Acquisition, integration and restructuring costs" on the consolidated statements of income.</w:t>
      </w:r>
    </w:p>
    <w:p>
      <w:pPr>
        <w:spacing w:after="0" w:line="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January 10, 2018, the final amount of the net working capital of the IS&amp;GS Business was determined through a binding arbitration proceeding in accordance with the Separation Agreement with Lockheed Martin. As a result, $24 million was recorded as acquisition costs in the consolidated statements of income for fiscal 2017. On January 18, 2018, the final working capital amount of $105 million was paid to Lockheed Martin, of which $24 million and $81 million was presented as cash flows from operating and investing activities, respectively, on the consolidated statement of cash flows.</w:t>
      </w:r>
    </w:p>
    <w:p>
      <w:pPr>
        <w:spacing w:after="0" w:line="9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During fiscal 2018, a tax indemnification liability of $23 million was paid to Lockheed Martin in accordance with the Tax Matters Agreement, which was presented as cash flows from financing activities on the consolidated statement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following pro forma financial information presents consolidated results of operations as if the acquisition had occurred on January 31, 2015. The pro forma financial information was prepared based on historical financial information and has been adjusted to give effect to the events that are directly attributable to the Transactions and factually supportable. The pro forma results below do not reflect future events that have occurred or may occur after the Transactions, including anticipated synergies or other expected benefits that may be realized from the Transactions. The pro forma financial information is not intended to reflect the actual results of operations that would have occurred if the acquisition had been completed on January 31, 2015, nor is it intended to be an indication of future operating results.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- 74</w:t>
      </w:r>
    </w:p>
    <w:p>
      <w:pPr>
        <w:sectPr>
          <w:pgSz w:w="11900" w:h="16838" w:orient="portrait"/>
          <w:cols w:equalWidth="0" w:num="1">
            <w:col w:w="11420"/>
          </w:cols>
          <w:pgMar w:left="240" w:top="175"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93"/>
        </w:trPr>
        <w:tc>
          <w:tcPr>
            <w:tcW w:w="9820" w:type="dxa"/>
            <w:vAlign w:val="bottom"/>
            <w:gridSpan w:val="2"/>
            <w:vMerge w:val="restart"/>
          </w:tcPr>
          <w:p>
            <w:pPr>
              <w:ind w:left="4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6"/>
                <w:szCs w:val="16"/>
                <w:color w:val="auto"/>
              </w:rPr>
            </w:pPr>
          </w:p>
        </w:tc>
        <w:tc>
          <w:tcPr>
            <w:tcW w:w="1460" w:type="dxa"/>
            <w:vAlign w:val="bottom"/>
          </w:tcPr>
          <w:p>
            <w:pPr>
              <w:jc w:val="center"/>
              <w:ind w:right="118"/>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78"/>
        </w:trPr>
        <w:tc>
          <w:tcPr>
            <w:tcW w:w="9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93"/>
        </w:trPr>
        <w:tc>
          <w:tcPr>
            <w:tcW w:w="9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(in millions, except for</w:t>
            </w:r>
          </w:p>
        </w:tc>
        <w:tc>
          <w:tcPr>
            <w:tcW w:w="0" w:type="dxa"/>
            <w:vAlign w:val="bottom"/>
          </w:tcPr>
          <w:p>
            <w:pPr>
              <w:spacing w:after="0"/>
              <w:rPr>
                <w:sz w:val="1"/>
                <w:szCs w:val="1"/>
                <w:color w:val="auto"/>
              </w:rPr>
            </w:pPr>
          </w:p>
        </w:tc>
      </w:tr>
      <w:tr>
        <w:trPr>
          <w:trHeight w:val="178"/>
        </w:trPr>
        <w:tc>
          <w:tcPr>
            <w:tcW w:w="9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276"/>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6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2"/>
                <w:szCs w:val="22"/>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7"/>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Leidos common stockholders</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6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98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2"/>
                <w:szCs w:val="22"/>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excludes acquisition-related costs of $44 million as a non-recurring significant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adjustment was made to account for certain costs incurred as if the Transactions had been completed on January 31, 2015.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Cybersecurity Business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5, 2018, the Company entered into a Stock and Asset Purchase Agreement to sell the Company's commercial cybersecurity business, included within the Company's Civil segment, in order to focus on providing solutions, including cybersecurity, to the Company's core markets of governments and highly regulated industries. The sale is expected to be completed in early fiscal 2019 and is not expected to result in a loss. The Company has presented the associated assets and liabilities of the business as held for sale in the Company's consolidated balance sheet as of December 28, 2018. The major classes of assets and liabilities classified as held for sale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rPr>
              <w:t>December 28,</w:t>
            </w:r>
          </w:p>
        </w:tc>
      </w:tr>
      <w:tr>
        <w:trPr>
          <w:trHeight w:val="196"/>
        </w:trPr>
        <w:tc>
          <w:tcPr>
            <w:tcW w:w="9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2018</w:t>
            </w:r>
          </w:p>
        </w:tc>
      </w:tr>
      <w:tr>
        <w:trPr>
          <w:trHeight w:val="264"/>
        </w:trPr>
        <w:tc>
          <w:tcPr>
            <w:tcW w:w="9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r>
      <w:tr>
        <w:trPr>
          <w:trHeight w:val="276"/>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w:t>
            </w:r>
          </w:p>
        </w:tc>
      </w:tr>
      <w:tr>
        <w:trPr>
          <w:trHeight w:val="26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r>
      <w:tr>
        <w:trPr>
          <w:trHeight w:val="277"/>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r>
      <w:tr>
        <w:trPr>
          <w:trHeight w:val="26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r>
      <w:tr>
        <w:trPr>
          <w:trHeight w:val="277"/>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57</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w:t>
            </w:r>
          </w:p>
        </w:tc>
      </w:tr>
      <w:tr>
        <w:trPr>
          <w:trHeight w:val="257"/>
        </w:trPr>
        <w:tc>
          <w:tcPr>
            <w:tcW w:w="10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92</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9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w:t>
            </w:r>
          </w:p>
        </w:tc>
      </w:tr>
      <w:tr>
        <w:trPr>
          <w:trHeight w:val="26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4</w:t>
            </w:r>
          </w:p>
        </w:tc>
      </w:tr>
      <w:tr>
        <w:trPr>
          <w:trHeight w:val="270"/>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r>
      <w:tr>
        <w:trPr>
          <w:trHeight w:val="257"/>
        </w:trPr>
        <w:tc>
          <w:tcPr>
            <w:tcW w:w="10040" w:type="dxa"/>
            <w:vAlign w:val="bottom"/>
            <w:gridSpan w:val="2"/>
          </w:tcPr>
          <w:p>
            <w:pPr>
              <w:ind w:left="180"/>
              <w:spacing w:after="0"/>
              <w:rPr>
                <w:sz w:val="20"/>
                <w:szCs w:val="20"/>
                <w:color w:val="auto"/>
              </w:rPr>
            </w:pPr>
            <w:r>
              <w:rPr>
                <w:rFonts w:ascii="Arial" w:cs="Arial" w:eastAsia="Arial" w:hAnsi="Arial"/>
                <w:sz w:val="18"/>
                <w:szCs w:val="18"/>
                <w:color w:val="auto"/>
              </w:rPr>
              <w:t>Total liabilities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- 75</w:t>
      </w:r>
    </w:p>
    <w:p>
      <w:pPr>
        <w:sectPr>
          <w:pgSz w:w="11900" w:h="16838" w:orient="portrait"/>
          <w:cols w:equalWidth="0" w:num="1">
            <w:col w:w="11420"/>
          </w:cols>
          <w:pgMar w:left="240" w:top="175"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planned disposition does not represent a strategic shift in operations that will have a material effect on the Company's operations and financial results, and accordingly was not presented as discontinued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 Construction Business</w:t>
      </w:r>
    </w:p>
    <w:p>
      <w:pPr>
        <w:spacing w:after="0" w:line="1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April 2016, the Company's Civil segment disposed of a business that was primarily focused on providing design, build and heavy construction engineering services. The Company received cash proceeds of $23 million, resulting in a pre-tax gain on sale of $3 million. The major classes of assets and liabilities sold included $73 million of accounts receivable, net; $3 million of non-current assets and $63 million of accounts payable and accrued liabilities. The Company recorded the pre-tax gain on sale in "Other expense, net" on the consolidated statements of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Plainfield Renewable Energy Holdings LLC</w:t>
      </w:r>
    </w:p>
    <w:p>
      <w:pPr>
        <w:spacing w:after="0" w:line="135"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On July 24, 2015, the Company completed the sale of its equity interests in Plainfield Renewable Energy Holdings LLC ("Plainfield"), a biomass-fueled power plant in Plainfield, Connecticut (the "plant"), for an aggregate consideration of $102 million, subject to certain adjustments. The consideration received at closing consisted of a cash payment of $29 million (the "Closing Payment") and a secured promissory note for $73 million, net of discount (the "Note").</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original maturity date of the Note was July 24, 2017 (the "Original Maturity Date"), with an option to extend the maturity date for three consecutive one-year periods. The annual interest rate of 6% would increase to 8% if the maturity date was extended beyond July 24, 2017, and would increase to 9% if extended beyond July 24, 2019. The first payment of accrued and unpaid interest was due January 24, 2016, with subsequent payments occurring every six months, including a portion of the principal balance. The Note allowed for a six-month deferral of certain payments due in January 2016 and July 2016. In January 2016 and July 2016, the Company was notified by the buyer that the interest payment due on January 24, 2016, would be deferred to the next payment date, and a portion of the principal payment due on July 24, 2016, would be deferred to the next payment due date.</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quarter ended June 30, 2017, Plainfield exercised the first of three one-year term extension options available under the original credit agreement, thereby extending the maturity date of the Note to July 24, 2018. Concurrent with this extension, the interest rate on the Note increased from 6% to 8%. Also, during the quarter ended June 30, 2017, Leidos and Plainfield entered into an amendment to the Note allowing Plainfield to defer up to $4 million of the interest and principal payments due in July 2017 and January 2018 until July 2018. In consideration of this deferment, Leidos received certain concessions and releases from obligations under the original transaction documents.</w:t>
      </w:r>
    </w:p>
    <w:p>
      <w:pPr>
        <w:spacing w:after="0" w:line="97"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The Company collected $6 million of principal and interest each year during fiscal 2016 and fiscal 2017. Payments under the Note were secured by a general security interest in the personal property of Plainfield, a pledge of the membership interests of Plainfield and a first mortgage on the real property that comprised the plant.</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January 2018, the Company entered into negotiations with the equity owners of Plainfield LLC regarding the Plainfield Recapitalization Plan ("Plan"). The Plan envisioned raising new equity combined with reduction of Plainfield's debt. As a result, the Company recorded a $33 million impairment of its Note, which is presented in "Other expense, net" on the consolidated statements of income. The net realizable value of the Note at December 29, 2017, was estimated to be approximately $40 million, compared to its carrying value of $73 million, including accrued interest.</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July 12, 2018, Leidos and Plainfield entered into an additional amendment to the Note, allowing Plainfield to defer the maturity of the Note until the earlier of August 24, 2018, or the date Plainfield successfully closed on a refinancing agreement with a third party. Under the terms of the agreement, if Plainfield successfully refinanced the Note prior to August 24, 2018, Leidos would allow Plainfield to settle the Note in full for $40 million plus 50% of additional net proceeds obtained by Plainfield. On August 23, 2018, Leidos and Plainfield entered into an agreement with respect to the final payoff of the Note. As a result, the Company received proceeds of $40 million in full satisfaction of Plainfield's obligations under the Note.</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- 76</w:t>
      </w:r>
    </w:p>
    <w:p>
      <w:pPr>
        <w:sectPr>
          <w:pgSz w:w="11900" w:h="16838" w:orient="portrait"/>
          <w:cols w:equalWidth="0" w:num="1">
            <w:col w:w="11380"/>
          </w:cols>
          <w:pgMar w:left="240" w:top="175" w:right="27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Expenses</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After the acquisition of the IS&amp;GS Business, the Company began an initiative to reduce its cost structure, which includes optimization of its real estate portfolio by vacating certain facilities and consolidating others, and by reducing headcount.</w:t>
      </w:r>
    </w:p>
    <w:p>
      <w:pPr>
        <w:sectPr>
          <w:pgSz w:w="11900" w:h="16838" w:orient="portrait"/>
          <w:cols w:equalWidth="0" w:num="1">
            <w:col w:w="11420"/>
          </w:cols>
          <w:pgMar w:left="240" w:top="175" w:right="2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expenses related to this program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44164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Severance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termination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expenses related to the IS&amp;GS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December 30,</w:t>
            </w:r>
          </w:p>
        </w:tc>
      </w:tr>
      <w:tr>
        <w:trPr>
          <w:trHeight w:val="196"/>
        </w:trPr>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2016</w:t>
            </w:r>
          </w:p>
        </w:tc>
      </w:tr>
      <w:tr>
        <w:trPr>
          <w:trHeight w:val="244"/>
        </w:trPr>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10</w:t>
            </w:r>
          </w:p>
        </w:tc>
      </w:tr>
      <w:tr>
        <w:trPr>
          <w:trHeight w:val="277"/>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6360" w:space="720"/>
            <w:col w:w="4340"/>
          </w:cols>
          <w:pgMar w:left="240" w:top="175" w:right="239" w:bottom="1440" w:gutter="0" w:footer="0" w:header="0"/>
          <w:type w:val="continuous"/>
        </w:sectPr>
      </w:pPr>
    </w:p>
    <w:p>
      <w:pPr>
        <w:ind w:right="480"/>
        <w:spacing w:after="0" w:line="256" w:lineRule="auto"/>
        <w:rPr>
          <w:sz w:val="20"/>
          <w:szCs w:val="20"/>
          <w:color w:val="auto"/>
        </w:rPr>
      </w:pPr>
      <w:r>
        <w:rPr>
          <w:rFonts w:ascii="Arial" w:cs="Arial" w:eastAsia="Arial" w:hAnsi="Arial"/>
          <w:sz w:val="18"/>
          <w:szCs w:val="18"/>
          <w:color w:val="auto"/>
        </w:rPr>
        <w:t>As of December 28, 2018, the Company has recognized a total of $57 million of expense in connection with restructuring activities. These restructuring expenses have been recorded within Corporate and presented in "Acquisition, integration and restructuring costs" on the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related restructuring liability related to this program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color w:val="auto"/>
              </w:rPr>
              <w:t>Lease Termination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Severance Costs</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Expenses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Balance at December 29, 2017</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28, 2018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9—Receivables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2"/>
          </w:tcPr>
          <w:p>
            <w:pPr>
              <w:spacing w:after="0"/>
              <w:rPr>
                <w:sz w:val="20"/>
                <w:szCs w:val="20"/>
                <w:color w:val="auto"/>
              </w:rPr>
            </w:pPr>
            <w:r>
              <w:rPr>
                <w:rFonts w:ascii="Arial" w:cs="Arial" w:eastAsia="Arial" w:hAnsi="Arial"/>
                <w:sz w:val="18"/>
                <w:szCs w:val="18"/>
                <w:color w:val="auto"/>
              </w:rPr>
              <w:t>The components of receivables, net consisted of the following:</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24"/>
                <w:szCs w:val="24"/>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00" w:type="dxa"/>
            <w:vAlign w:val="bottom"/>
            <w:gridSpan w:val="4"/>
          </w:tcPr>
          <w:p>
            <w:pPr>
              <w:jc w:val="right"/>
              <w:ind w:right="974"/>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Billed receivables</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1,067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6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b w:val="1"/>
                <w:bCs w:val="1"/>
                <w:color w:val="auto"/>
              </w:rPr>
              <w:t>818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1,877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80" w:right="40" w:hanging="172"/>
        <w:spacing w:after="0" w:line="218" w:lineRule="auto"/>
        <w:tabs>
          <w:tab w:leader="none" w:pos="168"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As a result of the adoption of ASC 606, $381 million of billable receivables were classified as billed receivables for fiscal 2018. $234 million of billable receivables were classified as unbilled receivables for fiscal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10—Goodwill</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fiscal 2017, the Company completed its business reorganization, which resulted in identification of three reportable segments (Defense Solutions, Civil and Health). Additionally, the Company separately presents the costs associated with corporate functions as Corporate. The Company commenced operating and reporting under the new organizational structure effective the beginning of fiscal 2017 (see "Note 24— Business Segments"). Goodwill, including the amounts from the acquisition of the IS&amp;GS Business, was allocated to the reporting units on a relative fair value approach.</w:t>
      </w:r>
    </w:p>
    <w:p>
      <w:pPr>
        <w:sectPr>
          <w:pgSz w:w="11900" w:h="16838" w:orient="portrait"/>
          <w:cols w:equalWidth="0" w:num="1">
            <w:col w:w="11420"/>
          </w:cols>
          <w:pgMar w:left="240" w:top="175" w:right="239" w:bottom="1440" w:gutter="0" w:footer="0" w:header="0"/>
          <w:type w:val="continuous"/>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- 77</w:t>
      </w:r>
    </w:p>
    <w:p>
      <w:pPr>
        <w:sectPr>
          <w:pgSz w:w="11900" w:h="16838" w:orient="portrait"/>
          <w:cols w:equalWidth="0" w:num="1">
            <w:col w:w="11420"/>
          </w:cols>
          <w:pgMar w:left="240" w:top="175" w:right="23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carrying amount of goodwill by reportable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Defense Solutions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Civil</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Total</w:t>
            </w:r>
          </w:p>
        </w:tc>
      </w:tr>
      <w:tr>
        <w:trPr>
          <w:trHeight w:val="250"/>
        </w:trPr>
        <w:tc>
          <w:tcPr>
            <w:tcW w:w="5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at December 30, 2016</w:t>
            </w:r>
            <w:r>
              <w:rPr>
                <w:rFonts w:ascii="Arial" w:cs="Arial" w:eastAsia="Arial" w:hAnsi="Arial"/>
                <w:sz w:val="21"/>
                <w:szCs w:val="21"/>
                <w:color w:val="auto"/>
                <w:vertAlign w:val="superscript"/>
              </w:rPr>
              <w:t>(1)</w:t>
            </w: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4,622</w:t>
            </w: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Adjustment to original purchase price allocation</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337</w:t>
            </w: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5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Goodwill at December 29, 2017</w:t>
            </w:r>
            <w:r>
              <w:rPr>
                <w:rFonts w:ascii="Arial" w:cs="Arial" w:eastAsia="Arial" w:hAnsi="Arial"/>
                <w:sz w:val="21"/>
                <w:szCs w:val="21"/>
                <w:color w:val="auto"/>
                <w:vertAlign w:val="superscript"/>
              </w:rPr>
              <w:t>(1)</w:t>
            </w:r>
          </w:p>
        </w:tc>
        <w:tc>
          <w:tcPr>
            <w:tcW w:w="4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4,974</w:t>
            </w: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Transfers to assets held for sale</w:t>
            </w:r>
          </w:p>
        </w:tc>
        <w:tc>
          <w:tcPr>
            <w:tcW w:w="4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 to goodwill</w:t>
            </w:r>
          </w:p>
        </w:tc>
        <w:tc>
          <w:tcPr>
            <w:tcW w:w="4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Goodwill at December 28, 2018</w:t>
            </w:r>
            <w:r>
              <w:rPr>
                <w:rFonts w:ascii="Arial" w:cs="Arial" w:eastAsia="Arial" w:hAnsi="Arial"/>
                <w:sz w:val="21"/>
                <w:szCs w:val="21"/>
                <w:b w:val="1"/>
                <w:bCs w:val="1"/>
                <w:color w:val="auto"/>
                <w:vertAlign w:val="superscript"/>
              </w:rPr>
              <w:t>(1)</w:t>
            </w:r>
          </w:p>
        </w:tc>
        <w:tc>
          <w:tcPr>
            <w:tcW w:w="4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1,924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921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4,860</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3"/>
          <w:szCs w:val="13"/>
          <w:color w:val="auto"/>
        </w:rPr>
        <w:t>Carrying amount includes accumulated impairment losses of $369 million and $117 million within the Health and Civil segments,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See "Note 6—Acquisitions" for the description of adjustments to the original purchase price allocation.</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conjunction with the fiscal 2017 change in reportable segments, the Company evaluated goodwill for impairment, both before and after the segment change and determined that goodwill was not impaired.</w:t>
      </w:r>
    </w:p>
    <w:p>
      <w:pPr>
        <w:spacing w:after="0" w:line="8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Based on a qualitative analysis performed during the Company's annual impairment evaluation for fiscal 2018 and fiscal 2016 for certain of its reporting units, it was determined that it is more likely than not that the fair values of the reporting units were in excess of the individual reporting unit carrying values, and as a result, a quantitative step one analysis was not necessary. Additionally, based on the results of the quantitative step one analysis for certain other of its reporting units, it was determined that the fair value was in excess of the individual reporting units carrying values. In fiscal 2017, the company performed a quantitative analysis for all reporting units. It was determined that the fair values of all reporting units exceeded their carrying values. As a result, no goodwill impairments were identified as part of the annual goodwill impairment evaluation for the periods mentioned above.</w:t>
      </w:r>
    </w:p>
    <w:p>
      <w:pPr>
        <w:spacing w:after="0" w:line="9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year ended December 28, 2018, the Company recorded an immaterial correction of $6 million with respect to fair value of liabilities acquired from the Transactions (see "Note 6—Acquisitions").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28, 2018</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29, 2017</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color w:val="auto"/>
              </w:rPr>
              <w:t>Net</w:t>
            </w:r>
          </w:p>
        </w:tc>
      </w:t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color w:val="auto"/>
              </w:rPr>
              <w:t>carrying</w:t>
            </w:r>
          </w:p>
        </w:tc>
      </w:tr>
      <w:tr>
        <w:trPr>
          <w:trHeight w:val="196"/>
        </w:trPr>
        <w:tc>
          <w:tcPr>
            <w:tcW w:w="3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color w:val="auto"/>
              </w:rPr>
              <w:t>value</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rPr>
              <w:t>value</w:t>
            </w:r>
          </w:p>
        </w:tc>
      </w:tr>
      <w:tr>
        <w:trPr>
          <w:trHeight w:val="250"/>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Program and contract intangibles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1,003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629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826</w:t>
            </w:r>
          </w:p>
        </w:tc>
      </w:tr>
      <w:tr>
        <w:trPr>
          <w:trHeight w:val="277"/>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 and technology</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r>
      <w:tr>
        <w:trPr>
          <w:trHeight w:val="263"/>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w:t>
            </w:r>
          </w:p>
        </w:tc>
      </w:tr>
      <w:tr>
        <w:trPr>
          <w:trHeight w:val="27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Backlog</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1,100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648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852</w:t>
            </w:r>
          </w:p>
        </w:tc>
      </w:tr>
      <w:tr>
        <w:trPr>
          <w:trHeight w:val="257"/>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57"/>
        </w:trPr>
        <w:tc>
          <w:tcPr>
            <w:tcW w:w="32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856</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Amortization expense related to intangible assets, including those acquired through the Transactions, was $201 million, $281 million and $84 million for fiscal 2018, 2017 and 2016, respectively.</w:t>
      </w:r>
    </w:p>
    <w:p>
      <w:pPr>
        <w:sectPr>
          <w:pgSz w:w="11900" w:h="16838" w:orient="portrait"/>
          <w:cols w:equalWidth="0" w:num="1">
            <w:col w:w="11420"/>
          </w:cols>
          <w:pgMar w:left="240" w:top="175"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- 78</w:t>
      </w:r>
    </w:p>
    <w:p>
      <w:pPr>
        <w:sectPr>
          <w:pgSz w:w="11900" w:h="16838" w:orient="portrait"/>
          <w:cols w:equalWidth="0" w:num="1">
            <w:col w:w="11420"/>
          </w:cols>
          <w:pgMar w:left="240" w:top="175" w:right="23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Program and contract intangible assets are amortized over their respective estimated useful lives in proportion to the pattern of economic benefit based on expected future discounted cash flows. Customer relationships and backlog intangible assets are amortized on a straight-line basis over their estimated useful lives.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finite-lived intangible assets as of December 28, 2018,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gridSpan w:val="2"/>
          </w:tcPr>
          <w:p>
            <w:pPr>
              <w:ind w:left="4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9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(in millions)</w:t>
            </w:r>
          </w:p>
        </w:tc>
      </w:tr>
      <w:tr>
        <w:trPr>
          <w:trHeight w:val="27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126</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w:t>
            </w:r>
          </w:p>
        </w:tc>
      </w:tr>
      <w:tr>
        <w:trPr>
          <w:trHeight w:val="250"/>
        </w:trPr>
        <w:tc>
          <w:tcPr>
            <w:tcW w:w="9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the outcome and timing of completion of in-process research and development projects and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12—Property, Plant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December 29,</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00" w:type="dxa"/>
            <w:vAlign w:val="bottom"/>
            <w:gridSpan w:val="4"/>
          </w:tcPr>
          <w:p>
            <w:pPr>
              <w:jc w:val="right"/>
              <w:ind w:right="973"/>
              <w:spacing w:after="0"/>
              <w:rPr>
                <w:sz w:val="20"/>
                <w:szCs w:val="20"/>
                <w:color w:val="auto"/>
              </w:rPr>
            </w:pPr>
            <w:r>
              <w:rPr>
                <w:rFonts w:ascii="Arial" w:cs="Arial" w:eastAsia="Arial" w:hAnsi="Arial"/>
                <w:sz w:val="14"/>
                <w:szCs w:val="14"/>
                <w:color w:val="auto"/>
              </w:rPr>
              <w:t>(in millions)</w:t>
            </w: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Computers and other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171</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 furniture and fixtures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w:t>
            </w:r>
          </w:p>
        </w:tc>
      </w:tr>
      <w:tr>
        <w:trPr>
          <w:trHeight w:val="257"/>
        </w:trPr>
        <w:tc>
          <w:tcPr>
            <w:tcW w:w="8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546</w:t>
            </w:r>
          </w:p>
        </w:tc>
      </w:tr>
      <w:tr>
        <w:trPr>
          <w:trHeight w:val="264"/>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50"/>
        </w:trPr>
        <w:tc>
          <w:tcPr>
            <w:tcW w:w="8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 million, $55 million and $38 million for fiscal 2018, 2017 and 2016, respectively.</w:t>
      </w:r>
    </w:p>
    <w:p>
      <w:pPr>
        <w:spacing w:after="0" w:line="1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quarter ended March 30, 2018, the Company determined that the carrying amount of a real estate property may not be recoverable and as a result recorded an impairment charge of $7 million, which was recorded within Corporate. On July 23, 2018, the Company entered into a Contract of Sale to sell and lease back the property. The term of the lease is expected to end during fiscal 2020. See "Note 27— Subsequent Events" regarding the completion of the sale.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- 79</w:t>
      </w:r>
    </w:p>
    <w:p>
      <w:pPr>
        <w:sectPr>
          <w:pgSz w:w="11900" w:h="16838" w:orient="portrait"/>
          <w:cols w:equalWidth="0" w:num="1">
            <w:col w:w="11420"/>
          </w:cols>
          <w:pgMar w:left="240" w:top="175"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Measurements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instruments measured on a recurring basis at fair value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December 28, 2018</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color w:val="auto"/>
              </w:rPr>
              <w:t>December 29, 2017</w:t>
            </w:r>
          </w:p>
        </w:tc>
      </w:tr>
      <w:tr>
        <w:trPr>
          <w:trHeight w:val="264"/>
        </w:trPr>
        <w:tc>
          <w:tcPr>
            <w:tcW w:w="5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Carrying value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Carrying value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Fair value</w:t>
            </w:r>
          </w:p>
        </w:tc>
      </w:tr>
      <w:tr>
        <w:trPr>
          <w:trHeight w:val="264"/>
        </w:trPr>
        <w:tc>
          <w:tcPr>
            <w:tcW w:w="5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20" w:type="dxa"/>
            <w:vAlign w:val="bottom"/>
            <w:gridSpan w:val="4"/>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839"/>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37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37</w:t>
            </w:r>
          </w:p>
        </w:tc>
      </w:tr>
      <w:tr>
        <w:trPr>
          <w:trHeight w:val="27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7"/>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b w:val="1"/>
                <w:bCs w:val="1"/>
                <w:color w:val="auto"/>
              </w:rPr>
              <w:t>35</w:t>
            </w:r>
          </w:p>
        </w:tc>
        <w:tc>
          <w:tcPr>
            <w:tcW w:w="114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derivatives consisted of the fair value interest rate swaps on its $450 million fixed rate 4.45% senior secured notes maturing in December 2020, and cash flow interest rate swaps on $1.5 billion of the Company's variable rate senior secured term loans (see "Note 14— Derivative Instruments"). The fair value of the fair value interest rate swaps and cash flow interest rate swaps is determined based on observed values for underlying interest rates on the LIBOR yield curve and the underlying interest rate, respectively (Level 2 inputs).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instruments measured on a recurring basis at fair value also includes its defined benefit plan assets (Level 2 inputs).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21—Retirement Plans" for further details on these investments.</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carrying amounts of the Company's financial instruments, other than derivatives, which include cash equivalents, accounts receivable, other short-term receivable, accounts payable and accrued expenses, are reasonable estimates of their related fair values. The carrying value of the Company's notes receivable (see "Note 7—Divestitures" and "Note 22—Leases") of $24 million and $63 million as of December 28, 2018, and December 29, 2017, respectively, approximates fair value as the stated interest rates within the agreements are consistent with the current market rates used in notes with similar terms in the market (Level 2 inputs).</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28, 2018, and December 29, 2017, the fair value of debt was $3.1 billion and $3.2 billion, respectively, and the carrying amount was $3.1 billion for both periods (see "Note 15—Debt"). The fair value of long-term debt is determined based on current interest rates available for debt with terms and maturities similar to the Company's existing debt arrangements (Level 2 inputs).</w:t>
      </w:r>
    </w:p>
    <w:p>
      <w:pPr>
        <w:spacing w:after="0" w:line="9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During fiscal 2018 and 2017, the Company did not have any assets or liabilities measured at fair value on a non-recurring basis, other than a real estate property measured at fair value (Level 2) on March 30, 2018, which resulted in an impairment charge of $7 million (see "Note 12— Property, Plant and Equipment").</w:t>
      </w:r>
    </w:p>
    <w:p>
      <w:pPr>
        <w:sectPr>
          <w:pgSz w:w="11900" w:h="16838" w:orient="portrait"/>
          <w:cols w:equalWidth="0" w:num="1">
            <w:col w:w="11420"/>
          </w:cols>
          <w:pgMar w:left="240" w:top="175"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14—Derivative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interest rate swaps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interest rate swaps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 interest rate swaps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Asset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550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color w:val="auto"/>
              </w:rPr>
              <w:t>December 29,</w:t>
            </w:r>
          </w:p>
        </w:tc>
      </w:tr>
      <w:tr>
        <w:trPr>
          <w:trHeight w:val="196"/>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sheet line item</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rPr>
              <w:t>2017</w:t>
            </w:r>
          </w:p>
        </w:tc>
      </w:tr>
      <w:tr>
        <w:trPr>
          <w:trHeight w:val="258"/>
        </w:trPr>
        <w:tc>
          <w:tcPr>
            <w:tcW w:w="2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00" w:type="dxa"/>
            <w:vAlign w:val="bottom"/>
            <w:gridSpan w:val="4"/>
          </w:tcPr>
          <w:p>
            <w:pPr>
              <w:jc w:val="right"/>
              <w:ind w:right="979"/>
              <w:spacing w:after="0"/>
              <w:rPr>
                <w:sz w:val="20"/>
                <w:szCs w:val="20"/>
                <w:color w:val="auto"/>
              </w:rPr>
            </w:pPr>
            <w:r>
              <w:rPr>
                <w:rFonts w:ascii="Arial" w:cs="Arial" w:eastAsia="Arial" w:hAnsi="Arial"/>
                <w:sz w:val="14"/>
                <w:szCs w:val="14"/>
                <w:color w:val="auto"/>
              </w:rPr>
              <w:t>(in millions)</w:t>
            </w:r>
          </w:p>
        </w:tc>
      </w:tr>
      <w:tr>
        <w:trPr>
          <w:trHeight w:val="269"/>
        </w:trPr>
        <w:tc>
          <w:tcPr>
            <w:tcW w:w="2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gridSpan w:val="3"/>
          </w:tcPr>
          <w:p>
            <w:pPr>
              <w:jc w:val="center"/>
              <w:ind w:left="514"/>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37</w:t>
            </w:r>
          </w:p>
        </w:tc>
      </w:tr>
      <w:tr>
        <w:trPr>
          <w:trHeight w:val="413"/>
        </w:trPr>
        <w:tc>
          <w:tcPr>
            <w:tcW w:w="2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4"/>
                <w:szCs w:val="14"/>
                <w:color w:val="auto"/>
              </w:rPr>
              <w:t>Liability derivatives</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75"/>
        </w:trPr>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5"/>
                <w:szCs w:val="15"/>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color w:val="auto"/>
              </w:rPr>
              <w:t>December 29,</w:t>
            </w:r>
          </w:p>
        </w:tc>
      </w:tr>
      <w:tr>
        <w:trPr>
          <w:trHeight w:val="196"/>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sheet line item</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rPr>
              <w:t>2017</w:t>
            </w:r>
          </w:p>
        </w:tc>
      </w:tr>
      <w:tr>
        <w:trPr>
          <w:trHeight w:val="258"/>
        </w:trPr>
        <w:tc>
          <w:tcPr>
            <w:tcW w:w="2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00" w:type="dxa"/>
            <w:vAlign w:val="bottom"/>
            <w:gridSpan w:val="4"/>
          </w:tcPr>
          <w:p>
            <w:pPr>
              <w:jc w:val="right"/>
              <w:ind w:right="979"/>
              <w:spacing w:after="0"/>
              <w:rPr>
                <w:sz w:val="20"/>
                <w:szCs w:val="20"/>
                <w:color w:val="auto"/>
              </w:rPr>
            </w:pPr>
            <w:r>
              <w:rPr>
                <w:rFonts w:ascii="Arial" w:cs="Arial" w:eastAsia="Arial" w:hAnsi="Arial"/>
                <w:sz w:val="14"/>
                <w:szCs w:val="14"/>
                <w:color w:val="auto"/>
              </w:rPr>
              <w:t>(in millions)</w:t>
            </w:r>
          </w:p>
        </w:tc>
      </w:tr>
      <w:tr>
        <w:trPr>
          <w:trHeight w:val="269"/>
        </w:trPr>
        <w:tc>
          <w:tcPr>
            <w:tcW w:w="2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780" w:type="dxa"/>
            <w:vAlign w:val="bottom"/>
            <w:gridSpan w:val="3"/>
          </w:tcPr>
          <w:p>
            <w:pPr>
              <w:jc w:val="center"/>
              <w:ind w:left="514"/>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7"/>
        </w:trPr>
        <w:tc>
          <w:tcPr>
            <w:tcW w:w="2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780" w:type="dxa"/>
            <w:vAlign w:val="bottom"/>
            <w:gridSpan w:val="3"/>
          </w:tcPr>
          <w:p>
            <w:pPr>
              <w:jc w:val="center"/>
              <w:ind w:left="514"/>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-1397000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-539750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-196850</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360" w:space="460"/>
            <w:col w:w="5600"/>
          </w:cols>
          <w:pgMar w:left="240" w:top="175" w:right="239" w:bottom="1440" w:gutter="0" w:footer="0" w:header="0"/>
          <w:type w:val="continuous"/>
        </w:sectPr>
      </w:pPr>
    </w:p>
    <w:p>
      <w:pPr>
        <w:ind w:right="480"/>
        <w:spacing w:after="0" w:line="262" w:lineRule="auto"/>
        <w:rPr>
          <w:sz w:val="20"/>
          <w:szCs w:val="20"/>
          <w:color w:val="auto"/>
        </w:rPr>
      </w:pPr>
      <w:r>
        <w:rPr>
          <w:rFonts w:ascii="Arial" w:cs="Arial" w:eastAsia="Arial" w:hAnsi="Arial"/>
          <w:sz w:val="18"/>
          <w:szCs w:val="18"/>
          <w:color w:val="auto"/>
        </w:rPr>
        <w:t>The fair value adjustment to the fair value interest rate swap and the underlying debt was a decrease of $3 million for both the year ended December 28, 2018, and December 29, 2017.</w:t>
      </w:r>
    </w:p>
    <w:p>
      <w:pPr>
        <w:sectPr>
          <w:pgSz w:w="11900" w:h="16838" w:orient="portrait"/>
          <w:cols w:equalWidth="0" w:num="1">
            <w:col w:w="11420"/>
          </w:cols>
          <w:pgMar w:left="240" w:top="175" w:right="2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- 80</w:t>
      </w:r>
    </w:p>
    <w:p>
      <w:pPr>
        <w:sectPr>
          <w:pgSz w:w="11900" w:h="16838" w:orient="portrait"/>
          <w:cols w:equalWidth="0" w:num="1">
            <w:col w:w="11420"/>
          </w:cols>
          <w:pgMar w:left="240" w:top="175" w:right="239" w:bottom="1440" w:gutter="0" w:footer="0" w:header="0"/>
          <w:type w:val="continuous"/>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60"/>
        <w:spacing w:after="0" w:line="375" w:lineRule="auto"/>
        <w:rPr>
          <w:sz w:val="20"/>
          <w:szCs w:val="20"/>
          <w:color w:val="auto"/>
        </w:rPr>
      </w:pPr>
      <w:r>
        <w:rPr>
          <w:rFonts w:ascii="Arial" w:cs="Arial" w:eastAsia="Arial" w:hAnsi="Arial"/>
          <w:sz w:val="18"/>
          <w:szCs w:val="18"/>
          <w:color w:val="auto"/>
        </w:rPr>
        <w:t xml:space="preserve">The cash flows associated with the interest rate swaps are classified as operating activities in the consolidated statements of cash flows. </w:t>
      </w:r>
      <w:r>
        <w:rPr>
          <w:rFonts w:ascii="Arial" w:cs="Arial" w:eastAsia="Arial" w:hAnsi="Arial"/>
          <w:sz w:val="18"/>
          <w:szCs w:val="18"/>
          <w:i w:val="1"/>
          <w:iCs w:val="1"/>
          <w:color w:val="auto"/>
        </w:rPr>
        <w:t>Fair Value Hedges</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interest rate swap agreements to hedge the fair value of the $ 450 million fixed rate 4.45% senior secured notes maturing in December 2020 (the "Notes"). The objective of these instruments is to hedge the Notes against changes in fair value due to the variability in the six-month LIBOR rate (the benchmark interest rate). Under the terms of the interest rate swap agreements, the Company will receive semi-annual interest payments at the coupon rate of 4.45% and will pay variable interest based on the six-month LIBOR rate.</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interest rate swaps were accounted for as a fair value hedge of the Notes and qualified for the shortcut method of hedge accounting, which allows for the assumption of no ineffectiveness. The resulting changes in the fair value of the interest rate swaps are fully offset by the changes in the fair value of the underlying debt (the hedged item) (see "Note 15—Debt").</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fair value of the Notes is stated at an amount that reflects changes in the six-month LIBOR rate subsequent to the inception of the interest rate swaps through the reporting date.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on the consolidated balance sheets related to cumulative basis adjustments for fair value hedges: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3"/>
          </w:tcPr>
          <w:p>
            <w:pPr>
              <w:jc w:val="right"/>
              <w:ind w:right="182"/>
              <w:spacing w:after="0"/>
              <w:rPr>
                <w:sz w:val="20"/>
                <w:szCs w:val="20"/>
                <w:color w:val="auto"/>
              </w:rPr>
            </w:pPr>
            <w:r>
              <w:rPr>
                <w:rFonts w:ascii="Arial" w:cs="Arial" w:eastAsia="Arial" w:hAnsi="Arial"/>
                <w:sz w:val="14"/>
                <w:szCs w:val="14"/>
                <w:color w:val="auto"/>
              </w:rPr>
              <w:t>Cumulative amount of fair value adjustment</w:t>
            </w:r>
          </w:p>
        </w:tc>
      </w:tr>
      <w:tr>
        <w:trPr>
          <w:trHeight w:val="178"/>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rPr>
              <w:t>Carrying amount of hedged item</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color w:val="auto"/>
              </w:rPr>
              <w:t>included within the hedged item</w:t>
            </w:r>
          </w:p>
        </w:tc>
      </w:tr>
      <w:tr>
        <w:trPr>
          <w:trHeight w:val="175"/>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b w:val="1"/>
                <w:bCs w:val="1"/>
                <w:color w:val="auto"/>
              </w:rPr>
              <w:t>December 28,</w:t>
            </w:r>
          </w:p>
        </w:tc>
        <w:tc>
          <w:tcPr>
            <w:tcW w:w="34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5"/>
                <w:szCs w:val="15"/>
                <w:color w:val="auto"/>
              </w:rPr>
            </w:pPr>
          </w:p>
        </w:tc>
        <w:tc>
          <w:tcPr>
            <w:tcW w:w="1440" w:type="dxa"/>
            <w:vAlign w:val="bottom"/>
          </w:tcPr>
          <w:p>
            <w:pPr>
              <w:jc w:val="center"/>
              <w:ind w:right="204"/>
              <w:spacing w:after="0"/>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5"/>
                <w:szCs w:val="15"/>
                <w:color w:val="auto"/>
              </w:rPr>
            </w:pPr>
          </w:p>
        </w:tc>
        <w:tc>
          <w:tcPr>
            <w:tcW w:w="1380" w:type="dxa"/>
            <w:vAlign w:val="bottom"/>
          </w:tcPr>
          <w:p>
            <w:pPr>
              <w:jc w:val="right"/>
              <w:ind w:right="302"/>
              <w:spacing w:after="0"/>
              <w:rPr>
                <w:sz w:val="20"/>
                <w:szCs w:val="20"/>
                <w:color w:val="auto"/>
              </w:rPr>
            </w:pPr>
            <w:r>
              <w:rPr>
                <w:rFonts w:ascii="Arial" w:cs="Arial" w:eastAsia="Arial" w:hAnsi="Arial"/>
                <w:sz w:val="14"/>
                <w:szCs w:val="14"/>
                <w:color w:val="auto"/>
              </w:rPr>
              <w:t>December 29,</w:t>
            </w:r>
          </w:p>
        </w:tc>
      </w:tr>
      <w:tr>
        <w:trPr>
          <w:trHeight w:val="196"/>
        </w:trPr>
        <w:tc>
          <w:tcPr>
            <w:tcW w:w="4660" w:type="dxa"/>
            <w:vAlign w:val="bottom"/>
            <w:gridSpan w:val="2"/>
          </w:tcPr>
          <w:p>
            <w:pPr>
              <w:ind w:left="40"/>
              <w:spacing w:after="0"/>
              <w:rPr>
                <w:sz w:val="20"/>
                <w:szCs w:val="20"/>
                <w:color w:val="auto"/>
              </w:rPr>
            </w:pPr>
            <w:r>
              <w:rPr>
                <w:rFonts w:ascii="Arial" w:cs="Arial" w:eastAsia="Arial" w:hAnsi="Arial"/>
                <w:sz w:val="14"/>
                <w:szCs w:val="14"/>
                <w:color w:val="auto"/>
              </w:rPr>
              <w:t>Balance sheet line item of hedged item</w:t>
            </w:r>
          </w:p>
        </w:tc>
        <w:tc>
          <w:tcPr>
            <w:tcW w:w="220" w:type="dxa"/>
            <w:vAlign w:val="bottom"/>
          </w:tcPr>
          <w:p>
            <w:pPr>
              <w:spacing w:after="0"/>
              <w:rPr>
                <w:sz w:val="17"/>
                <w:szCs w:val="17"/>
                <w:color w:val="auto"/>
              </w:rPr>
            </w:pPr>
          </w:p>
        </w:tc>
        <w:tc>
          <w:tcPr>
            <w:tcW w:w="1400" w:type="dxa"/>
            <w:vAlign w:val="bottom"/>
          </w:tcPr>
          <w:p>
            <w:pPr>
              <w:ind w:left="44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7"/>
                <w:szCs w:val="17"/>
                <w:color w:val="auto"/>
              </w:rPr>
            </w:pPr>
          </w:p>
        </w:tc>
        <w:tc>
          <w:tcPr>
            <w:tcW w:w="1360" w:type="dxa"/>
            <w:vAlign w:val="bottom"/>
          </w:tcPr>
          <w:p>
            <w:pPr>
              <w:jc w:val="right"/>
              <w:ind w:right="56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60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7"/>
                <w:szCs w:val="17"/>
                <w:color w:val="auto"/>
              </w:rPr>
            </w:pPr>
          </w:p>
        </w:tc>
        <w:tc>
          <w:tcPr>
            <w:tcW w:w="1380" w:type="dxa"/>
            <w:vAlign w:val="bottom"/>
          </w:tcPr>
          <w:p>
            <w:pPr>
              <w:jc w:val="right"/>
              <w:ind w:right="562"/>
              <w:spacing w:after="0"/>
              <w:rPr>
                <w:sz w:val="20"/>
                <w:szCs w:val="20"/>
                <w:color w:val="auto"/>
              </w:rPr>
            </w:pPr>
            <w:r>
              <w:rPr>
                <w:rFonts w:ascii="Arial" w:cs="Arial" w:eastAsia="Arial" w:hAnsi="Arial"/>
                <w:sz w:val="14"/>
                <w:szCs w:val="14"/>
                <w:color w:val="auto"/>
              </w:rPr>
              <w:t>2017</w:t>
            </w:r>
          </w:p>
        </w:tc>
      </w:tr>
      <w:tr>
        <w:trPr>
          <w:trHeight w:val="204"/>
        </w:trPr>
        <w:tc>
          <w:tcPr>
            <w:tcW w:w="4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4"/>
          </w:tcPr>
          <w:p>
            <w:pPr>
              <w:jc w:val="right"/>
              <w:ind w:right="1244"/>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66"/>
        </w:trPr>
        <w:tc>
          <w:tcPr>
            <w:tcW w:w="4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70"/>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447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3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Company has interest rate swap agreements to hedge the cash flows of a portion of its variable rate senior secured term loans (the "Variable Rate Loans"). The objective of these instruments is to reduce variability in the forecasted interest payments of the Company's Variable Rate Loans, which is based on the LIBOR rate. Under the terms of the interest rate swap agreements, the Company will receive monthly variable interest payments based on the one-month LIBOR rate and will pay interest at a fixed rate. In August 2016, September 2017 and February 2018, the Company entered into interest rate swap agreements to hedge the cash flows of $1.1 billion, $300 million and $250 million of its Variable Rate Loans, respectively. The interest rate swap agreements on $1.1 billion of the Company's Variable Rate Loans had a maturity date of December 2021 and a fixed interest rate of 1.08%. The interest rate swap agreements on $300 million and $250 million of the Company's Variable Rate Loans both had a maturity date of August 2022 and fixed interest rates of 1.66% and 2.59%, respectively. The counterparties to these agreements are financial institutions.</w:t>
      </w:r>
    </w:p>
    <w:p>
      <w:pPr>
        <w:spacing w:after="0" w:line="10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September 2018, the Company terminated its existing interest rate swaps. The net derivative gain of $ 60 million related to the discontinued cash flow hedge will continue to be reported within accumulated other comprehensive (loss) income and will be reclassified into earnings over the remaining life of the original hedge as the hedged variable rate debt impacts earnings.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Additionally, in September 2018, the Company entered into new interest rate swap agreements to hedge the cash flows of $1.5 billion of the Company's Variable Rate Loans. These interest rate swap agreements have a maturity date of August 2025 and a fixed interest rate of 3.00%.</w:t>
      </w:r>
    </w:p>
    <w:p>
      <w:pPr>
        <w:spacing w:after="0" w:line="66"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The interest rate swap transactions were accounted for as cash flow hedges. The gain/loss on the swap is reported as a component of other comprehensive income/loss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- 81</w:t>
      </w:r>
    </w:p>
    <w:p>
      <w:pPr>
        <w:sectPr>
          <w:pgSz w:w="11900" w:h="16838" w:orient="portrait"/>
          <w:cols w:equalWidth="0" w:num="1">
            <w:col w:w="11420"/>
          </w:cols>
          <w:pgMar w:left="240" w:top="175"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Company's cash flow hedges on other comprehensive (loss) income and earnings for the periods presented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5"/>
                <w:szCs w:val="15"/>
                <w:color w:val="auto"/>
              </w:rPr>
            </w:pPr>
          </w:p>
        </w:tc>
        <w:tc>
          <w:tcPr>
            <w:tcW w:w="1220" w:type="dxa"/>
            <w:vAlign w:val="bottom"/>
          </w:tcPr>
          <w:p>
            <w:pPr>
              <w:jc w:val="right"/>
              <w:ind w:right="180"/>
              <w:spacing w:after="0"/>
              <w:rPr>
                <w:sz w:val="20"/>
                <w:szCs w:val="20"/>
                <w:color w:val="auto"/>
              </w:rPr>
            </w:pPr>
            <w:r>
              <w:rPr>
                <w:rFonts w:ascii="Arial" w:cs="Arial" w:eastAsia="Arial" w:hAnsi="Arial"/>
                <w:sz w:val="14"/>
                <w:szCs w:val="14"/>
                <w:color w:val="auto"/>
              </w:rPr>
              <w:t>December 29,</w:t>
            </w:r>
          </w:p>
        </w:tc>
        <w:tc>
          <w:tcPr>
            <w:tcW w:w="280" w:type="dxa"/>
            <w:vAlign w:val="bottom"/>
          </w:tcPr>
          <w:p>
            <w:pPr>
              <w:spacing w:after="0"/>
              <w:rPr>
                <w:sz w:val="15"/>
                <w:szCs w:val="15"/>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center"/>
              <w:ind w:right="6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interest expense, net presented in the consolidated statements of income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138</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which the effects of cash flow hedges are recorded</w:t>
            </w: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24"/>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 recognized in other comprehensive (loss) income</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Amount reclassified from accumulated other comprehensive (loss) income to interest</w:t>
            </w:r>
          </w:p>
        </w:tc>
        <w:tc>
          <w:tcPr>
            <w:tcW w:w="160" w:type="dxa"/>
            <w:vAlign w:val="bottom"/>
          </w:tcPr>
          <w:p>
            <w:pPr>
              <w:spacing w:after="0"/>
              <w:rPr>
                <w:sz w:val="19"/>
                <w:szCs w:val="19"/>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expense, net</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Company expects to reclassify gains of $12 million from accumulated other comprehensive (loss) income into earnings during the next 12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rPr>
              <w:t>Stated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rPr>
              <w:t>Effective</w:t>
            </w: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200" w:type="dxa"/>
            <w:vAlign w:val="bottom"/>
          </w:tcPr>
          <w:p>
            <w:pPr>
              <w:jc w:val="right"/>
              <w:ind w:right="153"/>
              <w:spacing w:after="0"/>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interest rate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7"/>
                <w:szCs w:val="17"/>
                <w:b w:val="1"/>
                <w:bCs w:val="1"/>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Arial" w:cs="Arial" w:eastAsia="Arial" w:hAnsi="Arial"/>
                <w:sz w:val="14"/>
                <w:szCs w:val="14"/>
                <w:color w:val="auto"/>
              </w:rPr>
              <w:t>2017</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258"/>
        </w:trPr>
        <w:tc>
          <w:tcPr>
            <w:tcW w:w="5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80" w:type="dxa"/>
            <w:vAlign w:val="bottom"/>
            <w:tcBorders>
              <w:top w:val="single" w:sz="8" w:color="auto"/>
            </w:tcBorders>
            <w:gridSpan w:val="4"/>
          </w:tcPr>
          <w:p>
            <w:pPr>
              <w:jc w:val="right"/>
              <w:ind w:right="97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$450 million notes, due December 2020</w:t>
            </w:r>
          </w:p>
        </w:tc>
        <w:tc>
          <w:tcPr>
            <w:tcW w:w="142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447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$300 million notes, due December 2040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Senior secured term loans: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$690 million Term Loan A, due August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$310 million Term Loan A, due August 2023</w:t>
            </w:r>
          </w:p>
        </w:tc>
        <w:tc>
          <w:tcPr>
            <w:tcW w:w="142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$1,131 million Term Loan B, due August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$250 million notes, due July 2032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$300 million notes, due July 2033</w:t>
            </w: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5"/>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Notes payable and capital leases due on various dates through</w:t>
            </w: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fiscal 2022</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0%-5.55%</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3,124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70"/>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3,052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80" w:hanging="172"/>
        <w:spacing w:after="0" w:line="225" w:lineRule="auto"/>
        <w:tabs>
          <w:tab w:leader="none" w:pos="1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The carrying amounts of the senior secured term loans and notes and unsecured notes as of December 28, 2018, and December 29, 2017, include the remaining principal outstanding of $3,073 million and $3,129 million, respectively, less total unamortized debt discounts and deferred debt issuance costs of $43 million and $45 million, respectively, less $3 million related to the fair value of the interest rate swaps (see "Note 14—Derivative Instruments") as of December 28, 2018.</w:t>
      </w:r>
    </w:p>
    <w:p>
      <w:pPr>
        <w:spacing w:after="0" w:line="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August 16, 2016, in connection with the acquisition of the IS&amp;GS Business, Leidos, Inc. secured a new term loan of $690 million. In addition, as a result of the acquisition, Leidos assumed the IS&amp;GS Business' term loans of $1.8 billion, which were obtained by the IS&amp;GS Business immediately prior to the Transactions (see "Note 6—Acquisitions"). The outstanding obligations under the term loans are secured by a first priority lien on substantially all of the assets of the Company, subject to certain exceptions set forth in the credit agreements and related documentation.</w:t>
      </w:r>
    </w:p>
    <w:p>
      <w:pPr>
        <w:spacing w:after="0" w:line="9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February 2017, Leidos amended the terms of its senior secured $1.1 billion Term Loan B. As a result, the margin on Term Loan B was reduced by 50 basis points to 2.25% and the six month call provision was extended an additional six months. The repricing of the term loan became effective on February 16, 2017.</w:t>
      </w:r>
    </w:p>
    <w:p>
      <w:pPr>
        <w:sectPr>
          <w:pgSz w:w="11900" w:h="16838" w:orient="portrait"/>
          <w:cols w:equalWidth="0" w:num="1">
            <w:col w:w="11420"/>
          </w:cols>
          <w:pgMar w:left="240" w:top="175"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- 82</w:t>
      </w:r>
    </w:p>
    <w:p>
      <w:pPr>
        <w:sectPr>
          <w:pgSz w:w="11900" w:h="16838" w:orient="portrait"/>
          <w:cols w:equalWidth="0" w:num="1">
            <w:col w:w="11420"/>
          </w:cols>
          <w:pgMar w:left="240" w:top="175"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August 2017, Leidos amended its senior secured term loans and revolving credit facility agreements. These amendments reduced the applicable margins for the revolving credit facility and Term Loans A and B each by 25 basis points. Additionally, the maturity date for the revolving credit facility, $690 million Term Loan A and $310 million Term Loan A were each extended by one year to August 2022, and the scheduled increase in quarterly principal payments for both of these term loans was delayed one year to March 2020. The amendments also include a collateral suspension provision that will permit the secured credit agreements to become unsecured under certain circumstances.</w:t>
      </w:r>
    </w:p>
    <w:p>
      <w:pPr>
        <w:spacing w:after="0" w:line="97" w:lineRule="exact"/>
        <w:rPr>
          <w:sz w:val="20"/>
          <w:szCs w:val="20"/>
          <w:color w:val="auto"/>
        </w:rPr>
      </w:pPr>
    </w:p>
    <w:p>
      <w:pPr>
        <w:ind w:left="60" w:right="20"/>
        <w:spacing w:after="0" w:line="262" w:lineRule="auto"/>
        <w:rPr>
          <w:sz w:val="20"/>
          <w:szCs w:val="20"/>
          <w:color w:val="auto"/>
        </w:rPr>
      </w:pPr>
      <w:r>
        <w:rPr>
          <w:rFonts w:ascii="Arial" w:cs="Arial" w:eastAsia="Arial" w:hAnsi="Arial"/>
          <w:sz w:val="18"/>
          <w:szCs w:val="18"/>
          <w:color w:val="auto"/>
        </w:rPr>
        <w:t>In March 2018, Leidos amended the terms of its senior secured $1.1 billion Term Loan B. As a result, the margin on Term Loan B was reduced by 25 basis points to 1.75%. The repricing of the term loan became effective March 15, 2018.</w:t>
      </w:r>
    </w:p>
    <w:p>
      <w:pPr>
        <w:spacing w:after="0" w:line="88" w:lineRule="exact"/>
        <w:rPr>
          <w:sz w:val="20"/>
          <w:szCs w:val="20"/>
          <w:color w:val="auto"/>
        </w:rPr>
      </w:pPr>
    </w:p>
    <w:p>
      <w:pPr>
        <w:ind w:left="60" w:right="160"/>
        <w:spacing w:after="0" w:line="253" w:lineRule="auto"/>
        <w:rPr>
          <w:sz w:val="20"/>
          <w:szCs w:val="20"/>
          <w:color w:val="auto"/>
        </w:rPr>
      </w:pPr>
      <w:r>
        <w:rPr>
          <w:rFonts w:ascii="Arial" w:cs="Arial" w:eastAsia="Arial" w:hAnsi="Arial"/>
          <w:sz w:val="18"/>
          <w:szCs w:val="18"/>
          <w:color w:val="auto"/>
        </w:rPr>
        <w:t>In August 2018, Leidos amended its senior secured term loans and revolving credit facility agreements. These amendments modified the margin range for the revolving credit facility and Term Loan A loans and extended their maturity dates by one year to August 2023. The amendments also extended the maturity date of Term Loan B by two years to August 2025 and delayed the scheduled increase in quarterly principal payments for Term Loan A by one year to March 2021. Additionally, the senior secured leverage ratio calculation was amended and now excludes the lesser of $350 million and the Company's unrestricted cash and cash equivalents.</w:t>
      </w:r>
    </w:p>
    <w:p>
      <w:pPr>
        <w:spacing w:after="0" w:line="97" w:lineRule="exact"/>
        <w:rPr>
          <w:sz w:val="20"/>
          <w:szCs w:val="20"/>
          <w:color w:val="auto"/>
        </w:rPr>
      </w:pPr>
    </w:p>
    <w:p>
      <w:pPr>
        <w:jc w:val="both"/>
        <w:ind w:left="60" w:right="160"/>
        <w:spacing w:after="0" w:line="256" w:lineRule="auto"/>
        <w:rPr>
          <w:sz w:val="20"/>
          <w:szCs w:val="20"/>
          <w:color w:val="auto"/>
        </w:rPr>
      </w:pPr>
      <w:r>
        <w:rPr>
          <w:rFonts w:ascii="Arial" w:cs="Arial" w:eastAsia="Arial" w:hAnsi="Arial"/>
          <w:sz w:val="18"/>
          <w:szCs w:val="18"/>
          <w:color w:val="auto"/>
        </w:rPr>
        <w:t>In November 2018, Leidos amended the terms of its senior secured $310 million Term Loan A and $1.1 billion Term Loan B. As a result, this transaction assigned the remaining Leidos Innovations Corporation term loan debts to Leidos, Inc. No other terms of the original or amended Term Loan A or Term Loan B loan agreements were changed.</w:t>
      </w:r>
    </w:p>
    <w:p>
      <w:pPr>
        <w:spacing w:after="0" w:line="9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interest rate on the Company's senior secured term loans is determined based on the LIBOR rate plus a margin. The margin for the Term Loan A loans ranges from 1.25% to 2.00%, depending on the Company's senior secured leverage ratio, and is computed on a quarterly basis. At December 28, 2018, the current margin on Term Loan A was 1.50% and the margin on Term Loan B was 1.75%.</w:t>
      </w:r>
    </w:p>
    <w:p>
      <w:pPr>
        <w:spacing w:after="0" w:line="9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As part of the credit agreements, the Company is required to perform a calculation each quarter that determines the incremental available amount of funds the Company is permitted to use towards investments relating to mergers and acquisitions, investments in joint ventures, repayment of outstanding debt and restricted payments relating to dividends and share repurchases. The incremental available amount is calculated as $35 million plus a portion of certain cash proceeds, multiplied by a percentage tied to the Company's senior secured leverage ratio, which is added to an annual fixed amount of $250 million, as defined in the credit agreements. The constraints associated with use of cash are reduced and/or eliminated based on the Company's total leverage ratio.</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also required to perform an excess cash flow calculation annually that determines the additional amount of debt prepayments the Company is required to make during the first quarter of the following fiscal year, with the first payment due in fiscal 2018. The excess cash flow is calculated based on the Company's consolidated net income as of the end of the fiscal year plus or minus adjustments for certain non-cash items and incurred and expected cash payments, as defined in the credit agreements. The amount of the excess cash flow that the Company is required to use to prepay the loans is based upon the Company's senior secured net leverage ratio. The required debt prepayment amount is equal to 50% of the excess cash flow calculated. No additional debt prepayment is required if the senior secured net leverage ratio is equal to or less than 2.00.</w:t>
      </w:r>
    </w:p>
    <w:p>
      <w:pPr>
        <w:spacing w:after="0" w:line="9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During fiscal 2018 and 2017, the Company made $59 million and $209 million of principal payments, respectively, on its long-term debt, which was primarily related to its senior secured term loans. This activity included $46 million and $76 million of required quarterly payments on its term loans during fiscal 2018 and fiscal 2017, respectively. In April 2018, the Company made a required debt prepayment of $10 million on its senior secured term loans. The prepayment was a result of the annual excess cash flow calculation for fiscal 2017. In addition to the required quarterly payments, the Company prepaid $ 130 million and $275 million of its term loans during fiscal 2017 and fiscal 2016, respectively. Associated with these early repayments, $2 million and $5 million of unamortized debt discount and deferred financing costs were written off during fiscal 2017 and fiscal 2016, respectively, and recorded to "Other expense, net" in the Company's consolidated statements of income.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- 83</w:t>
      </w:r>
    </w:p>
    <w:p>
      <w:pPr>
        <w:sectPr>
          <w:pgSz w:w="11900" w:h="16838" w:orient="portrait"/>
          <w:cols w:equalWidth="0" w:num="1">
            <w:col w:w="11400"/>
          </w:cols>
          <w:pgMar w:left="240" w:top="175" w:right="2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Principal payments are made quarterly on the Company's variable rate senior secured term loans, with the majority of the principal due at maturity. Interest on the variable rate senior secured term loans is payable on a periodic basis, which must be at least quarterly. Interest on the senior fixed rate secured notes and unsecured notes is payable on a semi-annual basis with principal payments due at maturity.</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senior secured term loans, the Company recognized $53 million of debt discount and debt issuance costs in fiscal 2016, which were recorded as an offset against the carrying value of debt and will be amortized to interest expense over the term of the term loans. The Company also recognized $15 million of origination costs related to the new credit facility (see "Revolving Credit Facility" below), which were capitalized within "Other assets" in the consolidated balance sheets. In connection with the fiscal 2018 and fiscal 2017 amendments, the Company incurred $8 million and $4 million of debt issuance costs, respectively, related to the senior secured term loans and revolving credit facility, which were recorded using the same methodology as the original debt issuance costs discussed above. Amortization for the senior secured term loans and notes, unsecured notes and revolving credit facility was $10 million, $13 million and $6 million for fiscal 2018, 2017 and 2016, respectively.</w:t>
      </w:r>
    </w:p>
    <w:p>
      <w:pPr>
        <w:spacing w:after="0" w:line="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senior secured term loans and notes, unsecured notes and revolving credit facility are fully and unconditionally guaranteed by intercompany guarantees. The senior secured term loans and notes and unsecured notes contain certain customary restrictive covenants, including among other things, restrictions on the Company's ability to create liens and enter into sale and leaseback transactions under certain circumstances. The Company was in compliance with all covenants as of December 28,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of debt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gridSpan w:val="2"/>
          </w:tcPr>
          <w:p>
            <w:pPr>
              <w:ind w:left="4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9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(in millions)</w:t>
            </w:r>
          </w:p>
        </w:tc>
      </w:tr>
      <w:tr>
        <w:trPr>
          <w:trHeight w:val="27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509</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6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102</w:t>
            </w:r>
          </w:p>
        </w:tc>
      </w:tr>
      <w:tr>
        <w:trPr>
          <w:trHeight w:val="27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r>
      <w:tr>
        <w:trPr>
          <w:trHeight w:val="264"/>
        </w:trPr>
        <w:tc>
          <w:tcPr>
            <w:tcW w:w="10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1,677</w:t>
            </w:r>
          </w:p>
        </w:tc>
      </w:tr>
      <w:tr>
        <w:trPr>
          <w:trHeight w:val="257"/>
        </w:trPr>
        <w:tc>
          <w:tcPr>
            <w:tcW w:w="10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principal payments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3,167</w:t>
            </w:r>
          </w:p>
        </w:tc>
      </w:tr>
      <w:tr>
        <w:trPr>
          <w:trHeight w:val="264"/>
        </w:trPr>
        <w:tc>
          <w:tcPr>
            <w:tcW w:w="10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unamortized debt discount and issuance costs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10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3,124</w:t>
            </w:r>
          </w:p>
        </w:tc>
      </w:tr>
      <w:tr>
        <w:trPr>
          <w:trHeight w:val="20"/>
        </w:trPr>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Leidos, Inc. has a revolving credit facility providing up to $ 750 million in secured borrowing capacity at interest rates determined based upon the LIBOR rate plus a margin that is subject to step-down provisions based on the Company's senior secured leverage ratio. The maturity date of the credit facility is August 2023. During fiscal 2018 and 2017, there were no borrowings under the credit facility.</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credit agreements contain certain customary representations and warranties, as well as certain affirmative and negative covenants. The financial covenants define the debt-to-EBITDA ratio that the Company needs to maintain at the end of each quarter. The Company maintains a ratio of total senior secured debt, including borrowings under this credit facility, minus the lesser of $350 million and the Company's unrestricted cash and cash equivalents, to the trailing four quarters of EBITDA (adjusted for certain items as defined in the credit facility) of not more than</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4.75 prior to February 16, 2018, 4.25 from February 16, 2018, to February 16, 2019, and 3.75 thereafter. The Company was in compliance with these financial covenants as of December 28, 2018.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- 84</w:t>
      </w:r>
    </w:p>
    <w:p>
      <w:pPr>
        <w:sectPr>
          <w:pgSz w:w="11900" w:h="16838" w:orient="portrait"/>
          <w:cols w:equalWidth="0" w:num="1">
            <w:col w:w="11420"/>
          </w:cols>
          <w:pgMar w:left="240" w:top="175"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Other covenants in the credit facility restrict certain of the Company's activities, including, among other things, its ability to create liens, dispose of certain assets and merge or consolidate with other entities. The credit facility also contains certain customary events of default, including, among others, defaults based on certain bankruptcy and insolvency events, nonpayment, cross-defaults to other debt, breach of specified covenants, Employee Retirement Income Security Act events, material monetary judgments, change of control events and the material inaccuracy of the Company’s representations and warranties.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Payable</w:t>
      </w:r>
    </w:p>
    <w:p>
      <w:pPr>
        <w:spacing w:after="0" w:line="13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During fiscal 2018, the Company recognized a $ 79 million note payable related to the sale and leaseback arrangement of its San Diego, California properties (see "Note 22—Leases" for further information).</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fiscal 2017, the Company recognized $21 million of notes payable related to secured borrowings associated with certain contracts within its commercial energy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16—Accumulated Other Comprehensive (Loss)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accumulated other comprehensive (loss) income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color w:val="auto"/>
              </w:rPr>
              <w:t>Unrecognized (loss)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color w:val="auto"/>
              </w:rPr>
              <w:t>gain on derivative</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rPr>
              <w:t>Pension</w:t>
            </w:r>
          </w:p>
        </w:tc>
        <w:tc>
          <w:tcPr>
            <w:tcW w:w="200" w:type="dxa"/>
            <w:vAlign w:val="bottom"/>
          </w:tcPr>
          <w:p>
            <w:pPr>
              <w:spacing w:after="0"/>
              <w:rPr>
                <w:sz w:val="14"/>
                <w:szCs w:val="14"/>
                <w:color w:val="auto"/>
              </w:rPr>
            </w:pPr>
          </w:p>
        </w:tc>
        <w:tc>
          <w:tcPr>
            <w:tcW w:w="1860" w:type="dxa"/>
            <w:vAlign w:val="bottom"/>
          </w:tcPr>
          <w:p>
            <w:pPr>
              <w:jc w:val="right"/>
              <w:ind w:right="171"/>
              <w:spacing w:after="0"/>
              <w:rPr>
                <w:sz w:val="20"/>
                <w:szCs w:val="20"/>
                <w:color w:val="auto"/>
              </w:rPr>
            </w:pPr>
            <w:r>
              <w:rPr>
                <w:rFonts w:ascii="Arial" w:cs="Arial" w:eastAsia="Arial" w:hAnsi="Arial"/>
                <w:sz w:val="14"/>
                <w:szCs w:val="14"/>
                <w:color w:val="auto"/>
              </w:rPr>
              <w:t>Total accumulated other</w:t>
            </w:r>
          </w:p>
        </w:tc>
      </w:tr>
      <w:tr>
        <w:trPr>
          <w:trHeight w:val="178"/>
        </w:trPr>
        <w:tc>
          <w:tcPr>
            <w:tcW w:w="4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adjustments</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instruments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adjustments</w:t>
            </w:r>
          </w:p>
        </w:tc>
        <w:tc>
          <w:tcPr>
            <w:tcW w:w="20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comprehensive (loss) income</w:t>
            </w:r>
          </w:p>
        </w:tc>
      </w:tr>
      <w:tr>
        <w:trPr>
          <w:trHeight w:val="264"/>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60" w:type="dxa"/>
            <w:vAlign w:val="bottom"/>
            <w:gridSpan w:val="5"/>
          </w:tcPr>
          <w:p>
            <w:pPr>
              <w:ind w:left="13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6"/>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7"/>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Reclassification from accumulated other</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4"/>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comprehensive (loss) income</w:t>
            </w: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4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Balance at December 29, 2017</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r>
      <w:tr>
        <w:trPr>
          <w:trHeight w:val="235"/>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Cumulative adjustments related to ASU adoptions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24"/>
        </w:trPr>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 2)</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50"/>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Balance at December 30, 2017</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7"/>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6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35"/>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Reclassification from accumulated other</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24"/>
        </w:trPr>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(loss) income</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45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28,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change in the foreign currency translation adjustments is due to the impact of the foreign exchange rate movement between the U.S. dollar and British pound and Australian dollar.</w:t>
      </w:r>
    </w:p>
    <w:p>
      <w:pPr>
        <w:spacing w:after="0" w:line="8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Reclassifications for unrecognized (loss) gain on derivative instruments are associated with outstanding debt and are recorded in "Interest expense, net" on the consolidated statements of income. The loss during fiscal 2018 is due to a change in Company's interest rate swap agreements that hedge the Company's Variable Rate Loans. See "Note 14—Derivative Instruments" for more information on the Company's interest rate swap agreements.</w:t>
      </w:r>
    </w:p>
    <w:p>
      <w:pPr>
        <w:spacing w:after="0" w:line="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Reclassifications for pension adjustments are recorded in "Selling, general and administrative expenses" on the consolidated statements of income.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- 85</w:t>
      </w:r>
    </w:p>
    <w:p>
      <w:pPr>
        <w:sectPr>
          <w:pgSz w:w="11900" w:h="16838" w:orient="portrait"/>
          <w:cols w:equalWidth="0" w:num="1">
            <w:col w:w="11420"/>
          </w:cols>
          <w:pgMar w:left="240" w:top="17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17—Composition of Certain Financial Statement Captions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gridSpan w:val="2"/>
            <w:vMerge w:val="restart"/>
          </w:tcPr>
          <w:p>
            <w:pPr>
              <w:ind w:left="80"/>
              <w:spacing w:after="0"/>
              <w:rPr>
                <w:sz w:val="20"/>
                <w:szCs w:val="20"/>
                <w:color w:val="auto"/>
              </w:rPr>
            </w:pPr>
            <w:r>
              <w:rPr>
                <w:rFonts w:ascii="Arial" w:cs="Arial" w:eastAsia="Arial" w:hAnsi="Arial"/>
                <w:sz w:val="18"/>
                <w:szCs w:val="18"/>
                <w:b w:val="1"/>
                <w:bCs w:val="1"/>
                <w:i w:val="1"/>
                <w:iCs w:val="1"/>
                <w:color w:val="auto"/>
              </w:rPr>
              <w:t>Balance Sheet</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96"/>
        </w:trPr>
        <w:tc>
          <w:tcPr>
            <w:tcW w:w="8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3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8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right"/>
              <w:ind w:right="97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Transition costs and project assets</w:t>
            </w:r>
            <w:r>
              <w:rPr>
                <w:rFonts w:ascii="Arial" w:cs="Arial" w:eastAsia="Arial" w:hAnsi="Arial"/>
                <w:sz w:val="18"/>
                <w:szCs w:val="18"/>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Pre-contract costs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(4)</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357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r>
              <w:rPr>
                <w:rFonts w:ascii="Arial" w:cs="Arial" w:eastAsia="Arial" w:hAnsi="Arial"/>
                <w:sz w:val="18"/>
                <w:szCs w:val="18"/>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(4)</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Salaries, bonuses and amounts withheld from employees’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Accrued vacation</w:t>
            </w:r>
          </w:p>
        </w:tc>
        <w:tc>
          <w:tcPr>
            <w:tcW w:w="1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80" w:right="80" w:hanging="172"/>
        <w:spacing w:after="0" w:line="218" w:lineRule="auto"/>
        <w:tabs>
          <w:tab w:leader="none" w:pos="153" w:val="left"/>
        </w:tabs>
        <w:numPr>
          <w:ilvl w:val="0"/>
          <w:numId w:val="46"/>
        </w:numPr>
        <w:rPr>
          <w:rFonts w:ascii="Arial" w:cs="Arial" w:eastAsia="Arial" w:hAnsi="Arial"/>
          <w:sz w:val="17"/>
          <w:szCs w:val="17"/>
          <w:color w:val="auto"/>
          <w:vertAlign w:val="superscript"/>
        </w:rPr>
      </w:pPr>
      <w:r>
        <w:rPr>
          <w:rFonts w:ascii="Arial" w:cs="Arial" w:eastAsia="Arial" w:hAnsi="Arial"/>
          <w:sz w:val="14"/>
          <w:szCs w:val="14"/>
          <w:color w:val="auto"/>
        </w:rPr>
        <w:t>During the year ended December 28, 2018, the Company recognized $146 million of amortization related to its transition costs and project assets. The total balance of transition costs and project assets on the Company's consolidated balance sheets at December 28, 2018 and December 29, 2017, was $167 million and $100 million, respectively.</w:t>
      </w:r>
    </w:p>
    <w:p>
      <w:pPr>
        <w:ind w:left="140" w:hanging="132"/>
        <w:spacing w:after="0" w:line="211" w:lineRule="auto"/>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As of December 29, 2017, the Company reclassified $28 million of "Prepaid expenses" to "Transition costs and project assets" for comparability purposes.</w:t>
      </w:r>
    </w:p>
    <w:p>
      <w:pPr>
        <w:ind w:left="180" w:right="340" w:hanging="172"/>
        <w:spacing w:after="0" w:line="227" w:lineRule="auto"/>
        <w:tabs>
          <w:tab w:leader="none" w:pos="153" w:val="left"/>
        </w:tabs>
        <w:numPr>
          <w:ilvl w:val="0"/>
          <w:numId w:val="46"/>
        </w:numPr>
        <w:rPr>
          <w:rFonts w:ascii="Arial" w:cs="Arial" w:eastAsia="Arial" w:hAnsi="Arial"/>
          <w:sz w:val="17"/>
          <w:szCs w:val="17"/>
          <w:color w:val="auto"/>
          <w:vertAlign w:val="superscript"/>
        </w:rPr>
      </w:pPr>
      <w:r>
        <w:rPr>
          <w:rFonts w:ascii="Arial" w:cs="Arial" w:eastAsia="Arial" w:hAnsi="Arial"/>
          <w:sz w:val="14"/>
          <w:szCs w:val="14"/>
          <w:color w:val="auto"/>
        </w:rPr>
        <w:t>Balances are net of $29 million and $30 million of dividends received during fiscal 2018 and fiscal 2017, respectively, that were recorded in cash flows provided by operating activities of continuing operations on the consolidated statements of cash flows.</w:t>
      </w:r>
    </w:p>
    <w:p>
      <w:pPr>
        <w:ind w:left="140" w:hanging="132"/>
        <w:spacing w:after="0" w:line="224" w:lineRule="auto"/>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Balance represents items that are not individually significant to disclose separately.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2"/>
            <w:vMerge w:val="restart"/>
          </w:tcPr>
          <w:p>
            <w:pPr>
              <w:ind w:left="80"/>
              <w:spacing w:after="0"/>
              <w:rPr>
                <w:sz w:val="20"/>
                <w:szCs w:val="20"/>
                <w:color w:val="auto"/>
              </w:rPr>
            </w:pPr>
            <w:r>
              <w:rPr>
                <w:rFonts w:ascii="Arial" w:cs="Arial" w:eastAsia="Arial" w:hAnsi="Arial"/>
                <w:sz w:val="18"/>
                <w:szCs w:val="18"/>
                <w:b w:val="1"/>
                <w:bCs w:val="1"/>
                <w:i w:val="1"/>
                <w:iCs w:val="1"/>
                <w:color w:val="auto"/>
              </w:rPr>
              <w:t>Income Statement</w:t>
            </w: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96"/>
        </w:trPr>
        <w:tc>
          <w:tcPr>
            <w:tcW w:w="7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6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0"/>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0"/>
        </w:trPr>
        <w:tc>
          <w:tcPr>
            <w:tcW w:w="6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Promissory note impairment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(loss) on foreign currencies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- 86</w:t>
      </w:r>
    </w:p>
    <w:p>
      <w:pPr>
        <w:sectPr>
          <w:pgSz w:w="11900" w:h="16838" w:orient="portrait"/>
          <w:cols w:equalWidth="0" w:num="1">
            <w:col w:w="11420"/>
          </w:cols>
          <w:pgMar w:left="240" w:top="175" w:right="239" w:bottom="1440" w:gutter="0" w:footer="0" w:header="0"/>
          <w:type w:val="continuous"/>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18—Earnings Per Share ("EPS")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Basic EPS is computed by dividing net income attributable to Leidos common stockholders by the basic weighted average number of shares outstanding. Diluted EPS is calculated to give effect to all potentially dilutive common shares that were outstanding during the reporting period. The dilutive effect of outstanding equity-based compensation awards is reflected in diluted EPS by application of the treasury stock method, only in periods in which such effect would have been dilutive for the period.</w:t>
      </w:r>
    </w:p>
    <w:p>
      <w:pPr>
        <w:spacing w:after="0" w:line="9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issues unvested stock awards that have forfeitable rights to dividends or dividend equivalents. These stock awards are dilutive common share equivalents subject to the treasury stock method.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shares used to compute basic and diluted EPS attributable to Leidos stockholders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Year Ended</w:t>
            </w:r>
          </w:p>
        </w:tc>
        <w:tc>
          <w:tcPr>
            <w:tcW w:w="1360" w:type="dxa"/>
            <w:vAlign w:val="bottom"/>
            <w:tcBorders>
              <w:bottom w:val="single" w:sz="8" w:color="auto"/>
            </w:tcBorders>
          </w:tcPr>
          <w:p>
            <w:pPr>
              <w:spacing w:after="0"/>
              <w:rPr>
                <w:sz w:val="15"/>
                <w:szCs w:val="15"/>
                <w:color w:val="auto"/>
              </w:rPr>
            </w:pPr>
          </w:p>
        </w:tc>
      </w:tr>
      <w:tr>
        <w:trPr>
          <w:trHeight w:val="175"/>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28,</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color w:val="auto"/>
              </w:rPr>
              <w:t>December 29,</w:t>
            </w:r>
          </w:p>
        </w:tc>
        <w:tc>
          <w:tcPr>
            <w:tcW w:w="1360" w:type="dxa"/>
            <w:vAlign w:val="bottom"/>
          </w:tcPr>
          <w:p>
            <w:pPr>
              <w:jc w:val="right"/>
              <w:ind w:right="157"/>
              <w:spacing w:after="0"/>
              <w:rPr>
                <w:sz w:val="20"/>
                <w:szCs w:val="20"/>
                <w:color w:val="auto"/>
              </w:rPr>
            </w:pPr>
            <w:r>
              <w:rPr>
                <w:rFonts w:ascii="Arial" w:cs="Arial" w:eastAsia="Arial" w:hAnsi="Arial"/>
                <w:sz w:val="14"/>
                <w:szCs w:val="14"/>
                <w:color w:val="auto"/>
              </w:rPr>
              <w:t>December 30,</w:t>
            </w:r>
          </w:p>
        </w:tc>
      </w:tr>
      <w:tr>
        <w:trPr>
          <w:trHeight w:val="196"/>
        </w:trPr>
        <w:tc>
          <w:tcPr>
            <w:tcW w:w="6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2016</w:t>
            </w:r>
          </w:p>
        </w:tc>
      </w:tr>
      <w:tr>
        <w:trPr>
          <w:trHeight w:val="250"/>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21"/>
                <w:szCs w:val="21"/>
                <w:color w:val="auto"/>
              </w:rPr>
            </w:pPr>
          </w:p>
        </w:tc>
      </w:tr>
      <w:tr>
        <w:trPr>
          <w:trHeight w:val="276"/>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r>
      <w:tr>
        <w:trPr>
          <w:trHeight w:val="26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Dilutive common share equivalents—stock options and other stock awards</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Anti-dilutive stock-based awards are excluded from the weighted average number of shares outstanding used to compute diluted EPS. For the year ended December 28, 2018, there was a total of 1 million of outstanding stock options and vesting stock awards that were anti-dilutive.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3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the fourth quarter of 2018, the Company entered into an uncollared Accelerated Share Repurchase ("ASR") agreement with a financial institution to repurchase shares of its outstanding common stock. The Company paid $250 million to the financial institution and received an initial and final delivery of 3.3 million and 0.7 million shares, respectively. The purchase was recorded to "Additional paid-in capital" in the consolidated balance sheets. All shares delivered were immediately retired.</w:t>
      </w:r>
    </w:p>
    <w:p>
      <w:pPr>
        <w:spacing w:after="0" w:line="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delivery of 4 million shares of Leidos common stock reduced the Company's outstanding shares used to determine the weighted average shares outstanding for purposes of calculating basic and diluted EPS at December 28, 2018.</w:t>
      </w:r>
    </w:p>
    <w:p>
      <w:pPr>
        <w:spacing w:after="0" w:line="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fiscal 2018, the Company also made open market repurchases of its common stock for an aggregate purchase price of $167 million. All shares repurchased were immediately retired.</w:t>
      </w:r>
    </w:p>
    <w:p>
      <w:pPr>
        <w:spacing w:after="0" w:line="88" w:lineRule="exact"/>
        <w:rPr>
          <w:sz w:val="20"/>
          <w:szCs w:val="20"/>
          <w:color w:val="auto"/>
        </w:rPr>
      </w:pPr>
    </w:p>
    <w:p>
      <w:pPr>
        <w:ind w:right="5380"/>
        <w:spacing w:after="0" w:line="428" w:lineRule="auto"/>
        <w:rPr>
          <w:sz w:val="20"/>
          <w:szCs w:val="20"/>
          <w:color w:val="auto"/>
        </w:rPr>
      </w:pPr>
      <w:r>
        <w:rPr>
          <w:rFonts w:ascii="Arial" w:cs="Arial" w:eastAsia="Arial" w:hAnsi="Arial"/>
          <w:sz w:val="18"/>
          <w:szCs w:val="18"/>
          <w:color w:val="auto"/>
        </w:rPr>
        <w:t xml:space="preserve">There were no open market repurchases during fiscal 2017 and fiscal 2016. </w:t>
      </w:r>
      <w:r>
        <w:rPr>
          <w:rFonts w:ascii="Arial" w:cs="Arial" w:eastAsia="Arial" w:hAnsi="Arial"/>
          <w:sz w:val="18"/>
          <w:szCs w:val="18"/>
          <w:b w:val="1"/>
          <w:bCs w:val="1"/>
          <w:color w:val="auto"/>
        </w:rPr>
        <w:t xml:space="preserve">Note 19—Stock-Based Compensation </w:t>
      </w:r>
      <w:r>
        <w:rPr>
          <w:rFonts w:ascii="Arial" w:cs="Arial" w:eastAsia="Arial" w:hAnsi="Arial"/>
          <w:sz w:val="18"/>
          <w:szCs w:val="18"/>
          <w:i w:val="1"/>
          <w:iCs w:val="1"/>
          <w:color w:val="auto"/>
        </w:rPr>
        <w:t>Plan Summaries</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28, 2018, the Company had stock-based compensation awards outstanding under the following plans: the 2017 Omnibus Incentive Plan, 2006 Equity Incentive Plan, as amended, and the 2006 Employee Stock Purchase Plan, as amended ("ESPP"). Leidos issues new shares upon the issuance of the vesting of stock units or exercising of stock options under these plans.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fiscal 2017, stockholders approved the 2017 Omnibus Incentive Plan which provides the Company and its affiliates' employees, directors and consultants the opportunity to receive various types of stock-based compensation awards, such as stock options, restricted stock units and performance-based awards, as well as cash awards. Service-based awards granted under the plan prior to fiscal 2015 generally vested or became exercisable 20% a year for the first three years and 40% in the fourth year. In fiscal 2015, the Company began granting awards that generally vest or become exercisable 25% a year over four years or cliff vest in three years. As of December 28, 2018, 5.0 million shares of Leidos' stock were reserved for future issuance under the 2017 Omnibus Incentive Plan and the 2006 Equity Incentive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- 87</w:t>
      </w:r>
    </w:p>
    <w:p>
      <w:pPr>
        <w:sectPr>
          <w:pgSz w:w="11900" w:h="16838" w:orient="portrait"/>
          <w:cols w:equalWidth="0" w:num="1">
            <w:col w:w="11420"/>
          </w:cols>
          <w:pgMar w:left="240" w:top="17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offers eligible employees the opportunity to defer restricted stock units into an equity-based deferred equity compensation plan, the Key Executive Stock Deferral Plan ("KESDP"). Prior to 2013 the Company offered an additional opportunity for deferrals into the Management Stock Compensation Plan ("MSCP"). Benefits from these plans are payable in shares of Leidos' stock that are held in a trust for the purpose of funding shares to the plans' participants. Restricted stock units deferred under the KESDP are counted against the total shares available for future issuance under the 2017 Omnibus Incentive Plan. All awards under the MSCP are fully vested and the plan does not provide for a maximum number of shares available for future issuance.</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ESPP allows eligible employees to purchase shares of Leidos' stock at a discount of up to 15% of the fair market value on the date of purchase. During the first half of fiscal 2018, fiscal 2017 and 2016, the discount was 5% of the fair market value on the date of purchase, thereby resulting in the ESPP being non-compensatory. Effective the second half of fiscal 2018, the Company increased the discount to 10% of the fair market value on the date of purchase, resulting in the ESPP being compensatory. During fiscal 2018 and 2017, $11 million and $10 million, respectively, was received from ESPP plan participants for the issuance of Leidos' stock. A total of 4.6 million shares remain available for future issuance under the ESPP.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and related tax benefits recognized under all plans were as follows:</w:t>
      </w:r>
    </w:p>
    <w:p>
      <w:pPr>
        <w:sectPr>
          <w:pgSz w:w="11900" w:h="16838" w:orient="portrait"/>
          <w:cols w:equalWidth="0" w:num="1">
            <w:col w:w="11400"/>
          </w:cols>
          <w:pgMar w:left="240" w:top="17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4399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Tax benefits recognized from stock-based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761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4"/>
                <w:szCs w:val="14"/>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color w:val="auto"/>
              </w:rPr>
              <w:t>December 29,</w:t>
            </w:r>
          </w:p>
        </w:tc>
        <w:tc>
          <w:tcPr>
            <w:tcW w:w="260" w:type="dxa"/>
            <w:vAlign w:val="bottom"/>
          </w:tcPr>
          <w:p>
            <w:pPr>
              <w:spacing w:after="0"/>
              <w:rPr>
                <w:sz w:val="14"/>
                <w:szCs w:val="14"/>
                <w:color w:val="auto"/>
              </w:rPr>
            </w:pPr>
          </w:p>
        </w:tc>
        <w:tc>
          <w:tcPr>
            <w:tcW w:w="1220" w:type="dxa"/>
            <w:vAlign w:val="bottom"/>
          </w:tcPr>
          <w:p>
            <w:pPr>
              <w:jc w:val="right"/>
              <w:ind w:right="179"/>
              <w:spacing w:after="0"/>
              <w:rPr>
                <w:sz w:val="20"/>
                <w:szCs w:val="20"/>
                <w:color w:val="auto"/>
              </w:rPr>
            </w:pPr>
            <w:r>
              <w:rPr>
                <w:rFonts w:ascii="Arial" w:cs="Arial" w:eastAsia="Arial" w:hAnsi="Arial"/>
                <w:sz w:val="14"/>
                <w:szCs w:val="14"/>
                <w:color w:val="auto"/>
              </w:rPr>
              <w:t>December 30,</w:t>
            </w:r>
          </w:p>
        </w:tc>
      </w:tr>
      <w:tr>
        <w:trPr>
          <w:trHeight w:val="196"/>
        </w:trPr>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2016</w:t>
            </w:r>
          </w:p>
        </w:tc>
      </w:tr>
      <w:tr>
        <w:trPr>
          <w:trHeight w:val="244"/>
        </w:trPr>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41"/>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9"/>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35</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14</w:t>
            </w:r>
          </w:p>
        </w:tc>
      </w:tr>
    </w:tbl>
    <w:p>
      <w:pPr>
        <w:spacing w:after="0" w:line="444" w:lineRule="exact"/>
        <w:rPr>
          <w:sz w:val="20"/>
          <w:szCs w:val="20"/>
          <w:color w:val="auto"/>
        </w:rPr>
      </w:pPr>
    </w:p>
    <w:p>
      <w:pPr>
        <w:sectPr>
          <w:pgSz w:w="11900" w:h="16838" w:orient="portrait"/>
          <w:cols w:equalWidth="0" w:num="2">
            <w:col w:w="6320" w:space="720"/>
            <w:col w:w="4360"/>
          </w:cols>
          <w:pgMar w:left="240" w:top="175" w:right="259" w:bottom="1440" w:gutter="0" w:footer="0" w:header="0"/>
          <w:type w:val="continuous"/>
        </w:sectPr>
      </w:pPr>
    </w:p>
    <w:p>
      <w:pPr>
        <w:ind w:right="100"/>
        <w:spacing w:after="0" w:line="254" w:lineRule="auto"/>
        <w:rPr>
          <w:sz w:val="20"/>
          <w:szCs w:val="20"/>
          <w:color w:val="auto"/>
        </w:rPr>
      </w:pPr>
      <w:r>
        <w:rPr>
          <w:rFonts w:ascii="Arial" w:cs="Arial" w:eastAsia="Arial" w:hAnsi="Arial"/>
          <w:sz w:val="18"/>
          <w:szCs w:val="18"/>
          <w:color w:val="auto"/>
        </w:rPr>
        <w:t>Stock options are granted with exercise prices equal to the fair market value of Leidos' common stock on the date of grant and for terms not greater than ten years. Stock options have a term of seven years and a vesting period of four years, except for stock options granted to the Company's outside directors, which have a vesting period of the earlier of one year from grant date or the next annual meeting of stockholders following grant date.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Black-Scholes-Merton option-pricing model. The fair value of the Company's stock option awards to employees are expensed on a straight-line basis over the vesting period of four years, except for stock options granted to the Company's outside directors, which is recognized over the vesting period of one year or less.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fiscal 2016, expected volatility was based on using a blended approach, which included weighted average historical volatility of a group of publicly-traded peer companies, weighted average historical volatility of the Company and the weighted average implied volatility. The expected volatility increased, from pre-acquisition to post-acquisition of the IS&amp;GS Business in fiscal 2016, due to a higher allocation of peer group volatility used post-acquisition. The post-acquisition volatility reflected an updated peer group mix.</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fiscal 2017, the Company ceased the usage of peer group volatility, as an input into its blended approach to measure expected volatility, and increased the reliance on historical volatility. The revised blended approach includes the Company's weighted average historical and implied volatilities. The Company continued the use of this approach during fiscal 2018.</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risk-free rate is derived using the yield curve of a zero-coupon U.S. Treasury bond with a maturity equal to the expected term of the stock option on the grant date. Leidos utilizes the simplified method for the expected term, which represents an appropriate period of time that the options granted are expected to remain outstanding between the weighted-average vesting period and end of the respective contractual term. The dividend yield increased from pre-acquisition to post-acquisition due to historical stock price fluctuations. The Company uses historical data to estimate forfeitures and was derived in the same manner as in the prior years presented.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- 88</w:t>
      </w:r>
    </w:p>
    <w:p>
      <w:pPr>
        <w:sectPr>
          <w:pgSz w:w="11900" w:h="16838" w:orient="portrait"/>
          <w:cols w:equalWidth="0" w:num="1">
            <w:col w:w="11400"/>
          </w:cols>
          <w:pgMar w:left="240" w:top="175" w:right="259" w:bottom="1440" w:gutter="0" w:footer="0" w:header="0"/>
          <w:type w:val="continuous"/>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weighted average grant-date fair value and assumptions used to determine fair value of stock options granted for the periods presented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color w:val="auto"/>
              </w:rPr>
              <w:t>December 30, 2016</w:t>
            </w:r>
          </w:p>
        </w:tc>
        <w:tc>
          <w:tcPr>
            <w:tcW w:w="180" w:type="dxa"/>
            <w:vAlign w:val="bottom"/>
          </w:tcPr>
          <w:p>
            <w:pPr>
              <w:spacing w:after="0"/>
              <w:rPr>
                <w:sz w:val="16"/>
                <w:szCs w:val="16"/>
                <w:color w:val="auto"/>
              </w:rPr>
            </w:pPr>
          </w:p>
        </w:tc>
        <w:tc>
          <w:tcPr>
            <w:tcW w:w="1560" w:type="dxa"/>
            <w:vAlign w:val="bottom"/>
          </w:tcPr>
          <w:p>
            <w:pPr>
              <w:jc w:val="center"/>
              <w:ind w:right="97"/>
              <w:spacing w:after="0"/>
              <w:rPr>
                <w:sz w:val="20"/>
                <w:szCs w:val="20"/>
                <w:color w:val="auto"/>
              </w:rPr>
            </w:pPr>
            <w:r>
              <w:rPr>
                <w:rFonts w:ascii="Arial" w:cs="Arial" w:eastAsia="Arial" w:hAnsi="Arial"/>
                <w:sz w:val="14"/>
                <w:szCs w:val="14"/>
                <w:color w:val="auto"/>
              </w:rPr>
              <w:t>December 30, 2016</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60"/>
              <w:spacing w:after="0" w:line="144" w:lineRule="exact"/>
              <w:rPr>
                <w:sz w:val="20"/>
                <w:szCs w:val="20"/>
                <w:color w:val="auto"/>
              </w:rPr>
            </w:pPr>
            <w:r>
              <w:rPr>
                <w:rFonts w:ascii="Arial" w:cs="Arial" w:eastAsia="Arial" w:hAnsi="Arial"/>
                <w:sz w:val="14"/>
                <w:szCs w:val="14"/>
                <w:color w:val="auto"/>
              </w:rPr>
              <w:t>December 29,</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4" w:lineRule="exact"/>
              <w:rPr>
                <w:sz w:val="20"/>
                <w:szCs w:val="20"/>
                <w:color w:val="auto"/>
              </w:rPr>
            </w:pPr>
            <w:r>
              <w:rPr>
                <w:rFonts w:ascii="Arial" w:cs="Arial" w:eastAsia="Arial" w:hAnsi="Arial"/>
                <w:sz w:val="14"/>
                <w:szCs w:val="14"/>
                <w:color w:val="auto"/>
              </w:rPr>
              <w:t>(Grants after</w:t>
            </w:r>
          </w:p>
        </w:tc>
        <w:tc>
          <w:tcPr>
            <w:tcW w:w="180" w:type="dxa"/>
            <w:vAlign w:val="bottom"/>
          </w:tcPr>
          <w:p>
            <w:pPr>
              <w:spacing w:after="0"/>
              <w:rPr>
                <w:sz w:val="12"/>
                <w:szCs w:val="12"/>
                <w:color w:val="auto"/>
              </w:rPr>
            </w:pPr>
          </w:p>
        </w:tc>
        <w:tc>
          <w:tcPr>
            <w:tcW w:w="1560" w:type="dxa"/>
            <w:vAlign w:val="bottom"/>
          </w:tcPr>
          <w:p>
            <w:pPr>
              <w:jc w:val="center"/>
              <w:ind w:right="97"/>
              <w:spacing w:after="0" w:line="144" w:lineRule="exact"/>
              <w:rPr>
                <w:sz w:val="20"/>
                <w:szCs w:val="20"/>
                <w:color w:val="auto"/>
              </w:rPr>
            </w:pPr>
            <w:r>
              <w:rPr>
                <w:rFonts w:ascii="Arial" w:cs="Arial" w:eastAsia="Arial" w:hAnsi="Arial"/>
                <w:sz w:val="14"/>
                <w:szCs w:val="14"/>
                <w:color w:val="auto"/>
              </w:rPr>
              <w:t>(Grants before</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rPr>
              <w:t>acquisition)</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acquisition)</w:t>
            </w:r>
          </w:p>
        </w:tc>
        <w:tc>
          <w:tcPr>
            <w:tcW w:w="0" w:type="dxa"/>
            <w:vAlign w:val="bottom"/>
          </w:tcPr>
          <w:p>
            <w:pPr>
              <w:spacing w:after="0"/>
              <w:rPr>
                <w:sz w:val="1"/>
                <w:szCs w:val="1"/>
                <w:color w:val="auto"/>
              </w:rPr>
            </w:pPr>
          </w:p>
        </w:tc>
      </w:tr>
      <w:tr>
        <w:trPr>
          <w:trHeight w:val="25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13.85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6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22"/>
                <w:szCs w:val="22"/>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6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Dividend Adjustment</w:t>
      </w:r>
    </w:p>
    <w:p>
      <w:pPr>
        <w:spacing w:after="0" w:line="13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 a result of the payment of the special cash dividend to Leidos stockholders in August 2016, Leidos modified all outstanding stock options to preserve their original grant date fair value. The modifications resulted in a reduction in the strike prices of the outstanding stock options by a factor of 0.74 and an increase in the number of shares issuable upon the exercise of each option by a factor of 1.35 between the pre-modification stock price and post-modification stock price. These adjustments did not result in additional stock-based compensation expense, as the fair value of the outstanding options immediately following the payment of the special cash dividend was equal to the fair value immediately prior to such distribution. The modifications resulted in an increase in options outstanding by 0.9 million. The special dividend declared was $993 million. As a result of the special dividend declaration, the Company accrued $29 million of dividend equivalents with respect to outstanding equity awards. The transactions associated with the special cash dividend were recorded to "Additional paid-in capital"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Shares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remaining</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stock under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rPr>
              <w:t>contractual</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color w:val="auto"/>
              </w:rPr>
              <w:t>Aggregate</w:t>
            </w:r>
          </w:p>
        </w:tc>
      </w:tr>
      <w:tr>
        <w:trPr>
          <w:trHeight w:val="178"/>
        </w:trPr>
        <w:tc>
          <w:tcPr>
            <w:tcW w:w="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options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term</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intrinsic value</w:t>
            </w:r>
          </w:p>
        </w:tc>
      </w:tr>
      <w:tr>
        <w:trPr>
          <w:trHeight w:val="250"/>
        </w:trPr>
        <w:tc>
          <w:tcPr>
            <w:tcW w:w="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(in years)</w:t>
            </w:r>
          </w:p>
        </w:tc>
        <w:tc>
          <w:tcPr>
            <w:tcW w:w="180" w:type="dxa"/>
            <w:vAlign w:val="bottom"/>
          </w:tcPr>
          <w:p>
            <w:pPr>
              <w:spacing w:after="0"/>
              <w:rPr>
                <w:sz w:val="21"/>
                <w:szCs w:val="21"/>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r>
      <w:tr>
        <w:trPr>
          <w:trHeight w:val="276"/>
        </w:trPr>
        <w:tc>
          <w:tcPr>
            <w:tcW w:w="56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38.21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w:t>
            </w:r>
          </w:p>
        </w:tc>
      </w:tr>
      <w:tr>
        <w:trPr>
          <w:trHeight w:val="263"/>
        </w:trPr>
        <w:tc>
          <w:tcPr>
            <w:tcW w:w="40" w:type="dxa"/>
            <w:vAlign w:val="bottom"/>
          </w:tcPr>
          <w:p>
            <w:pPr>
              <w:spacing w:after="0"/>
              <w:rPr>
                <w:sz w:val="22"/>
                <w:szCs w:val="22"/>
                <w:color w:val="auto"/>
              </w:rPr>
            </w:pPr>
          </w:p>
        </w:tc>
        <w:tc>
          <w:tcPr>
            <w:tcW w:w="5560" w:type="dxa"/>
            <w:vAlign w:val="bottom"/>
            <w:gridSpan w:val="3"/>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Special dividend adjustments</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560" w:type="dxa"/>
            <w:vAlign w:val="bottom"/>
            <w:gridSpan w:val="3"/>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r>
      <w:tr>
        <w:trPr>
          <w:trHeight w:val="243"/>
        </w:trPr>
        <w:tc>
          <w:tcPr>
            <w:tcW w:w="5600" w:type="dxa"/>
            <w:vAlign w:val="bottom"/>
            <w:gridSpan w:val="4"/>
          </w:tcPr>
          <w:p>
            <w:pPr>
              <w:ind w:left="40"/>
              <w:spacing w:after="0"/>
              <w:rPr>
                <w:sz w:val="20"/>
                <w:szCs w:val="20"/>
                <w:color w:val="auto"/>
              </w:rPr>
            </w:pPr>
            <w:r>
              <w:rPr>
                <w:rFonts w:ascii="Arial" w:cs="Arial" w:eastAsia="Arial" w:hAnsi="Arial"/>
                <w:sz w:val="18"/>
                <w:szCs w:val="18"/>
                <w:color w:val="auto"/>
              </w:rPr>
              <w:t>Outstanding at December 30, 2016</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3.3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29.77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70</w:t>
            </w:r>
          </w:p>
        </w:tc>
      </w:tr>
      <w:tr>
        <w:trPr>
          <w:trHeight w:val="277"/>
        </w:trPr>
        <w:tc>
          <w:tcPr>
            <w:tcW w:w="40" w:type="dxa"/>
            <w:vAlign w:val="bottom"/>
            <w:shd w:val="clear" w:color="auto" w:fill="CCEEFF"/>
          </w:tcPr>
          <w:p>
            <w:pPr>
              <w:spacing w:after="0"/>
              <w:rPr>
                <w:sz w:val="24"/>
                <w:szCs w:val="24"/>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560" w:type="dxa"/>
            <w:vAlign w:val="bottom"/>
            <w:gridSpan w:val="3"/>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r>
      <w:tr>
        <w:trPr>
          <w:trHeight w:val="243"/>
        </w:trPr>
        <w:tc>
          <w:tcPr>
            <w:tcW w:w="5600" w:type="dxa"/>
            <w:vAlign w:val="bottom"/>
            <w:gridSpan w:val="4"/>
          </w:tcPr>
          <w:p>
            <w:pPr>
              <w:ind w:left="40"/>
              <w:spacing w:after="0"/>
              <w:rPr>
                <w:sz w:val="20"/>
                <w:szCs w:val="20"/>
                <w:color w:val="auto"/>
              </w:rPr>
            </w:pPr>
            <w:r>
              <w:rPr>
                <w:rFonts w:ascii="Arial" w:cs="Arial" w:eastAsia="Arial" w:hAnsi="Arial"/>
                <w:sz w:val="18"/>
                <w:szCs w:val="18"/>
                <w:color w:val="auto"/>
              </w:rPr>
              <w:t>Outstanding at December 29, 2017</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2.8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34.38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86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Options granted</w:t>
            </w:r>
          </w:p>
        </w:tc>
        <w:tc>
          <w:tcPr>
            <w:tcW w:w="2800" w:type="dxa"/>
            <w:vAlign w:val="bottom"/>
            <w:tcBorders>
              <w:bottom w:val="single" w:sz="8" w:color="CCEEFF"/>
            </w:tcBorders>
            <w:gridSpan w:val="2"/>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5560" w:type="dxa"/>
            <w:vAlign w:val="bottom"/>
            <w:gridSpan w:val="3"/>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Options exercised</w:t>
            </w:r>
          </w:p>
        </w:tc>
        <w:tc>
          <w:tcPr>
            <w:tcW w:w="2800" w:type="dxa"/>
            <w:vAlign w:val="bottom"/>
            <w:tcBorders>
              <w:bottom w:val="single" w:sz="8" w:color="CCEEFF"/>
            </w:tcBorders>
            <w:gridSpan w:val="2"/>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r>
      <w:tr>
        <w:trPr>
          <w:trHeight w:val="290"/>
        </w:trPr>
        <w:tc>
          <w:tcPr>
            <w:tcW w:w="56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Outstanding at December 28, 2018</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b w:val="1"/>
                <w:bCs w:val="1"/>
                <w:color w:val="auto"/>
              </w:rPr>
              <w:t>39.41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b w:val="1"/>
                <w:bCs w:val="1"/>
                <w:color w:val="auto"/>
              </w:rPr>
              <w:t>36</w:t>
            </w: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w w:val="99"/>
                <w:shd w:val="clear" w:color="auto" w:fill="CCEEFF"/>
              </w:rPr>
              <w:t>Exercisable at December 28, 2018</w:t>
            </w:r>
          </w:p>
        </w:tc>
        <w:tc>
          <w:tcPr>
            <w:tcW w:w="2800" w:type="dxa"/>
            <w:vAlign w:val="bottom"/>
            <w:tcBorders>
              <w:bottom w:val="single" w:sz="8" w:color="CCEEFF"/>
            </w:tcBorders>
            <w:gridSpan w:val="2"/>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4"/>
              <w:spacing w:after="0" w:line="183" w:lineRule="exact"/>
              <w:rPr>
                <w:sz w:val="20"/>
                <w:szCs w:val="20"/>
                <w:color w:val="auto"/>
              </w:rPr>
            </w:pPr>
            <w:r>
              <w:rPr>
                <w:rFonts w:ascii="Arial" w:cs="Arial" w:eastAsia="Arial" w:hAnsi="Arial"/>
                <w:sz w:val="18"/>
                <w:szCs w:val="18"/>
                <w:b w:val="1"/>
                <w:bCs w:val="1"/>
                <w:color w:val="auto"/>
              </w:rPr>
              <w:t>1.4</w:t>
            </w:r>
          </w:p>
        </w:tc>
        <w:tc>
          <w:tcPr>
            <w:tcW w:w="300" w:type="dxa"/>
            <w:vAlign w:val="bottom"/>
            <w:tcBorders>
              <w:bottom w:val="single" w:sz="8" w:color="CCEEFF"/>
            </w:tcBorders>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33"/>
              <w:spacing w:after="0" w:line="183" w:lineRule="exact"/>
              <w:rPr>
                <w:sz w:val="20"/>
                <w:szCs w:val="20"/>
                <w:color w:val="auto"/>
              </w:rPr>
            </w:pPr>
            <w:r>
              <w:rPr>
                <w:rFonts w:ascii="Arial" w:cs="Arial" w:eastAsia="Arial" w:hAnsi="Arial"/>
                <w:sz w:val="18"/>
                <w:szCs w:val="18"/>
                <w:b w:val="1"/>
                <w:bCs w:val="1"/>
                <w:color w:val="auto"/>
              </w:rPr>
              <w:t>31.72</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4"/>
              <w:spacing w:after="0" w:line="183" w:lineRule="exact"/>
              <w:rPr>
                <w:sz w:val="20"/>
                <w:szCs w:val="20"/>
                <w:color w:val="auto"/>
              </w:rPr>
            </w:pPr>
            <w:r>
              <w:rPr>
                <w:rFonts w:ascii="Arial" w:cs="Arial" w:eastAsia="Arial" w:hAnsi="Arial"/>
                <w:sz w:val="18"/>
                <w:szCs w:val="18"/>
                <w:b w:val="1"/>
                <w:bCs w:val="1"/>
                <w:color w:val="auto"/>
              </w:rPr>
              <w:t>29</w:t>
            </w:r>
          </w:p>
        </w:tc>
      </w:tr>
      <w:tr>
        <w:trPr>
          <w:trHeight w:val="257"/>
        </w:trPr>
        <w:tc>
          <w:tcPr>
            <w:tcW w:w="5600" w:type="dxa"/>
            <w:vAlign w:val="bottom"/>
            <w:gridSpan w:val="4"/>
          </w:tcPr>
          <w:p>
            <w:pPr>
              <w:ind w:left="40"/>
              <w:spacing w:after="0"/>
              <w:rPr>
                <w:sz w:val="20"/>
                <w:szCs w:val="20"/>
                <w:color w:val="auto"/>
              </w:rPr>
            </w:pPr>
            <w:r>
              <w:rPr>
                <w:rFonts w:ascii="Arial" w:cs="Arial" w:eastAsia="Arial" w:hAnsi="Arial"/>
                <w:sz w:val="18"/>
                <w:szCs w:val="18"/>
                <w:color w:val="auto"/>
              </w:rPr>
              <w:t>Vested and expected to vest in the future as of December 28, 2018</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2.4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39.15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36</w:t>
            </w: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- 89</w:t>
      </w:r>
    </w:p>
    <w:p>
      <w:pPr>
        <w:sectPr>
          <w:pgSz w:w="11900" w:h="16838" w:orient="portrait"/>
          <w:cols w:equalWidth="0" w:num="1">
            <w:col w:w="11420"/>
          </w:cols>
          <w:pgMar w:left="240" w:top="175"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of December 28, 2018, there was $6 million of unrecognized compensation cost, net of estimated forfeitures, related to stock options, which is expected to be recognized over a weighted-average period of 2.0 years. Tax benefits from stock options exercised for fiscal 2018, 2017 and 2016 were $6 million, $7 million and $1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3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Compensation expense is measured at the grant date fair value and generally recognized over the vesting period of either three to four years based upon required service conditions and in some cases revenue or EPS-based performance conditions.</w:t>
      </w:r>
    </w:p>
    <w:p>
      <w:pPr>
        <w:spacing w:after="0" w:line="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Transactions (see "Note 6—Acquisitions"), the Company issued 0.6 million replacement restricted stock units valued at $23 million, of which $9 million was allocated as purchase consideration attributed to pre-acquisition service and the remaining $12 million represents the total remaining stock-based compensation expense, net of estimated forfeitures. This remaining expense will be recognized over three years from the date of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and awards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Shares of 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3"/>
              <w:spacing w:after="0"/>
              <w:rPr>
                <w:sz w:val="20"/>
                <w:szCs w:val="20"/>
                <w:color w:val="auto"/>
              </w:rPr>
            </w:pPr>
            <w:r>
              <w:rPr>
                <w:rFonts w:ascii="Arial" w:cs="Arial" w:eastAsia="Arial" w:hAnsi="Arial"/>
                <w:sz w:val="14"/>
                <w:szCs w:val="14"/>
                <w:color w:val="auto"/>
              </w:rPr>
              <w:t>Weighted</w:t>
            </w:r>
          </w:p>
        </w:tc>
      </w:tr>
      <w:tr>
        <w:trPr>
          <w:trHeight w:val="162"/>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under 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53"/>
              <w:spacing w:after="0"/>
              <w:rPr>
                <w:sz w:val="20"/>
                <w:szCs w:val="20"/>
                <w:color w:val="auto"/>
              </w:rPr>
            </w:pPr>
            <w:r>
              <w:rPr>
                <w:rFonts w:ascii="Arial" w:cs="Arial" w:eastAsia="Arial" w:hAnsi="Arial"/>
                <w:sz w:val="14"/>
                <w:szCs w:val="14"/>
                <w:color w:val="auto"/>
              </w:rPr>
              <w:t>average grant-</w:t>
            </w:r>
          </w:p>
        </w:tc>
      </w:t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date fair value</w:t>
            </w: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January 1, 2016</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38.97</w:t>
            </w:r>
          </w:p>
        </w:tc>
      </w:tr>
      <w:tr>
        <w:trPr>
          <w:trHeight w:val="26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41.45</w:t>
            </w:r>
          </w:p>
        </w:tc>
      </w:tr>
      <w:tr>
        <w:trPr>
          <w:trHeight w:val="277"/>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40.88</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38.91</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December 30, 2016</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40.39</w:t>
            </w:r>
          </w:p>
        </w:tc>
      </w:tr>
      <w:tr>
        <w:trPr>
          <w:trHeight w:val="26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53.91</w:t>
            </w:r>
          </w:p>
        </w:tc>
      </w:tr>
      <w:tr>
        <w:trPr>
          <w:trHeight w:val="277"/>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45.89</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41.02</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stock awards at December 29, 2017</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44.96</w:t>
            </w:r>
          </w:p>
        </w:tc>
      </w:tr>
      <w:tr>
        <w:trPr>
          <w:trHeight w:val="26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64.05</w:t>
            </w:r>
          </w:p>
        </w:tc>
      </w:tr>
      <w:tr>
        <w:trPr>
          <w:trHeight w:val="25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Awards forfeited</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44.60</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stock awards at December 28, 2018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50.85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As of December 28, 2018, there was $37 million of unrecognized compensation cost, net of estimated forfeitures, related to restricted stock units, which is expected to be recognized over a weighted average period of 2.0 years. The fair value of restricted stock units that vested in fiscal 2018, 2017 and 2016, was $22 million, $33 million and $43 million, respectively. In addition, the fair value of dividend equivalents with respect to restricted stock units that vested in fiscal 2018, 2017 and 2016 was $1 million, $13 million and $8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Awards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Historically, the Company granted performance-based stock awards to certain officers and key employees of the Company under the 2006 Equity Incentive Plan. During fiscal 2017, upon stockholder approval, the Company started granting performance-based stock awards to these individuals under the 2017 Omnibus Incentive Plan. Under both plans, the Company's performance-based stock awards vest and the stock is issued at the end of a three-year period based upon the achievement of specific performance criteria, with the number of shares ultimately awarded, if any, ranging up to 150% of the specified target awards. If performance is below the threshold level of performance, no shares will be issued.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- 90</w:t>
      </w:r>
    </w:p>
    <w:p>
      <w:pPr>
        <w:sectPr>
          <w:pgSz w:w="11900" w:h="16838" w:orient="portrait"/>
          <w:cols w:equalWidth="0" w:num="1">
            <w:col w:w="11420"/>
          </w:cols>
          <w:pgMar w:left="240" w:top="175"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awards granted during fiscal 2018, 2017 and 2016, the target number of shares of stock granted under the awards will vest and the stock will be issued at the end of a three-year period based on a three-year cycle performance period and the actual number of shares to be issued will be based upon the achievement of the three-year cycle's performance criteria. Also, during fiscal 2018, 2017 and 2016, the Company granted performance-based awards with market conditions. These market conditions grants represent the target number of shares and the actual number of shares to be awarded upon vesting may be higher or lower depending upon the achievement of the relevant market conditions. The target number of shares granted under the market conditions grants will vest and the stock will be issued at the end of a three-year period based on the attainment of certain total shareholder return performance measures and the employee's continued service through the vest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award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Expected number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of shares of 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to be issued under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34"/>
              <w:spacing w:after="0"/>
              <w:rPr>
                <w:sz w:val="20"/>
                <w:szCs w:val="20"/>
                <w:color w:val="auto"/>
              </w:rPr>
            </w:pPr>
            <w:r>
              <w:rPr>
                <w:rFonts w:ascii="Arial" w:cs="Arial" w:eastAsia="Arial" w:hAnsi="Arial"/>
                <w:sz w:val="14"/>
                <w:szCs w:val="14"/>
                <w:color w:val="auto"/>
              </w:rPr>
              <w:t>Weighted</w:t>
            </w:r>
          </w:p>
        </w:tc>
      </w:tr>
      <w:tr>
        <w:trPr>
          <w:trHeight w:val="162"/>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performance-based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4"/>
              <w:spacing w:after="0"/>
              <w:rPr>
                <w:sz w:val="20"/>
                <w:szCs w:val="20"/>
                <w:color w:val="auto"/>
              </w:rPr>
            </w:pPr>
            <w:r>
              <w:rPr>
                <w:rFonts w:ascii="Arial" w:cs="Arial" w:eastAsia="Arial" w:hAnsi="Arial"/>
                <w:sz w:val="14"/>
                <w:szCs w:val="14"/>
                <w:color w:val="auto"/>
              </w:rPr>
              <w:t>average grant-</w:t>
            </w:r>
          </w:p>
        </w:tc>
      </w:tr>
      <w:tr>
        <w:trPr>
          <w:trHeight w:val="178"/>
        </w:trPr>
        <w:tc>
          <w:tcPr>
            <w:tcW w:w="7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awards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date fair value</w:t>
            </w:r>
          </w:p>
        </w:tc>
      </w:tr>
      <w:tr>
        <w:trPr>
          <w:trHeight w:val="250"/>
        </w:trPr>
        <w:tc>
          <w:tcPr>
            <w:tcW w:w="7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at January 1, 2016</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43.35</w:t>
            </w:r>
          </w:p>
        </w:tc>
      </w:tr>
      <w:tr>
        <w:trPr>
          <w:trHeight w:val="264"/>
        </w:trPr>
        <w:tc>
          <w:tcPr>
            <w:tcW w:w="7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Awards granted</w:t>
            </w:r>
          </w:p>
        </w:tc>
        <w:tc>
          <w:tcPr>
            <w:tcW w:w="1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45.62</w:t>
            </w:r>
          </w:p>
        </w:tc>
      </w:tr>
      <w:tr>
        <w:trPr>
          <w:trHeight w:val="257"/>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30, 2016</w:t>
            </w: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44.44</w:t>
            </w:r>
          </w:p>
        </w:tc>
      </w:tr>
      <w:tr>
        <w:trPr>
          <w:trHeight w:val="26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Awards granted</w:t>
            </w: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57.94</w:t>
            </w:r>
          </w:p>
        </w:tc>
      </w:tr>
      <w:tr>
        <w:trPr>
          <w:trHeight w:val="277"/>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42.85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Unvested at December 29, 2017</w:t>
            </w:r>
          </w:p>
        </w:tc>
        <w:tc>
          <w:tcPr>
            <w:tcW w:w="1800" w:type="dxa"/>
            <w:vAlign w:val="bottom"/>
          </w:tcPr>
          <w:p>
            <w:pPr>
              <w:jc w:val="right"/>
              <w:ind w:right="17"/>
              <w:spacing w:after="0"/>
              <w:rPr>
                <w:sz w:val="20"/>
                <w:szCs w:val="20"/>
                <w:color w:val="auto"/>
              </w:rPr>
            </w:pPr>
            <w:r>
              <w:rPr>
                <w:rFonts w:ascii="Arial" w:cs="Arial" w:eastAsia="Arial" w:hAnsi="Arial"/>
                <w:sz w:val="18"/>
                <w:szCs w:val="18"/>
                <w:b w:val="1"/>
                <w:bCs w:val="1"/>
                <w:color w:val="auto"/>
              </w:rPr>
              <w:t>0.5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50.34</w:t>
            </w: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Awards granted</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61.43</w:t>
            </w:r>
          </w:p>
        </w:tc>
      </w:tr>
      <w:tr>
        <w:trPr>
          <w:trHeight w:val="26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Awards forfeited</w:t>
            </w:r>
          </w:p>
        </w:tc>
        <w:tc>
          <w:tcPr>
            <w:tcW w:w="1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61.81</w:t>
            </w:r>
          </w:p>
        </w:tc>
      </w:tr>
      <w:tr>
        <w:trPr>
          <w:trHeight w:val="27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44.04</w:t>
            </w: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Unvested at December 28, 2018</w:t>
            </w:r>
          </w:p>
        </w:tc>
        <w:tc>
          <w:tcPr>
            <w:tcW w:w="1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0.5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57.36</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weighted average grant date fair value for performance-based stock, excluding those with a market condition, during fiscal 2018, 2017 and 2016 was $63.76, $53.58 and $45.83, respectively. The weighted average grant date fair value for performance-based stock with market conditions that were granted during fiscal 2018, 2017 and 2016, was $71.50, $62.30 and $45.80, respectively, and was calculated using the Monte Carlo simulation.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Monte Carlo simulation assumptions used for the periods presented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5"/>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5"/>
                <w:szCs w:val="15"/>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color w:val="auto"/>
              </w:rPr>
              <w:t>December 30,</w:t>
            </w:r>
          </w:p>
        </w:tc>
      </w:tr>
      <w:tr>
        <w:trPr>
          <w:trHeight w:val="196"/>
        </w:trPr>
        <w:tc>
          <w:tcPr>
            <w:tcW w:w="6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2016</w:t>
            </w: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Expected volatility</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Risk free rate of return</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6"/>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grant date stock price</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65.00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46.54</w:t>
            </w:r>
          </w:p>
        </w:tc>
      </w:tr>
      <w:tr>
        <w:trPr>
          <w:trHeight w:val="41"/>
        </w:trPr>
        <w:tc>
          <w:tcPr>
            <w:tcW w:w="6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December 28, 2018, there was $11 million of unrecognized compensation cost, net of estimated forfeitures, which is expected to be recognized over a weighted average period of 1.7 years. The fair value of performance-based stock awards that vested in fiscal 2018 and 2017 was $13 million and $4 million, respectively. There were no performance-based stock awards that vested in fiscal 2016.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20—Income Taxes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2017, the U.S. government enacted the Tax Act which made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and (4) limiting the deductibility of certain executive compensation.</w:t>
      </w:r>
    </w:p>
    <w:p>
      <w:pPr>
        <w:sectPr>
          <w:pgSz w:w="11900" w:h="16838" w:orient="portrait"/>
          <w:cols w:equalWidth="0" w:num="1">
            <w:col w:w="11420"/>
          </w:cols>
          <w:pgMar w:left="240" w:top="17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- 91</w:t>
      </w:r>
    </w:p>
    <w:p>
      <w:pPr>
        <w:sectPr>
          <w:pgSz w:w="11900" w:h="16838" w:orient="portrait"/>
          <w:cols w:equalWidth="0" w:num="1">
            <w:col w:w="11420"/>
          </w:cols>
          <w:pgMar w:left="240" w:top="175" w:right="239" w:bottom="1440" w:gutter="0" w:footer="0" w:header="0"/>
          <w:type w:val="continuous"/>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a result of the Company’s preliminary analysis of the impact of the Tax Act, a discrete net tax benefit of $115 million was recorded in fiscal 2017, which primarily consisted of a net benefit for the corporate rate reduction of $ 119 million. This rate reduction resulted in a corresponding net decrease of deferred tax liabilities. During fiscal 2018, the Company completed its assessment of the impact of the Tax Act during the one-year measurement period. As a result, the Company increased its preliminary estimate of the deemed repatriation tax by $5 million and decreased its preliminary estimate of the limitation on the deductibility of certain executive compensation by $1 million, resulting in a net increase of $4 million to fiscal 2018 income tax expense.</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Less than 10% of the Company's income before income taxes for fiscal 2018, 2017 and 2016 was earned outside of the United States. The provision for income taxes for the periods presented included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Federal and foreign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88</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 and foreign</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the periods presented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5"/>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5"/>
                <w:szCs w:val="15"/>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color w:val="auto"/>
              </w:rPr>
              <w:t>December 30,</w:t>
            </w:r>
          </w:p>
        </w:tc>
      </w:tr>
      <w:tr>
        <w:trPr>
          <w:trHeight w:val="196"/>
        </w:trPr>
        <w:tc>
          <w:tcPr>
            <w:tcW w:w="6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2016</w:t>
            </w:r>
          </w:p>
        </w:tc>
      </w:tr>
      <w:tr>
        <w:trPr>
          <w:trHeight w:val="250"/>
        </w:trPr>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 computed at the statutory federal income tax rate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111</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 for deferred tax assets</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Taxable conversion of a subsidiary</w:t>
            </w:r>
          </w:p>
        </w:tc>
        <w:tc>
          <w:tcPr>
            <w:tcW w:w="2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basis in subsidiary held for sale</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Change in statutory federal tax rate</w:t>
            </w:r>
          </w:p>
        </w:tc>
        <w:tc>
          <w:tcPr>
            <w:tcW w:w="2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Dividends paid to employee stock ownership plan</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Change in accruals for uncertain tax positions</w:t>
            </w: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Capitalized transaction costs</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Impact of foreign operations</w:t>
            </w:r>
          </w:p>
        </w:tc>
        <w:tc>
          <w:tcPr>
            <w:tcW w:w="20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90"/>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w:t>
            </w:r>
          </w:p>
        </w:tc>
      </w:tr>
      <w:tr>
        <w:trPr>
          <w:trHeight w:val="237"/>
        </w:trPr>
        <w:tc>
          <w:tcPr>
            <w:tcW w:w="682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Effective income tax rate</w:t>
            </w: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bl>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Company's effective tax rate for fiscal 2018 was favorably impacted primarily by a decrease in valuation allowances arising from the taxable conversion of a subsidiary and the utilization of capital losses, an increase in deferred tax assets related to stock basis of a subsidiary held for sale, excess tax benefits related to employee stock-based payment transactions and federal research tax credits.</w:t>
      </w:r>
    </w:p>
    <w:p>
      <w:pPr>
        <w:sectPr>
          <w:pgSz w:w="11900" w:h="16838" w:orient="portrait"/>
          <w:cols w:equalWidth="0" w:num="1">
            <w:col w:w="11420"/>
          </w:cols>
          <w:pgMar w:left="240" w:top="175"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- 92</w:t>
      </w:r>
    </w:p>
    <w:p>
      <w:pPr>
        <w:sectPr>
          <w:pgSz w:w="11900" w:h="16838" w:orient="portrait"/>
          <w:cols w:equalWidth="0" w:num="1">
            <w:col w:w="11420"/>
          </w:cols>
          <w:pgMar w:left="240" w:top="175" w:right="239" w:bottom="1440" w:gutter="0" w:footer="0" w:header="0"/>
          <w:type w:val="continuous"/>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Company's effective tax rate for fiscal 2017 was favorably impacted primarily by the Tax Act's reduction of the federal corporate tax rate from 35% to 21% applied to the Company's fiscal 2017 year-end deferred tax balances and excess tax benefits related to employee stock-based payment transactions.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effective tax rate for fiscal 2016 was favorably impacted primarily by the tax deductibility of the special cash dividend, related to the Transactions described in “Note 6—Acquisitions,” on shares held by the Leidos retirement plan, excess tax benefits related to employee stock-based payment transactions and federal research tax credits, partially offset by the impact of certain capitalized transaction costs related to the Transactions.</w:t>
      </w:r>
    </w:p>
    <w:p>
      <w:pPr>
        <w:spacing w:after="0" w:line="9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December 29,</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2017</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00" w:type="dxa"/>
            <w:vAlign w:val="bottom"/>
            <w:gridSpan w:val="4"/>
          </w:tcPr>
          <w:p>
            <w:pPr>
              <w:jc w:val="right"/>
              <w:ind w:right="972"/>
              <w:spacing w:after="0"/>
              <w:rPr>
                <w:sz w:val="20"/>
                <w:szCs w:val="20"/>
                <w:color w:val="auto"/>
              </w:rPr>
            </w:pPr>
            <w:r>
              <w:rPr>
                <w:rFonts w:ascii="Arial" w:cs="Arial" w:eastAsia="Arial" w:hAnsi="Arial"/>
                <w:sz w:val="14"/>
                <w:szCs w:val="14"/>
                <w:color w:val="auto"/>
              </w:rPr>
              <w:t>(in millions)</w:t>
            </w: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vacation and bonuses</w:t>
            </w:r>
          </w:p>
        </w:tc>
        <w:tc>
          <w:tcPr>
            <w:tcW w:w="16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Credits and net operating losses carryovers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Vesting stock awards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gain</w:t>
            </w:r>
          </w:p>
        </w:tc>
        <w:tc>
          <w:tcPr>
            <w:tcW w:w="16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rent and tenant allowances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Capital loss carryover</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50"/>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r>
      <w:tr>
        <w:trPr>
          <w:trHeight w:val="270"/>
        </w:trPr>
        <w:tc>
          <w:tcPr>
            <w:tcW w:w="8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Purchased intangible 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Employee benefit contributions</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Partnership interest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50"/>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28, 2018, the Company had state net operating losses of $131 million, which will begin to expire in fiscal 2019. The Company had state tax credits of $9 million, which will begin to expire in fiscal 2019. The Company expects to utilize $3 million and $18 million of these state tax credits and state net operating losses, respectively. The Company also had foreign net operating losses of $69 million. The Company expects to utilize $8 million of these foreign net operating losses.</w:t>
      </w:r>
    </w:p>
    <w:p>
      <w:pPr>
        <w:spacing w:after="0" w:line="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Our valuation allowance for deferred tax assets was $28 million and $83 million as of December 28, 2018 and December 29, 2017, respectively. The valuation allowance decreased by $55 million primarily due to the taxable conversion of a subsidiary and the utilization of capital losses from the sale of the San Diego properties.</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- 93</w:t>
      </w:r>
    </w:p>
    <w:p>
      <w:pPr>
        <w:sectPr>
          <w:pgSz w:w="11900" w:h="16838" w:orient="portrait"/>
          <w:cols w:equalWidth="0" w:num="1">
            <w:col w:w="11420"/>
          </w:cols>
          <w:pgMar w:left="240" w:top="175" w:right="239" w:bottom="1440" w:gutter="0" w:footer="0" w:header="0"/>
          <w:type w:val="continuous"/>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balance sheet items are included in the accompanying consolidated balance sheets as follows:</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5360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Prepaid income taxes and tax refunds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Unrecognized tax benefits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220" w:type="dxa"/>
            <w:vAlign w:val="bottom"/>
          </w:tcPr>
          <w:p>
            <w:pPr>
              <w:jc w:val="right"/>
              <w:ind w:right="158"/>
              <w:spacing w:after="0"/>
              <w:rPr>
                <w:sz w:val="20"/>
                <w:szCs w:val="20"/>
                <w:color w:val="auto"/>
              </w:rPr>
            </w:pPr>
            <w:r>
              <w:rPr>
                <w:rFonts w:ascii="Arial" w:cs="Arial" w:eastAsia="Arial" w:hAnsi="Arial"/>
                <w:sz w:val="14"/>
                <w:szCs w:val="14"/>
                <w:b w:val="1"/>
                <w:bCs w:val="1"/>
                <w:color w:val="auto"/>
              </w:rPr>
              <w:t>December 28,</w:t>
            </w:r>
          </w:p>
        </w:tc>
        <w:tc>
          <w:tcPr>
            <w:tcW w:w="280" w:type="dxa"/>
            <w:vAlign w:val="bottom"/>
          </w:tcPr>
          <w:p>
            <w:pPr>
              <w:spacing w:after="0"/>
              <w:rPr>
                <w:sz w:val="14"/>
                <w:szCs w:val="14"/>
                <w:color w:val="auto"/>
              </w:rPr>
            </w:pPr>
          </w:p>
        </w:tc>
        <w:tc>
          <w:tcPr>
            <w:tcW w:w="1200" w:type="dxa"/>
            <w:vAlign w:val="bottom"/>
          </w:tcPr>
          <w:p>
            <w:pPr>
              <w:jc w:val="right"/>
              <w:ind w:right="176"/>
              <w:spacing w:after="0"/>
              <w:rPr>
                <w:sz w:val="20"/>
                <w:szCs w:val="20"/>
                <w:color w:val="auto"/>
              </w:rPr>
            </w:pPr>
            <w:r>
              <w:rPr>
                <w:rFonts w:ascii="Arial" w:cs="Arial" w:eastAsia="Arial" w:hAnsi="Arial"/>
                <w:sz w:val="14"/>
                <w:szCs w:val="14"/>
                <w:color w:val="auto"/>
              </w:rPr>
              <w:t>December 29,</w:t>
            </w:r>
          </w:p>
        </w:tc>
      </w:tr>
      <w:tr>
        <w:trPr>
          <w:trHeight w:val="196"/>
        </w:trPr>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2017</w:t>
            </w:r>
          </w:p>
        </w:tc>
      </w:tr>
      <w:tr>
        <w:trPr>
          <w:trHeight w:val="244"/>
        </w:trPr>
        <w:tc>
          <w:tcPr>
            <w:tcW w:w="160" w:type="dxa"/>
            <w:vAlign w:val="bottom"/>
          </w:tcPr>
          <w:p>
            <w:pPr>
              <w:spacing w:after="0"/>
              <w:rPr>
                <w:sz w:val="21"/>
                <w:szCs w:val="21"/>
                <w:color w:val="auto"/>
              </w:rPr>
            </w:pPr>
          </w:p>
        </w:tc>
        <w:tc>
          <w:tcPr>
            <w:tcW w:w="2700" w:type="dxa"/>
            <w:vAlign w:val="bottom"/>
            <w:gridSpan w:val="3"/>
          </w:tcPr>
          <w:p>
            <w:pPr>
              <w:jc w:val="right"/>
              <w:ind w:right="976"/>
              <w:spacing w:after="0"/>
              <w:rPr>
                <w:sz w:val="20"/>
                <w:szCs w:val="20"/>
                <w:color w:val="auto"/>
              </w:rPr>
            </w:pPr>
            <w:r>
              <w:rPr>
                <w:rFonts w:ascii="Arial" w:cs="Arial" w:eastAsia="Arial" w:hAnsi="Arial"/>
                <w:sz w:val="14"/>
                <w:szCs w:val="14"/>
                <w:color w:val="auto"/>
              </w:rPr>
              <w:t>(in millions)</w:t>
            </w:r>
          </w:p>
        </w:tc>
      </w:tr>
      <w:tr>
        <w:trPr>
          <w:trHeight w:val="539"/>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54</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w:t>
            </w:r>
          </w:p>
        </w:tc>
      </w:tr>
      <w:tr>
        <w:trPr>
          <w:trHeight w:val="270"/>
        </w:trPr>
        <w:tc>
          <w:tcPr>
            <w:tcW w:w="160" w:type="dxa"/>
            <w:vAlign w:val="bottom"/>
          </w:tcPr>
          <w:p>
            <w:pPr>
              <w:spacing w:after="0"/>
              <w:rPr>
                <w:sz w:val="23"/>
                <w:szCs w:val="23"/>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170</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220</w:t>
            </w:r>
          </w:p>
        </w:tc>
      </w:tr>
      <w:tr>
        <w:trPr>
          <w:trHeight w:val="540"/>
        </w:trPr>
        <w:tc>
          <w:tcPr>
            <w:tcW w:w="160" w:type="dxa"/>
            <w:vAlign w:val="bottom"/>
          </w:tcPr>
          <w:p>
            <w:pPr>
              <w:spacing w:after="0"/>
              <w:rPr>
                <w:sz w:val="24"/>
                <w:szCs w:val="24"/>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ectPr>
          <w:pgSz w:w="11900" w:h="16838" w:orient="portrait"/>
          <w:cols w:equalWidth="0" w:num="2">
            <w:col w:w="7840" w:space="720"/>
            <w:col w:w="2860"/>
          </w:cols>
          <w:pgMar w:left="240" w:top="175" w:right="239" w:bottom="1440" w:gutter="0" w:footer="0" w:header="0"/>
          <w:type w:val="continuous"/>
        </w:sectPr>
      </w:pPr>
    </w:p>
    <w:p>
      <w:pPr>
        <w:spacing w:after="0" w:line="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Company's unrecognized tax benefits are primarily related to certain recurring deductions customary for the Company’s industry. The changes in the unrecognized tax benefits, excluding $1 million of accrued interest and penalties for each respective period,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Additions for tax positions related to current year</w:t>
            </w: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Reductions for tax positions related to prior years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40"/>
              <w:spacing w:after="0"/>
              <w:rPr>
                <w:sz w:val="20"/>
                <w:szCs w:val="20"/>
                <w:color w:val="auto"/>
              </w:rPr>
            </w:pPr>
            <w:r>
              <w:rPr>
                <w:rFonts w:ascii="Arial" w:cs="Arial" w:eastAsia="Arial" w:hAnsi="Arial"/>
                <w:sz w:val="18"/>
                <w:szCs w:val="18"/>
                <w:color w:val="auto"/>
              </w:rPr>
              <w:t>Unrecognized tax benefits that, if recognized, would affect the effective income tax</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80" w:type="dxa"/>
            <w:vAlign w:val="bottom"/>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rate</w:t>
            </w: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At December 28, 2018, the balance of unrecognized tax benefits included liabilities for uncertain tax positions of $7 million, $3 million of which were classified as other long-term liabilities on the Company's consolidated balance sheets. At December 29, 2017, the balance of unrecognized tax benefits included liabilities for uncertain tax positions of $ 11 million, $7 million of which were classified as other long-term liabilities on the Company's consolidated balance sheets. At December 30, 2016, the balance of unrecognized tax benefits included liabilities for uncertain tax positions of $10 million, $5 million of which were classified as other long-term liabilities on the Company's consolidated balance sheets.</w:t>
      </w:r>
    </w:p>
    <w:p>
      <w:pPr>
        <w:spacing w:after="0" w:line="1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files income tax returns in the United States and various state and foreign jurisdictions. The Company participates in the Internal Revenue Service (“IRS”) Compliance Assurance Process, a real-time audit of the Company's consolidated federal corporate income tax return. The IRS has examined the Company's consolidated federal income tax returns through the year ended December 30, 2016. With a few exceptions, as of December 28, 2018, the Company is no longer subject to state, local, or foreign examinations by the tax authorities for fiscal years ending on or before January 30, 2015.</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next 12 months, it is reasonably possible that resolution of reviews by taxing authorities, both domestic and international, could be reached with respect to $3 million of the Company's unrecognized tax benefits, depending on the timing of ongoing examinations, any litigation and expiration of statute of limitations, either because the Company's tax positions are sustained or because the Company agrees to their disallowance and pays the related income tax. While the Company believes it has adequate accruals for uncertain tax positions, the tax authorities may determine that the Company owes taxes in excess of recorded accruals or the recorded accruals may be in excess of the final settlement amounts agreed to by tax authorities.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- 94</w:t>
      </w:r>
    </w:p>
    <w:p>
      <w:pPr>
        <w:sectPr>
          <w:pgSz w:w="11900" w:h="16838" w:orient="portrait"/>
          <w:cols w:equalWidth="0" w:num="1">
            <w:col w:w="11420"/>
          </w:cols>
          <w:pgMar w:left="240" w:top="175" w:right="239" w:bottom="1440" w:gutter="0" w:footer="0" w:header="0"/>
          <w:type w:val="continuous"/>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sponsors a defined contribution plan, the Leidos, Inc. Retirement Plan, which is both a 401(k) plan and an employee stock ownership plan in which most employees are eligible to participate. This plan allows eligible participants to contribute a portion of their income through payroll deductions and the Company may also make discretionary contributions. Company contributions were $94 million for fiscal 2018 and 2017, and $68 million for fiscal 2016.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maintains three deferred compensation plans, the Keystaff Deferral Plan ("KDP"), the KESDP and the MSCP (the "Plans"), for the benefit of certain management or highly compensated employees or members of the Board of Directors. The deferred compensation plans allow eligible participants to elect to defer a portion of their salary, and all or a portion of certain bonuses, including restricted stock unit awards. Directors may also elect to defer their director fees and retainers in addition to their restricted stock unit awards. Deferred balances in the Plans are paid in lump sum or installments upon retirement, termination or the elected specified date.</w:t>
      </w:r>
    </w:p>
    <w:p>
      <w:pPr>
        <w:spacing w:after="0" w:line="9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makes no contributions to the KDP but maintains participant accounts for deferred amounts and investments. The Company maintains a rabbi trust for the purpose of funding benefit payments to the KDP participants. Participants may allocate deferred cash bonus amounts into a variety of designated investment options, with gains and losses based on the elected investment option performance with the participant assuming all risks related to future returns of their contributions.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KESDP, eligible participants may also elect to defer in share units all or a portion of certain cash bonuses and restricted stock unit awards granted under the previous 2006 Equity Incentive Plan and the current 2017 Omnibus Incentive Plan (see "Note 19—Stock-Based Compensation"). Under the MSCP, restricted stock share units that are deferred are fully vested and no further deferrals into the plan are made. The Company makes no contributions to the accounts of KESDP or MSCP participants. Benefits from the KESDP and MSCP are payable in shares of Leidos common stock held in a rabbi trust for the purpose of funding benefit payments to KESDP and MSCP participants.</w:t>
      </w:r>
    </w:p>
    <w:p>
      <w:pPr>
        <w:spacing w:after="0" w:line="9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Company sponsored a 401(k) Excess Deferral Plan ("Excess Plan") for the benefit of certain management or highly compensated employees that allowed participants to elect to defer up to 20% of their eligible salary once the participant had met the IRS contribution limit imposed on the Leidos, Inc. Retirement Plan. The Company made matching contributions to participants who received a reduced Company contribution in the Leidos, Inc. Retirement Plan due to the participant's deferral of salary into the Excess Plan which were included in the contributions expensed amount for defined contributions plans. This plan was frozen effective December 31, 2016.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sponsors a defined benefit pension plan in the United Kingdom for former employees on an expired customer contract. While benefits under the plan are frozen, the Company has continuing defined benefit pension obligations with respect to certain plan participants. In fiscal 2012, the Company sold certain components of its business, including the component of its business that contained this pension and employed the pension plan participants. Pursuant to the definitive sale agreement, the Company retained the assets and obligations of this defined benefit pension plan. As a result of retaining the pension obligation, the remaining immaterial components of ongoing pension expense, primarily interest costs and assumed return on plan assets subsequent to the sale, are recorded in continuing operations.</w:t>
      </w:r>
    </w:p>
    <w:p>
      <w:pPr>
        <w:spacing w:after="0" w:line="1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projected benefit obligation as of December 28, 2018, and December 29, 2017, was $103 million and $120 million, respectively. The decrease in the projected benefit obligation was primarily due to the impact of a stronger U.S. dollar, settlements during fiscal 2018 and a gain resulting from changes in assumptions used in the valuation.</w:t>
      </w:r>
    </w:p>
    <w:p>
      <w:pPr>
        <w:spacing w:after="0" w:line="9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fair value of plan assets as of December 28, 2018, and December 29, 2017, was $115 million and $129 million, respectively. The plan funding status was overfunded $12 million and $9 million as of December 28, 2018, and December 29, 2017, respectively, and included in other assets.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- 95</w:t>
      </w:r>
    </w:p>
    <w:p>
      <w:pPr>
        <w:sectPr>
          <w:pgSz w:w="11900" w:h="16838" w:orient="portrait"/>
          <w:cols w:equalWidth="0" w:num="1">
            <w:col w:w="11400"/>
          </w:cols>
          <w:pgMar w:left="240" w:top="175" w:right="2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also sponsors a defined benefit pension plan for employees working on one U.S. government contract. As part of the contractual agreement, the customer reimburses the Company for contributions made to the plan that are allowable under government contract cost accounting requirements. If the Company were to cease being the contractor as a result of a recompetition process, this defined benefit pension plan and related plan assets and liabilities would transfer to the new contractor. If the contract expires or is terminated with no transfer of the plan to a successor contractor, any amount by which plan liabilities exceed plan assets, as of that date, will be reimbursed by the U.S. government customer. Since the Company is not responsible for the current or future funded status of this plan, no assets or liabilities arising from its funded status are recorded in the Company's consolidated financial statements and no amounts associated with this plan are included in the defined benefit plan disclosures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22—Leases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occupies most of its facilities under operating leases. Most of the leases require the Company to pay maintenance and operating expenses such as taxes, insurance and utilities and also contain renewal options to extend the lease and provisions for periodic rate escalations to reflect inflationary increases. Certain equipment is leased under short-term or cancelable operating leases. Rental expense for facilities and equipment for the periods presented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rental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107</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sublease income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rental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rental expense from fiscal 2016 to fiscal 2017 was primarily due to the acquisition of the IS&amp;GS Business.</w:t>
      </w:r>
    </w:p>
    <w:p>
      <w:pPr>
        <w:spacing w:after="0" w:line="11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Future minimum lease commitments and sublease receipts, under non-cancelable operating leases in effect at December 28, 2018,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rPr>
              <w:t>Operating lease</w:t>
            </w:r>
          </w:p>
        </w:tc>
        <w:tc>
          <w:tcPr>
            <w:tcW w:w="36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color w:val="auto"/>
              </w:rPr>
              <w:t>Sublease</w:t>
            </w:r>
          </w:p>
        </w:tc>
      </w:tr>
      <w:tr>
        <w:trPr>
          <w:trHeight w:val="178"/>
        </w:trPr>
        <w:tc>
          <w:tcPr>
            <w:tcW w:w="8560" w:type="dxa"/>
            <w:vAlign w:val="bottom"/>
            <w:gridSpan w:val="2"/>
          </w:tcPr>
          <w:p>
            <w:pPr>
              <w:ind w:left="40"/>
              <w:spacing w:after="0"/>
              <w:rPr>
                <w:sz w:val="20"/>
                <w:szCs w:val="20"/>
                <w:color w:val="auto"/>
              </w:rPr>
            </w:pPr>
            <w:r>
              <w:rPr>
                <w:rFonts w:ascii="Arial" w:cs="Arial" w:eastAsia="Arial" w:hAnsi="Arial"/>
                <w:sz w:val="14"/>
                <w:szCs w:val="14"/>
                <w:color w:val="auto"/>
              </w:rPr>
              <w:t>Fiscal Year Ending</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rPr>
              <w:t>commitment</w:t>
            </w:r>
          </w:p>
        </w:tc>
        <w:tc>
          <w:tcPr>
            <w:tcW w:w="360" w:type="dxa"/>
            <w:vAlign w:val="bottom"/>
          </w:tcPr>
          <w:p>
            <w:pPr>
              <w:spacing w:after="0"/>
              <w:rPr>
                <w:sz w:val="15"/>
                <w:szCs w:val="15"/>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color w:val="auto"/>
              </w:rPr>
              <w:t>receipts</w:t>
            </w:r>
          </w:p>
        </w:tc>
      </w:tr>
      <w:tr>
        <w:trPr>
          <w:trHeight w:val="250"/>
        </w:trPr>
        <w:tc>
          <w:tcPr>
            <w:tcW w:w="8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21"/>
                <w:szCs w:val="2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2024 and thereafter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2018, the Company had capital lease obligations of $3 million that are payable over the next year (see "Note 15—Debt").</w:t>
      </w:r>
    </w:p>
    <w:p>
      <w:pPr>
        <w:spacing w:after="0" w:line="11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January 24, 2018, the Company entered into a lease agreement with its current lessor for office space in a building to be constructed to function as the Company's new corporate headquarters in Reston, Virginia. The Company will occupy the space for an initial term of 148 months and rent expense will be $11 million for the first lease year, with an annual rent expense increase of 2.5%. The Company currently expects construction to be completed and to take occupancy of the building by April 1, 2020, at which point the Company's lease agreements for its current corporate headquarters will terminate.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- 96</w:t>
      </w:r>
    </w:p>
    <w:p>
      <w:pPr>
        <w:sectPr>
          <w:pgSz w:w="11900" w:h="16838" w:orient="portrait"/>
          <w:cols w:equalWidth="0" w:num="1">
            <w:col w:w="11420"/>
          </w:cols>
          <w:pgMar w:left="240" w:top="175"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and Leaseback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Headquarters</w:t>
      </w:r>
    </w:p>
    <w:p>
      <w:pPr>
        <w:spacing w:after="0" w:line="1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On May 3, 2013, the Company entered into a purchase and sale agreement relating to the sale of approximately 18 acres of land in Fairfax County, Virginia, including four office buildings, a multi-level parking garage, surface parking lots and other related improvements and structures, as well as tangible personal property and third-party leases.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31, 2015, the Company entered into an amendment to the original purchase and sale agreement and subsequently, in December 2015, closed the sale of the remaining building, parcels of land that surround the building and the multi-level surface parking garage for a net purchase consideration of $95 million. The closing consideration consisted of a cash payment of $75 million and a promissory note (the "Note") of $20 million, net of discount of $5 million.</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Note matures on December 17, 2019 ("Maturity Date"), and accrues interest at 30-day LIBOR subject to a floor of 0.25% per annum, plus 0.50% over a four-year period. Interest will accrue daily and is not compounded to the outstanding principal balance. The total accumulated interest and principal will be paid in a lump sum on the Maturity Date. If prepayments are made towards the outstanding principal and interest balance prior to the maturity date, the Company will credit 60% of the accrued interest against the outstanding balance.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Properties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2018, the Company entered into and closed on a sales and leaseback agreement relating to two buildings and the adjacent land in San Diego, California for consideration of $79 million, net of selling costs. The Company received cash proceeds of $14 million and recognized a short-term receivable for the remaining $65 million of consideration. The sale of the properties is being accounted for as a financing transaction. The net consideration of $79 million was recorded as a note payable (see "Note 15—Debt") expected to be paid over the next 3 years.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- 97</w:t>
      </w:r>
    </w:p>
    <w:p>
      <w:pPr>
        <w:sectPr>
          <w:pgSz w:w="11900" w:h="16838" w:orient="portrait"/>
          <w:cols w:equalWidth="0" w:num="1">
            <w:col w:w="11380"/>
          </w:cols>
          <w:pgMar w:left="240" w:top="175" w:right="27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23—Supplementary Cash Flow Information and Restricted Cash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Supplementary cash flow information, including non-cash activities, for the periods presented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5"/>
                <w:szCs w:val="15"/>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color w:val="auto"/>
              </w:rPr>
              <w:t>December 29,</w:t>
            </w:r>
          </w:p>
        </w:tc>
        <w:tc>
          <w:tcPr>
            <w:tcW w:w="280" w:type="dxa"/>
            <w:vAlign w:val="bottom"/>
          </w:tcPr>
          <w:p>
            <w:pPr>
              <w:spacing w:after="0"/>
              <w:rPr>
                <w:sz w:val="15"/>
                <w:szCs w:val="15"/>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Supplementary cash flow information:</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90</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70</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324"/>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investing activity: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Stock issued for acquisition of the IS&amp;GS Business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2,938</w:t>
            </w:r>
          </w:p>
        </w:tc>
      </w:tr>
      <w:tr>
        <w:trPr>
          <w:trHeight w:val="331"/>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Non-cash financing activity:</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Real estate financing transaction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2"/>
                <w:szCs w:val="22"/>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and capital lease obligations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is a reconciliation of cash and cash equivalents, as reported within the consolidated balance sheets, to the total cash, cash equivalents and restricted cash, as reported within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December 29,</w:t>
            </w:r>
          </w:p>
        </w:tc>
      </w:tr>
      <w:tr>
        <w:trPr>
          <w:trHeight w:val="196"/>
        </w:trPr>
        <w:tc>
          <w:tcPr>
            <w:tcW w:w="8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2017</w:t>
            </w:r>
          </w:p>
        </w:tc>
      </w:tr>
      <w:tr>
        <w:trPr>
          <w:trHeight w:val="264"/>
        </w:trPr>
        <w:tc>
          <w:tcPr>
            <w:tcW w:w="8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00" w:type="dxa"/>
            <w:vAlign w:val="bottom"/>
            <w:gridSpan w:val="4"/>
          </w:tcPr>
          <w:p>
            <w:pPr>
              <w:jc w:val="right"/>
              <w:ind w:right="977"/>
              <w:spacing w:after="0"/>
              <w:rPr>
                <w:sz w:val="20"/>
                <w:szCs w:val="20"/>
                <w:color w:val="auto"/>
              </w:rPr>
            </w:pPr>
            <w:r>
              <w:rPr>
                <w:rFonts w:ascii="Arial" w:cs="Arial" w:eastAsia="Arial" w:hAnsi="Arial"/>
                <w:sz w:val="14"/>
                <w:szCs w:val="14"/>
                <w:color w:val="auto"/>
              </w:rPr>
              <w:t>(in millions)</w:t>
            </w:r>
          </w:p>
        </w:tc>
      </w:tr>
      <w:tr>
        <w:trPr>
          <w:trHeight w:val="27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390</w:t>
            </w: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w:t>
            </w:r>
          </w:p>
        </w:tc>
      </w:tr>
      <w:tr>
        <w:trPr>
          <w:trHeight w:val="257"/>
        </w:trPr>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422</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is recorded within "Other current assets" in the Company's consolidated balance sheets.</w:t>
      </w:r>
    </w:p>
    <w:p>
      <w:pPr>
        <w:spacing w:after="0" w:line="11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The restricted cash primarily comprises of advances from customers that are restricted as to use for certain expenditures related to that customer's contract.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- 98</w:t>
      </w:r>
    </w:p>
    <w:p>
      <w:pPr>
        <w:sectPr>
          <w:pgSz w:w="11900" w:h="16838" w:orient="portrait"/>
          <w:cols w:equalWidth="0" w:num="1">
            <w:col w:w="11420"/>
          </w:cols>
          <w:pgMar w:left="240" w:top="175"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24—Business Segments</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Company's operations and reportable segments are organized around the markets served and the nature of the products and services provided to customers in those markets. The Company defines its reportable segments based on the way the chief operating decision maker ("CODM"), currently its Chairman and Chief Executive Officer, manages the operations of the Company for purposes of allocating resources and assessing performance.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fiscal 2017, the Company completed its business reorganization, which resulted in identification of three reportable segments (Defense Solutions, Civil and Health). Additionally, the Company separately presents the costs associated with corporate functions as Corporate. The Company commenced operating and reporting under the new organization structure effective the beginning of fiscal 2017. The segment information for fiscal 2016 has been recast to reflect the Company's current reportable segments structure.</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Defense Solutions is focused on rapidly deploying agile, cost-effective solutions to meet the ever-changing missions of the Company's customers in the areas of intelligence surveillance and reconnaissance, enterprise IT, integrated systems, cybersecurity and global services. Defense Solutions provides a diverse portfolio of national security solutions and systems for air, land, sea, space and cyberspace for the U.S. Intelligence Community, the DoD, military services, DHS, government agencies of U.S. allies abroad and other federal, civilian and commercial customers in the national security industry. The Company's solutions deliver innovative technology, large-scale intelligence systems, command and control platforms, data analytics, logistics and cybersecurity solutions, as well as intelligence analysis and operations support to critical missions around the world.</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Civil business is focused on seamlessly integrating and protecting physical, digital and data domains. By applying leading science, effective technologies and business acumen, the Company's talented employees help customers maximize their performance and take on the connected world with data-driven insights, improved efficiencies and technological advantages.</w:t>
      </w:r>
    </w:p>
    <w:p>
      <w:pPr>
        <w:spacing w:after="0" w:line="9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Health business is focused on delivering effective and affordable solutions to federal and commercial customers that are responsible for the health and wellbeing of people worldwide including service members and veterans. These solutions enable customers to deliver on the health mission of providing high quality, cost effective care and are accomplished through the integration of information technology, engineering, health and life sciences, clinical insights and health policy. The capabilities the Health business provides are principally encapsulated by four major areas of activity: complex systems integration, managed health services, enterprise IT transformation and life sciences.</w:t>
      </w:r>
    </w:p>
    <w:p>
      <w:pPr>
        <w:spacing w:after="0" w:line="10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Corporate includes the operations of various corporate activities, certain corporate expense items that are not reimbursed by the Company's U.S. government customers and certain other expense items excluded from a reportable segment's performance.</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- 99</w:t>
      </w:r>
    </w:p>
    <w:p>
      <w:pPr>
        <w:sectPr>
          <w:pgSz w:w="11900" w:h="16838" w:orient="portrait"/>
          <w:cols w:equalWidth="0" w:num="1">
            <w:col w:w="11340"/>
          </w:cols>
          <w:pgMar w:left="240" w:top="175" w:right="31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business segment information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5"/>
                <w:szCs w:val="15"/>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December 30,</w:t>
            </w:r>
          </w:p>
        </w:tc>
      </w:tr>
      <w:tr>
        <w:trPr>
          <w:trHeight w:val="196"/>
        </w:trPr>
        <w:tc>
          <w:tcPr>
            <w:tcW w:w="6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r>
      <w:tr>
        <w:trPr>
          <w:trHeight w:val="250"/>
        </w:trPr>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Defense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4,948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3,843</w:t>
            </w:r>
          </w:p>
        </w:tc>
      </w:tr>
      <w:tr>
        <w:trPr>
          <w:trHeight w:val="257"/>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Civil</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2,082</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Health</w:t>
            </w:r>
          </w:p>
        </w:tc>
        <w:tc>
          <w:tcPr>
            <w:tcW w:w="1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1,817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1,117</w:t>
            </w: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90"/>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10,194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7,043</w:t>
            </w:r>
          </w:p>
        </w:tc>
      </w:tr>
      <w:tr>
        <w:trPr>
          <w:trHeight w:val="284"/>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Defense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Civil</w:t>
            </w:r>
          </w:p>
        </w:tc>
        <w:tc>
          <w:tcPr>
            <w:tcW w:w="1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146</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Health</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Defense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7"/>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Civil</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64"/>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Health</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amortization of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financial performance measures used to evaluate segment performance are revenues and operating income. As a result, "Interest expense, net," "Other expense, net," and "Income tax expense," as reported in the consolidated financial statements are not allocated to the Company's segments. Under U.S. government CAS, indirect costs including depreciation expense are collected in numerous indirect cost pools, which are then collectively allocated out to the Company’s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Company’s individual reportable segments. For this reason, depreciation expense by reportable segment has not been reported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Less than 10% of the Company's revenues and tangible long-lived assets are generated by or owned by entities outside of the United States (see "Note 4—Revenues" for international revenues by segment). As such, additional financial information by geographic location is not presented.</w:t>
      </w:r>
    </w:p>
    <w:p>
      <w:pPr>
        <w:spacing w:after="0" w:line="94"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The Company's revenues are largely attributable to prime contracts with the U.S. government or to subcontracts with other contractors engaged in work for the U.S. government. The percentages of total revenues for the U.S. government, its agencies and other customers comprising more than 10% of total revenues in any of the periods for the periods presented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Year Ended</w:t>
            </w:r>
          </w:p>
        </w:tc>
        <w:tc>
          <w:tcPr>
            <w:tcW w:w="1440" w:type="dxa"/>
            <w:vAlign w:val="bottom"/>
            <w:tcBorders>
              <w:bottom w:val="single" w:sz="8" w:color="auto"/>
            </w:tcBorders>
          </w:tcPr>
          <w:p>
            <w:pPr>
              <w:spacing w:after="0"/>
              <w:rPr>
                <w:sz w:val="15"/>
                <w:szCs w:val="15"/>
                <w:color w:val="auto"/>
              </w:rPr>
            </w:pPr>
          </w:p>
        </w:tc>
      </w:tr>
      <w:tr>
        <w:trPr>
          <w:trHeight w:val="175"/>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28,</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December 29,</w:t>
            </w:r>
          </w:p>
        </w:tc>
        <w:tc>
          <w:tcPr>
            <w:tcW w:w="1440" w:type="dxa"/>
            <w:vAlign w:val="bottom"/>
          </w:tcPr>
          <w:p>
            <w:pPr>
              <w:jc w:val="right"/>
              <w:ind w:right="197"/>
              <w:spacing w:after="0"/>
              <w:rPr>
                <w:sz w:val="20"/>
                <w:szCs w:val="20"/>
                <w:color w:val="auto"/>
              </w:rPr>
            </w:pPr>
            <w:r>
              <w:rPr>
                <w:rFonts w:ascii="Arial" w:cs="Arial" w:eastAsia="Arial" w:hAnsi="Arial"/>
                <w:sz w:val="14"/>
                <w:szCs w:val="14"/>
                <w:color w:val="auto"/>
              </w:rPr>
              <w:t>December 30,</w:t>
            </w:r>
          </w:p>
        </w:tc>
      </w:tr>
      <w:tr>
        <w:trPr>
          <w:trHeight w:val="196"/>
        </w:trPr>
        <w:tc>
          <w:tcPr>
            <w:tcW w:w="6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2016</w:t>
            </w:r>
          </w:p>
        </w:tc>
      </w:tr>
      <w:tr>
        <w:trPr>
          <w:trHeight w:val="256"/>
        </w:trPr>
        <w:tc>
          <w:tcPr>
            <w:tcW w:w="6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Government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U.S. DoD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7"/>
        </w:trPr>
        <w:tc>
          <w:tcPr>
            <w:tcW w:w="6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Army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- 100</w:t>
      </w:r>
    </w:p>
    <w:p>
      <w:pPr>
        <w:sectPr>
          <w:pgSz w:w="11900" w:h="16838" w:orient="portrait"/>
          <w:cols w:equalWidth="0" w:num="1">
            <w:col w:w="11420"/>
          </w:cols>
          <w:pgMar w:left="240" w:top="175" w:right="239" w:bottom="1440" w:gutter="0" w:footer="0" w:header="0"/>
          <w:type w:val="continuous"/>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MSA Joint Venture</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November 10, 2015, MSA received a final decision by the Department of Energy ("DoE") contracting officer for the Mission Support Contract concluding that certain payments to MSA by DoE for the performance of IT services by Lockheed Martin Services, Inc. (“LMSI”) under a subcontract to MSA constituted alleged affiliate fees in violation of the FAR. Lockheed Martin Integrated Technology LLC (now known as Leidos Integrated Technology LLC) is a member entity of MSA. Subsequent to the contracting officer's final decision, MSA, LMSI and Lockheed Martin Corporation received notice from the U.S. Attorney's Office for the Eastern District of Washington that the U.S. government had initiated a False Claims Act investigation into the facts surrounding this dispute, and each of MSA, LMSI and Lockheed Martin Corporation have produced information in response to Civil Investigative Demands from the U.S. Attorney's Office. On February 8, 2019, the U.S. Attorney's office filed a complaint in the United States District Court for the Eastern District of Washington against MSA, Lockheed Martin Corporation, Lockheed Martin Services, Inc. and a Lockheed Martin employee. The complain alleges violations of the False Claims Act, the Anti-Kickback Act, breach of contract with DoE, among other things. The U.S. Attorney's office had previously advised that a parallel criminal investigation was open, although no subjects or targets of the investigation had been identified. The U.S. Attorney's office has informed MSA that it has closed the criminal investigation.</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this issue first was raised by the DoE, MSA has asserted that the IT services performed by LMSI under a fixed-price/fixed-unit rate subcontract approved by the DoE meet the definition of a "commercial item" under the FAR and any profits earned on that subcontract are permissible. MSA filed an appeal of the contracting officer's decision with the Civilian Board of Contract Appeals and that appeal is pending, but has been stayed pending resolution of the False Claims Act investigation. Subsequent to the filing of MSA's appeal, the contracting officer demanded that MSA reimburse the DoE in the amount of $64 million, which was his estimate of the profits earned during the period from 2010 to 2014 by LMSI. The DoE has deferred collection of $ 32 million of that demand, pending resolution of the appeal and without prejudice to MSA's position that it is not liable for any of the DOE's $64 million reimbursement claim. The Company has agreed to indemnify Jacobs Group and Centerra Group, LLC for any liability MSA incurs in this matter. Under the terms of the Separation Agreement, Lockheed Martin agreed to indemnify the Company for 100% of any damages in excess of $38 million up to $64 million, and 50% of any damages in excess of $64 million, with respect to claims asserted against MSA related to this matter. At December 28, 2018, and December 29, 2017, the Company has a liability of $39 million and an indemnification asset of $1 million recorded in the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Between February and April 2012, alleged stockholders filed three putative securities class actions against the Company and several former executives relating to the Company's contract to develop and implement an automated time and attendance and workforce management system for certain agencies of the City of New York ("CityTime"). One case was withdrawn and two cases were consolidated in the U.S. District Court for the Southern District of New York in </w:t>
      </w:r>
      <w:r>
        <w:rPr>
          <w:rFonts w:ascii="Arial" w:cs="Arial" w:eastAsia="Arial" w:hAnsi="Arial"/>
          <w:sz w:val="18"/>
          <w:szCs w:val="18"/>
          <w:i w:val="1"/>
          <w:iCs w:val="1"/>
          <w:color w:val="auto"/>
        </w:rPr>
        <w:t>In Re: SAIC, Inc. Securities Litigation</w:t>
      </w:r>
      <w:r>
        <w:rPr>
          <w:rFonts w:ascii="Arial" w:cs="Arial" w:eastAsia="Arial" w:hAnsi="Arial"/>
          <w:sz w:val="18"/>
          <w:szCs w:val="18"/>
          <w:color w:val="auto"/>
        </w:rPr>
        <w:t>. The consolidated securities complaint asserted claims under Sections 10(b) and 20(a) of the Securities Exchange Act of 1934 based on allegations that the Company and individual defendants made misleading statements or omissions about the Company's revenues, operating income and internal controls in connection with disclosures relating to the CityTime project. The plaintiffs sought to recover from the Company and the individual defendants an unspecified amount of damages class members allegedly incurred by buying Leidos' stock at an inflated price. The District Court dismissed the plaintiffs' claims with prejudice and without leave to replead. The plaintiffs then appealed to the United States Court of Appeals for the Second Circuit, which issued an opinion affirming in part, and vacating in part, the District Court's ruling. The Company filed a petition for a writ of certiorari in the U.S. Supreme Court, which was granted on March 27, 2017. The District Court granted the Company's request to stay all proceedings, including discovery, pending the outcome at the Supreme Court. In September 2017, the parties engaged in mediation resulting in an agreement to settle all remaining claims for an immaterial amount to be paid by the Company. The amounts payable by the Company are covered by an insurance policy. The terms of the proposed settlement remain subject to court approval.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- 101</w:t>
      </w:r>
    </w:p>
    <w:p>
      <w:pPr>
        <w:sectPr>
          <w:pgSz w:w="11900" w:h="16838" w:orient="portrait"/>
          <w:cols w:equalWidth="0" w:num="1">
            <w:col w:w="11420"/>
          </w:cols>
          <w:pgMar w:left="240" w:top="175"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 Government Contract</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2003, the Company entered into an FFP contract with the Hellenic Republic of Greece to provide a Command, Control, Communications, Coordination and Integration System. The Greek government disputed the contract balance owed to the Company and has not paid the Company's final invoice. In 2013, the Company received an arbitral award by the International Chamber of Commerce for €39 million, which has not been satisfied. In January 2017, the U.S. District Court granted an order to enforce the arbitration award and entered judgment in the Company's favor. The Company has commenced enforcement proceedings against the Greek government in several jurisdictions. Separately, the Greek government has sought to annul the award through separate litigation in the Greek courts, and such a challenge is currently pending. Based on the complex nature of this contractual situation and the difficulties encountered to date, significant uncertainties exist and the Company is unable to reliably estimate the ultimate outcome.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Arbitration Proceeding</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is a party to an arbitration proceeding involving a claim by Lockheed Martin for indemnification for $56 million in taxes attributable to deferred revenue recognized as a result of the Transactions. Based on the arguments advanced to date, the Company believes that the claim appears to be without merit and intends to vigorously defend itself in arbitration. The Company does not believe that a material loss is probable, and has therefore not recorded any liability for this matter. We expect a final decision by the arbitration panel to be issued during the first half of fiscal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is also involved in various claims and lawsuits arising in the normal conduct of its business, none of which, in the opinion of the Company's management, based upon current information, will likely have a material adverse effect on the Company's consolidated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VirnetX, Inc.</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September 29, 2017, the federal trial court in the Eastern District of Texas entered a final judgment in the VirnetX v. Apple case referred to as the Apple I case. The court found that Apple willfully infringed the VirnetX patents at issue in the Apple I case and awarded enhanced damages, bringing the total award against Apple to over $343 million in pre-interest damages. The court subsequently awarded an additional sum of over $ 96 million for costs, attorneys' fees and interest, bringing the total award to VirnetX in the Apple I case to over $439 million. Apple appealed the judgment in the Apple I case with the U.S. Court of Appeals for the Federal Circuit and on January 15, 2019, the court affirmed the $439 million judgment. It is expected that Apple will appeal this decision.</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April 10, 2018, a jury trial concluded in an additional patent infringement case brought by VirnetX against Apple, referred to as the Apple II case, in which the jury returned a verdict against Apple for infringement and awarded VirnetX damages in the amount of over $ 502 million. On April 11, 2018, in a second phase of the Apple II trial, the jury found Apple's infringement to be willful. On August 30, 2018, the federal trial court in the Eastern District of Texas entered a final judgment and rulings on post-trial motions in the Apple II case. The court affirmed the jury’s verdict of over $502 million and granted VirnetX’s motions for supplemental damages, a sunset royalty and royalty rate of $1.20 per infringing device, along with pre-judgment and post-judgment interest and costs. The court denied VirnetX’s motions for enhanced damages, attorneys’ fees and an injunction. The court also denied Apple’s motions for judgment as a matter of law and for a new trial. An additional sum of over $93 million for costs and pre-judgment interest was subsequently agreed upon pursuant to a court order, bringing the total award to VirnetX in the Apple II case to over $595 million. Apple has filed an appeal of the judgment in the Apple II case with the U.S. Court of Appeals for the Federal Circuit.</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its agreements with VirnetX, the Company would receive 25% of the proceeds obtained by VirnetX after reduction for attorneys' fees and costs. However, the verdicts in these cases remain subject to appeal. In addition, the patents at issue in these cases are subject to U.S. Patent and Trademark Office post-grant inter partes review and/or reexamination proceedings and related appeals, which may result in all or part of these patents being invalidated or the claims of the patents being limited. Thus, no assurances can be given when or if the Company will receive any proceeds in connection with these jury awards. In addition, if the Company receives any proceeds, the Company is required to pay a royalty to the customer who paid for the development of the technology.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- 102</w:t>
      </w:r>
    </w:p>
    <w:p>
      <w:pPr>
        <w:sectPr>
          <w:pgSz w:w="11900" w:h="16838" w:orient="portrait"/>
          <w:cols w:equalWidth="0" w:num="1">
            <w:col w:w="11420"/>
          </w:cols>
          <w:pgMar w:left="240" w:top="175"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980"/>
        <w:spacing w:after="0" w:line="375" w:lineRule="auto"/>
        <w:rPr>
          <w:sz w:val="20"/>
          <w:szCs w:val="20"/>
          <w:color w:val="auto"/>
        </w:rPr>
      </w:pPr>
      <w:r>
        <w:rPr>
          <w:rFonts w:ascii="Arial" w:cs="Arial" w:eastAsia="Arial" w:hAnsi="Arial"/>
          <w:sz w:val="18"/>
          <w:szCs w:val="18"/>
          <w:color w:val="auto"/>
        </w:rPr>
        <w:t xml:space="preserve">The Company does not have any assets or liabilities recorded in connection with this matter as of December 28, 2018. </w:t>
      </w:r>
      <w:r>
        <w:rPr>
          <w:rFonts w:ascii="Arial" w:cs="Arial" w:eastAsia="Arial" w:hAnsi="Arial"/>
          <w:sz w:val="18"/>
          <w:szCs w:val="18"/>
          <w:i w:val="1"/>
          <w:iCs w:val="1"/>
          <w:color w:val="auto"/>
        </w:rPr>
        <w:t>Government Investigations and Reviews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to its role as a contractor to federal, state and local government customers and in connection with performing services in countries outside of the United States. Adverse findings could have a material effect on the Company's business, financial position, results of operations and cash flows due to its reliance on government contracts.</w:t>
      </w:r>
    </w:p>
    <w:p>
      <w:pPr>
        <w:spacing w:after="0" w:line="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fiscal 2018, pursuant to the resolution of certain government accounting matters, including audits by the DCAA, the Company recorded a net reduction of $19 million to its accrued liabilities.</w:t>
      </w:r>
    </w:p>
    <w:p>
      <w:pPr>
        <w:spacing w:after="0" w:line="8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December 28, 2018, indirect cost audits by the DCAA remain open for fiscal 2013 and subsequent fiscal years. Although the Company has recorded contract revenues based upon an estimate of costs that the Company believes will be approved upon final audit or review, the Company cannot predict the outcome of any ongoing or future audits or reviews and adjustments and, if future adjustments exceed the Company's estimates, its profitability would be adversely affected.</w:t>
      </w:r>
    </w:p>
    <w:p>
      <w:pPr>
        <w:spacing w:after="0" w:line="96"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color w:val="auto"/>
        </w:rPr>
        <w:t xml:space="preserve">As of December 28, 2018, the Company believes it has adequately reserved for potential adjustments from audits or reviews of contract costs. </w:t>
      </w:r>
      <w:r>
        <w:rPr>
          <w:rFonts w:ascii="Arial" w:cs="Arial" w:eastAsia="Arial" w:hAnsi="Arial"/>
          <w:sz w:val="18"/>
          <w:szCs w:val="18"/>
          <w:b w:val="1"/>
          <w:bCs w:val="1"/>
          <w:color w:val="auto"/>
        </w:rPr>
        <w:t>Note 26—Commitments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has outstanding letters of credit of $73 million as of December 28, 2018, principally related to performance guarantees on contracts. The Company also has outstanding surety bonds with net exposure of $44 million as of December 28, 2018, principally related to performance and subcontractor payment bonds on the Company's contracts. The outstanding letters of credit and surety bonds have various terms with the majority expiring over the next three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27—Subsequent Events</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On December 31, 2018, the Company closed the sales agreement relating to the sale and leaseback of the building and land at its Gaithersburg, Maryland property. The Company received proceeds of $31 million, net of selling costs, for the property, which had a carrying value of $31 million at closing.</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- 103</w:t>
      </w:r>
    </w:p>
    <w:p>
      <w:pPr>
        <w:sectPr>
          <w:pgSz w:w="11900" w:h="16838" w:orient="portrait"/>
          <w:cols w:equalWidth="0" w:num="1">
            <w:col w:w="11400"/>
          </w:cols>
          <w:pgMar w:left="240" w:top="175" w:right="25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(unaudited) for the periods presented was as follows:</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Fiscal 2018</w:t>
      </w:r>
      <w:r>
        <w:rPr>
          <w:rFonts w:ascii="Arial" w:cs="Arial" w:eastAsia="Arial" w:hAnsi="Arial"/>
          <w:sz w:val="18"/>
          <w:szCs w:val="18"/>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73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Leidos common stockholders</w:t>
      </w:r>
    </w:p>
    <w:p>
      <w:pPr>
        <w:spacing w:after="0" w:line="63" w:lineRule="exact"/>
        <w:rPr>
          <w:sz w:val="20"/>
          <w:szCs w:val="20"/>
          <w:color w:val="auto"/>
        </w:rPr>
      </w:pPr>
    </w:p>
    <w:p>
      <w:pPr>
        <w:ind w:left="40" w:right="380"/>
        <w:spacing w:after="0" w:line="261" w:lineRule="auto"/>
        <w:rPr>
          <w:sz w:val="20"/>
          <w:szCs w:val="20"/>
          <w:color w:val="auto"/>
        </w:rPr>
      </w:pPr>
      <w:r>
        <w:rPr>
          <w:rFonts w:ascii="Arial" w:cs="Arial" w:eastAsia="Arial" w:hAnsi="Arial"/>
          <w:sz w:val="18"/>
          <w:szCs w:val="18"/>
          <w:color w:val="auto"/>
        </w:rPr>
        <w:t>Basic earnings per share attributable to Leidos common stockholders</w:t>
      </w:r>
      <w:r>
        <w:rPr>
          <w:rFonts w:ascii="Arial" w:cs="Arial" w:eastAsia="Arial" w:hAnsi="Arial"/>
          <w:sz w:val="18"/>
          <w:szCs w:val="18"/>
          <w:color w:val="auto"/>
          <w:vertAlign w:val="superscript"/>
        </w:rPr>
        <w:t>(3)</w:t>
      </w:r>
    </w:p>
    <w:p>
      <w:pPr>
        <w:spacing w:after="0" w:line="9" w:lineRule="exact"/>
        <w:rPr>
          <w:sz w:val="20"/>
          <w:szCs w:val="20"/>
          <w:color w:val="auto"/>
        </w:rPr>
      </w:pPr>
    </w:p>
    <w:p>
      <w:pPr>
        <w:ind w:left="40" w:right="260"/>
        <w:spacing w:after="0" w:line="261" w:lineRule="auto"/>
        <w:rPr>
          <w:sz w:val="20"/>
          <w:szCs w:val="20"/>
          <w:color w:val="auto"/>
        </w:rPr>
      </w:pPr>
      <w:r>
        <w:rPr>
          <w:rFonts w:ascii="Arial" w:cs="Arial" w:eastAsia="Arial" w:hAnsi="Arial"/>
          <w:sz w:val="18"/>
          <w:szCs w:val="18"/>
          <w:color w:val="auto"/>
        </w:rPr>
        <w:t>Diluted earnings per share attributable to Leidos common stockholders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3473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Fiscal 2017</w:t>
      </w:r>
      <w:r>
        <w:rPr>
          <w:rFonts w:ascii="Arial" w:cs="Arial" w:eastAsia="Arial" w:hAnsi="Arial"/>
          <w:sz w:val="18"/>
          <w:szCs w:val="18"/>
          <w:i w:val="1"/>
          <w:iCs w:val="1"/>
          <w:color w:val="auto"/>
          <w:vertAlign w:val="superscript"/>
        </w:rPr>
        <w:t>(2)</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Leidos common stockholders</w:t>
      </w:r>
    </w:p>
    <w:p>
      <w:pPr>
        <w:spacing w:after="0" w:line="50" w:lineRule="exact"/>
        <w:rPr>
          <w:sz w:val="20"/>
          <w:szCs w:val="20"/>
          <w:color w:val="auto"/>
        </w:rPr>
      </w:pPr>
    </w:p>
    <w:p>
      <w:pPr>
        <w:ind w:left="200" w:right="380" w:hanging="161"/>
        <w:spacing w:after="0" w:line="261" w:lineRule="auto"/>
        <w:rPr>
          <w:sz w:val="20"/>
          <w:szCs w:val="20"/>
          <w:color w:val="auto"/>
        </w:rPr>
      </w:pPr>
      <w:r>
        <w:rPr>
          <w:rFonts w:ascii="Arial" w:cs="Arial" w:eastAsia="Arial" w:hAnsi="Arial"/>
          <w:sz w:val="18"/>
          <w:szCs w:val="18"/>
          <w:color w:val="auto"/>
        </w:rPr>
        <w:t>Basic earnings per share attributable to Leidos common stockholders</w:t>
      </w:r>
      <w:r>
        <w:rPr>
          <w:rFonts w:ascii="Arial" w:cs="Arial" w:eastAsia="Arial" w:hAnsi="Arial"/>
          <w:sz w:val="18"/>
          <w:szCs w:val="18"/>
          <w:color w:val="auto"/>
          <w:vertAlign w:val="superscript"/>
        </w:rPr>
        <w:t>(3)</w:t>
      </w:r>
    </w:p>
    <w:p>
      <w:pPr>
        <w:spacing w:after="0" w:line="9" w:lineRule="exact"/>
        <w:rPr>
          <w:sz w:val="20"/>
          <w:szCs w:val="20"/>
          <w:color w:val="auto"/>
        </w:rPr>
      </w:pPr>
    </w:p>
    <w:p>
      <w:pPr>
        <w:ind w:left="200" w:right="260" w:hanging="161"/>
        <w:spacing w:after="0" w:line="261" w:lineRule="auto"/>
        <w:rPr>
          <w:sz w:val="20"/>
          <w:szCs w:val="20"/>
          <w:color w:val="auto"/>
        </w:rPr>
      </w:pPr>
      <w:r>
        <w:rPr>
          <w:rFonts w:ascii="Arial" w:cs="Arial" w:eastAsia="Arial" w:hAnsi="Arial"/>
          <w:sz w:val="18"/>
          <w:szCs w:val="18"/>
          <w:color w:val="auto"/>
        </w:rPr>
        <w:t>Diluted earnings per share attributable to Leidos common stockholders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704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160" w:type="dxa"/>
            <w:vAlign w:val="bottom"/>
          </w:tcPr>
          <w:p>
            <w:pPr>
              <w:jc w:val="center"/>
              <w:ind w:right="194"/>
              <w:spacing w:after="0"/>
              <w:rPr>
                <w:sz w:val="20"/>
                <w:szCs w:val="20"/>
                <w:color w:val="auto"/>
              </w:rPr>
            </w:pPr>
            <w:r>
              <w:rPr>
                <w:rFonts w:ascii="Arial" w:cs="Arial" w:eastAsia="Arial" w:hAnsi="Arial"/>
                <w:sz w:val="14"/>
                <w:szCs w:val="14"/>
                <w:color w:val="auto"/>
              </w:rPr>
              <w:t>March 30,</w:t>
            </w:r>
          </w:p>
        </w:tc>
        <w:tc>
          <w:tcPr>
            <w:tcW w:w="26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color w:val="auto"/>
              </w:rPr>
              <w:t>June 29,</w:t>
            </w:r>
          </w:p>
        </w:tc>
        <w:tc>
          <w:tcPr>
            <w:tcW w:w="260" w:type="dxa"/>
            <w:vAlign w:val="bottom"/>
          </w:tcPr>
          <w:p>
            <w:pPr>
              <w:spacing w:after="0"/>
              <w:rPr>
                <w:sz w:val="14"/>
                <w:szCs w:val="14"/>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color w:val="auto"/>
              </w:rPr>
              <w:t>September 28,</w:t>
            </w:r>
          </w:p>
        </w:tc>
        <w:tc>
          <w:tcPr>
            <w:tcW w:w="280" w:type="dxa"/>
            <w:vAlign w:val="bottom"/>
          </w:tcPr>
          <w:p>
            <w:pPr>
              <w:spacing w:after="0"/>
              <w:rPr>
                <w:sz w:val="14"/>
                <w:szCs w:val="14"/>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color w:val="auto"/>
              </w:rPr>
              <w:t>December 28,</w:t>
            </w:r>
          </w:p>
        </w:tc>
      </w:tr>
      <w:tr>
        <w:trPr>
          <w:trHeight w:val="178"/>
        </w:trPr>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2018</w:t>
            </w:r>
          </w:p>
        </w:tc>
      </w:tr>
      <w:tr>
        <w:trPr>
          <w:trHeight w:val="244"/>
        </w:trPr>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gridSpan w:val="3"/>
          </w:tcPr>
          <w:p>
            <w:pPr>
              <w:jc w:val="center"/>
              <w:ind w:right="54"/>
              <w:spacing w:after="0"/>
              <w:rPr>
                <w:sz w:val="20"/>
                <w:szCs w:val="20"/>
                <w:color w:val="auto"/>
              </w:rPr>
            </w:pPr>
            <w:r>
              <w:rPr>
                <w:rFonts w:ascii="Arial" w:cs="Arial" w:eastAsia="Arial" w:hAnsi="Arial"/>
                <w:sz w:val="14"/>
                <w:szCs w:val="14"/>
                <w:color w:val="auto"/>
              </w:rPr>
              <w:t>(in millions, except per share amounts)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39"/>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2,443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2,529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2,575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2,647</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159</w:t>
            </w:r>
          </w:p>
        </w:tc>
        <w:tc>
          <w:tcPr>
            <w:tcW w:w="2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199</w:t>
            </w:r>
          </w:p>
        </w:tc>
        <w:tc>
          <w:tcPr>
            <w:tcW w:w="26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203</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188</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145</w:t>
            </w:r>
          </w:p>
        </w:tc>
        <w:tc>
          <w:tcPr>
            <w:tcW w:w="26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188</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144</w:t>
            </w:r>
          </w:p>
        </w:tc>
        <w:tc>
          <w:tcPr>
            <w:tcW w:w="26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188</w:t>
            </w:r>
          </w:p>
        </w:tc>
      </w:tr>
      <w:tr>
        <w:trPr>
          <w:trHeight w:val="459"/>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0.67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0.95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0.97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1.27</w:t>
            </w:r>
          </w:p>
        </w:tc>
      </w:tr>
      <w:tr>
        <w:trPr>
          <w:trHeight w:val="459"/>
        </w:trPr>
        <w:tc>
          <w:tcPr>
            <w:tcW w:w="24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auto"/>
              </w:rPr>
              <w:t>0.66</w:t>
            </w:r>
          </w:p>
        </w:tc>
        <w:tc>
          <w:tcPr>
            <w:tcW w:w="260" w:type="dxa"/>
            <w:vAlign w:val="bottom"/>
          </w:tcPr>
          <w:p>
            <w:pPr>
              <w:spacing w:after="0"/>
              <w:rPr>
                <w:sz w:val="24"/>
                <w:szCs w:val="24"/>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0.94</w:t>
            </w:r>
          </w:p>
        </w:tc>
        <w:tc>
          <w:tcPr>
            <w:tcW w:w="26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0.96</w:t>
            </w:r>
          </w:p>
        </w:tc>
        <w:tc>
          <w:tcPr>
            <w:tcW w:w="28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1.25</w:t>
            </w:r>
          </w:p>
        </w:tc>
      </w:tr>
      <w:tr>
        <w:trPr>
          <w:trHeight w:val="278"/>
        </w:trPr>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color w:val="auto"/>
              </w:rPr>
              <w:t>Three Months Ended</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3"/>
        </w:trPr>
        <w:tc>
          <w:tcPr>
            <w:tcW w:w="240" w:type="dxa"/>
            <w:vAlign w:val="bottom"/>
          </w:tcPr>
          <w:p>
            <w:pPr>
              <w:spacing w:after="0"/>
              <w:rPr>
                <w:sz w:val="16"/>
                <w:szCs w:val="16"/>
                <w:color w:val="auto"/>
              </w:rPr>
            </w:pPr>
          </w:p>
        </w:tc>
        <w:tc>
          <w:tcPr>
            <w:tcW w:w="1160" w:type="dxa"/>
            <w:vAlign w:val="bottom"/>
          </w:tcPr>
          <w:p>
            <w:pPr>
              <w:jc w:val="center"/>
              <w:ind w:right="194"/>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color w:val="auto"/>
              </w:rPr>
              <w:t>June 30,</w:t>
            </w:r>
          </w:p>
        </w:tc>
        <w:tc>
          <w:tcPr>
            <w:tcW w:w="260" w:type="dxa"/>
            <w:vAlign w:val="bottom"/>
          </w:tcPr>
          <w:p>
            <w:pPr>
              <w:spacing w:after="0"/>
              <w:rPr>
                <w:sz w:val="16"/>
                <w:szCs w:val="16"/>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color w:val="auto"/>
              </w:rPr>
              <w:t>September 29,</w:t>
            </w:r>
          </w:p>
        </w:tc>
        <w:tc>
          <w:tcPr>
            <w:tcW w:w="280" w:type="dxa"/>
            <w:vAlign w:val="bottom"/>
          </w:tcPr>
          <w:p>
            <w:pPr>
              <w:spacing w:after="0"/>
              <w:rPr>
                <w:sz w:val="16"/>
                <w:szCs w:val="16"/>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color w:val="auto"/>
              </w:rPr>
              <w:t>December 29,</w:t>
            </w:r>
          </w:p>
        </w:tc>
      </w:tr>
      <w:tr>
        <w:trPr>
          <w:trHeight w:val="178"/>
        </w:trPr>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2017</w:t>
            </w:r>
          </w:p>
        </w:tc>
      </w:tr>
      <w:tr>
        <w:trPr>
          <w:trHeight w:val="244"/>
        </w:trPr>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gridSpan w:val="3"/>
          </w:tcPr>
          <w:p>
            <w:pPr>
              <w:jc w:val="center"/>
              <w:ind w:right="54"/>
              <w:spacing w:after="0"/>
              <w:rPr>
                <w:sz w:val="20"/>
                <w:szCs w:val="20"/>
                <w:color w:val="auto"/>
              </w:rPr>
            </w:pPr>
            <w:r>
              <w:rPr>
                <w:rFonts w:ascii="Arial" w:cs="Arial" w:eastAsia="Arial" w:hAnsi="Arial"/>
                <w:sz w:val="14"/>
                <w:szCs w:val="14"/>
                <w:color w:val="auto"/>
              </w:rPr>
              <w:t>(in millions, except per share amounts)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39"/>
        </w:trPr>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2,571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2,516</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113</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114</w:t>
            </w:r>
          </w:p>
        </w:tc>
      </w:tr>
      <w:tr>
        <w:trPr>
          <w:trHeight w:val="459"/>
        </w:trPr>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0.65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0.75</w:t>
            </w:r>
          </w:p>
        </w:tc>
      </w:tr>
      <w:tr>
        <w:trPr>
          <w:trHeight w:val="459"/>
        </w:trPr>
        <w:tc>
          <w:tcPr>
            <w:tcW w:w="24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260" w:type="dxa"/>
            <w:vAlign w:val="bottom"/>
          </w:tcPr>
          <w:p>
            <w:pPr>
              <w:spacing w:after="0"/>
              <w:rPr>
                <w:sz w:val="24"/>
                <w:szCs w:val="24"/>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0.64</w:t>
            </w:r>
          </w:p>
        </w:tc>
        <w:tc>
          <w:tcPr>
            <w:tcW w:w="26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-3463925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-3121025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-2778125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-2314575</wp:posOffset>
            </wp:positionV>
            <wp:extent cx="72466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-1431290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-1088390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-745490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-282575</wp:posOffset>
            </wp:positionV>
            <wp:extent cx="724662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860" w:space="720"/>
            <w:col w:w="5840"/>
          </w:cols>
          <w:pgMar w:left="240" w:top="175" w:right="239" w:bottom="1440" w:gutter="0" w:footer="0" w:header="0"/>
          <w:type w:val="continuous"/>
        </w:sectPr>
      </w:pPr>
    </w:p>
    <w:p>
      <w:pPr>
        <w:ind w:left="180" w:right="260" w:hanging="172"/>
        <w:spacing w:after="0" w:line="211" w:lineRule="auto"/>
        <w:tabs>
          <w:tab w:leader="none" w:pos="18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fiscal 2018 quarterly results include acquisition, integration and restructuring costs of $17 million, $8 million, $7 million, and $5 million in the first, second, third and fourth quarter, respectively. The fiscal 2018 first quarter results include a $7 million tangible asset impairment charge.</w:t>
      </w:r>
    </w:p>
    <w:p>
      <w:pPr>
        <w:ind w:left="180" w:right="380" w:hanging="172"/>
        <w:spacing w:after="0" w:line="211" w:lineRule="auto"/>
        <w:tabs>
          <w:tab w:leader="none" w:pos="18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fiscal 2017 quarterly results include acquisition, integration and restructuring costs of $32 million, $22 million, $27 million, and $58 million in the first, second, third, and fourth quarter, respectively. The fiscal 2017 fourth quarter results include a $33 million promissory note impairment charge.</w:t>
      </w:r>
    </w:p>
    <w:p>
      <w:pPr>
        <w:ind w:left="180" w:hanging="172"/>
        <w:spacing w:after="0" w:line="199" w:lineRule="auto"/>
        <w:tabs>
          <w:tab w:leader="none" w:pos="18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Earnings per share are computed independently for each of the quarters presented and therefore may not sum to the totals for fiscal 2018 and 2017.</w:t>
      </w:r>
    </w:p>
    <w:p>
      <w:pPr>
        <w:spacing w:after="0" w:line="71" w:lineRule="exact"/>
        <w:rPr>
          <w:sz w:val="20"/>
          <w:szCs w:val="20"/>
          <w:color w:val="auto"/>
        </w:rPr>
      </w:pPr>
    </w:p>
    <w:p>
      <w:pPr>
        <w:ind w:right="3060"/>
        <w:spacing w:after="0" w:line="41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- 104</w:t>
      </w:r>
    </w:p>
    <w:p>
      <w:pPr>
        <w:sectPr>
          <w:pgSz w:w="11900" w:h="16838" w:orient="portrait"/>
          <w:cols w:equalWidth="0" w:num="1">
            <w:col w:w="11420"/>
          </w:cols>
          <w:pgMar w:left="240" w:top="175" w:right="239" w:bottom="1440" w:gutter="0" w:footer="0" w:header="0"/>
          <w:type w:val="continuous"/>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(our Chairman and Chief Executive Officer) and principal financial officer (our Executive Vice President and Chief Financial Officer), has evaluated the effectiveness of our disclosure controls and procedures (as defined in Rules 13a-15(e) or 15d-15(e) under the Securities Exchange Act of 1934) as of December 28, 2018.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U.S. Securities Exchange Commission.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internal control over financial reporting that occurred in the fourth quarter of the period ended</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December 28, 2018, covered by this Annual Report that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has evaluated the effectiveness of our internal control over financial reporting as of December 28,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Our management has assessed the effectiveness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internal control over financial reporting as of December 28, 2018, and has concluded that our internal control over financial reporting as of that date was effective.</w:t>
      </w:r>
    </w:p>
    <w:p>
      <w:pPr>
        <w:spacing w:after="0" w:line="9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is set forth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- 105</w:t>
      </w:r>
    </w:p>
    <w:p>
      <w:pPr>
        <w:sectPr>
          <w:pgSz w:w="11900" w:h="16838" w:orient="portrait"/>
          <w:cols w:equalWidth="0" w:num="1">
            <w:col w:w="11400"/>
          </w:cols>
          <w:pgMar w:left="240" w:top="175" w:right="25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have audited the internal control over financial reporting of Leidos Holdings, Inc. and subsidiaries (the "Company") as of December 28,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28, 2018, based on criteria established in Internal Control — Integrated Framework (2013) issued by COSO.</w:t>
      </w:r>
    </w:p>
    <w:p>
      <w:pPr>
        <w:spacing w:after="0" w:line="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28, 2018, of the Company and our report dated February 19, 2019, expressed an unqualified opinion on those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Annual Report on Form 10-K.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- 106</w:t>
      </w:r>
    </w:p>
    <w:p>
      <w:pPr>
        <w:sectPr>
          <w:pgSz w:w="11900" w:h="16838" w:orient="portrait"/>
          <w:cols w:equalWidth="0" w:num="1">
            <w:col w:w="11420"/>
          </w:cols>
          <w:pgMar w:left="240" w:top="175"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5" w:lineRule="exact"/>
        <w:rPr>
          <w:sz w:val="20"/>
          <w:szCs w:val="20"/>
          <w:color w:val="auto"/>
        </w:rPr>
      </w:pPr>
    </w:p>
    <w:p>
      <w:pPr>
        <w:jc w:val="right"/>
        <w:ind w:right="2999"/>
        <w:spacing w:after="0"/>
        <w:rPr>
          <w:sz w:val="20"/>
          <w:szCs w:val="20"/>
          <w:color w:val="auto"/>
        </w:rPr>
      </w:pPr>
      <w:r>
        <w:rPr>
          <w:rFonts w:ascii="Arial" w:cs="Arial" w:eastAsia="Arial" w:hAnsi="Arial"/>
          <w:sz w:val="16"/>
          <w:szCs w:val="16"/>
          <w:color w:val="auto"/>
        </w:rPr>
        <w:t>Leidos Holdings, Inc. Annual Report - 107</w:t>
      </w:r>
    </w:p>
    <w:p>
      <w:pPr>
        <w:sectPr>
          <w:pgSz w:w="11900" w:h="16838" w:orient="portrait"/>
          <w:cols w:equalWidth="0" w:num="1">
            <w:col w:w="10219"/>
          </w:cols>
          <w:pgMar w:left="240" w:top="175" w:right="1440"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certain information required by Item 10 with respect to executive officers, see "Executive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2019 Proxy Statement, which required information is incorporated by reference into this Annual Report on Form 10-K.</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have adopted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8"/>
          <w:szCs w:val="18"/>
          <w:i w:val="1"/>
          <w:iCs w:val="1"/>
          <w:color w:val="auto"/>
        </w:rPr>
        <w:t>www.leidos.com</w:t>
      </w:r>
      <w:r>
        <w:rPr>
          <w:rFonts w:ascii="Arial" w:cs="Arial" w:eastAsia="Arial" w:hAnsi="Arial"/>
          <w:sz w:val="18"/>
          <w:szCs w:val="18"/>
          <w:color w:val="auto"/>
        </w:rPr>
        <w:t xml:space="preserve"> by clicking on the links entitled "Investors" then "Corporate Governance" and then "Code of Conduct." We intend to post on our website any material changes to or waivers from our code of business ethics. The information on our website is not incorporated by reference into and is not a part of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and director compensation, see the information set forth under the captions "Compensation Discussion and Analysis," "Executive Compensation" and "Corporate Governance" in the 2019 Proxy Statement, which is incorporated by reference into this Annual Report on Form 10-K.</w:t>
      </w:r>
    </w:p>
    <w:p>
      <w:pPr>
        <w:spacing w:after="0" w:line="9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2019 Proxy Statement, which is incorporated by reference into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2019 Proxy Statement, which is incorporated by reference into this Annual Report on Form 10-K.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equity compensation plans as of December 28, 2018, is set forth below:</w:t>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(a)</w:t>
            </w:r>
          </w:p>
        </w:tc>
        <w:tc>
          <w:tcPr>
            <w:tcW w:w="120" w:type="dxa"/>
            <w:vAlign w:val="bottom"/>
          </w:tcPr>
          <w:p>
            <w:pPr>
              <w:spacing w:after="0"/>
              <w:rPr>
                <w:sz w:val="14"/>
                <w:szCs w:val="14"/>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Number of securities</w:t>
            </w:r>
          </w:p>
        </w:tc>
        <w:tc>
          <w:tcPr>
            <w:tcW w:w="120" w:type="dxa"/>
            <w:vAlign w:val="bottom"/>
          </w:tcPr>
          <w:p>
            <w:pPr>
              <w:spacing w:after="0"/>
              <w:rPr>
                <w:sz w:val="14"/>
                <w:szCs w:val="14"/>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to be issued upon</w:t>
            </w:r>
          </w:p>
        </w:tc>
        <w:tc>
          <w:tcPr>
            <w:tcW w:w="120" w:type="dxa"/>
            <w:vAlign w:val="bottom"/>
          </w:tcPr>
          <w:p>
            <w:pPr>
              <w:spacing w:after="0"/>
              <w:rPr>
                <w:sz w:val="14"/>
                <w:szCs w:val="14"/>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exercise of</w:t>
            </w:r>
          </w:p>
        </w:tc>
        <w:tc>
          <w:tcPr>
            <w:tcW w:w="120" w:type="dxa"/>
            <w:vAlign w:val="bottom"/>
          </w:tcPr>
          <w:p>
            <w:pPr>
              <w:spacing w:after="0"/>
              <w:rPr>
                <w:sz w:val="14"/>
                <w:szCs w:val="14"/>
                <w:color w:val="auto"/>
              </w:rPr>
            </w:pPr>
          </w:p>
        </w:tc>
      </w:tr>
      <w:tr>
        <w:trPr>
          <w:trHeight w:val="16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outstanding options,</w:t>
            </w:r>
          </w:p>
        </w:tc>
        <w:tc>
          <w:tcPr>
            <w:tcW w:w="120" w:type="dxa"/>
            <w:vAlign w:val="bottom"/>
          </w:tcPr>
          <w:p>
            <w:pPr>
              <w:spacing w:after="0"/>
              <w:rPr>
                <w:sz w:val="14"/>
                <w:szCs w:val="14"/>
                <w:color w:val="auto"/>
              </w:rPr>
            </w:pPr>
          </w:p>
        </w:tc>
      </w:tr>
      <w:tr>
        <w:trPr>
          <w:trHeight w:val="17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36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warrants and rights</w:t>
            </w:r>
          </w:p>
        </w:tc>
        <w:tc>
          <w:tcPr>
            <w:tcW w:w="120" w:type="dxa"/>
            <w:vAlign w:val="bottom"/>
          </w:tcPr>
          <w:p>
            <w:pPr>
              <w:spacing w:after="0"/>
              <w:rPr>
                <w:sz w:val="15"/>
                <w:szCs w:val="15"/>
                <w:color w:val="auto"/>
              </w:rPr>
            </w:pPr>
          </w:p>
        </w:tc>
      </w:tr>
      <w:tr>
        <w:trPr>
          <w:trHeight w:val="256"/>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8"/>
                <w:szCs w:val="18"/>
                <w:color w:val="auto"/>
                <w:vertAlign w:val="superscript"/>
              </w:rPr>
              <w:t>(1)</w:t>
            </w:r>
          </w:p>
        </w:tc>
        <w:tc>
          <w:tcPr>
            <w:tcW w:w="1840" w:type="dxa"/>
            <w:vAlign w:val="bottom"/>
          </w:tcPr>
          <w:p>
            <w:pPr>
              <w:jc w:val="right"/>
              <w:ind w:right="62"/>
              <w:spacing w:after="0"/>
              <w:rPr>
                <w:sz w:val="20"/>
                <w:szCs w:val="20"/>
                <w:color w:val="auto"/>
              </w:rPr>
            </w:pPr>
            <w:r>
              <w:rPr>
                <w:rFonts w:ascii="Arial" w:cs="Arial" w:eastAsia="Arial" w:hAnsi="Arial"/>
                <w:sz w:val="18"/>
                <w:szCs w:val="18"/>
                <w:color w:val="auto"/>
              </w:rPr>
              <w:t>4,961,505</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(2)</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8"/>
                <w:szCs w:val="18"/>
                <w:color w:val="auto"/>
                <w:vertAlign w:val="superscript"/>
              </w:rPr>
              <w:t>(5)</w:t>
            </w: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4,961,505</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(2)</w:t>
            </w:r>
          </w:p>
        </w:tc>
      </w:tr>
      <w:tr>
        <w:trPr>
          <w:trHeight w:val="20"/>
        </w:trPr>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(c)</w:t>
            </w:r>
          </w:p>
        </w:tc>
      </w:tr>
      <w:tr>
        <w:trPr>
          <w:trHeight w:val="162"/>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rPr>
              <w:t>Number of securities</w:t>
            </w:r>
          </w:p>
        </w:tc>
      </w:tr>
      <w:tr>
        <w:trPr>
          <w:trHeight w:val="162"/>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rPr>
              <w:t>remaining available</w:t>
            </w:r>
          </w:p>
        </w:tc>
      </w:tr>
      <w:tr>
        <w:trPr>
          <w:trHeight w:val="162"/>
        </w:trPr>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(b)</w:t>
            </w:r>
          </w:p>
        </w:tc>
        <w:tc>
          <w:tcPr>
            <w:tcW w:w="340" w:type="dxa"/>
            <w:vAlign w:val="bottom"/>
          </w:tcPr>
          <w:p>
            <w:pPr>
              <w:spacing w:after="0"/>
              <w:rPr>
                <w:sz w:val="14"/>
                <w:szCs w:val="14"/>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4"/>
                <w:szCs w:val="14"/>
                <w:color w:val="auto"/>
              </w:rPr>
              <w:t>for future issuance</w:t>
            </w:r>
          </w:p>
        </w:tc>
      </w:tr>
      <w:tr>
        <w:trPr>
          <w:trHeight w:val="162"/>
        </w:trPr>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Weighted-average</w:t>
            </w:r>
          </w:p>
        </w:tc>
        <w:tc>
          <w:tcPr>
            <w:tcW w:w="34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rPr>
              <w:t>under equity</w:t>
            </w:r>
          </w:p>
        </w:tc>
      </w:tr>
      <w:tr>
        <w:trPr>
          <w:trHeight w:val="162"/>
        </w:trPr>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exercise price of</w:t>
            </w:r>
          </w:p>
        </w:tc>
        <w:tc>
          <w:tcPr>
            <w:tcW w:w="340" w:type="dxa"/>
            <w:vAlign w:val="bottom"/>
          </w:tcPr>
          <w:p>
            <w:pPr>
              <w:spacing w:after="0"/>
              <w:rPr>
                <w:sz w:val="14"/>
                <w:szCs w:val="14"/>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4"/>
                <w:szCs w:val="14"/>
                <w:color w:val="auto"/>
              </w:rPr>
              <w:t>compensation</w:t>
            </w:r>
          </w:p>
        </w:tc>
      </w:tr>
      <w:tr>
        <w:trPr>
          <w:trHeight w:val="162"/>
        </w:trPr>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outstanding</w:t>
            </w:r>
          </w:p>
        </w:tc>
        <w:tc>
          <w:tcPr>
            <w:tcW w:w="34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rPr>
              <w:t>plans (excluding</w:t>
            </w:r>
          </w:p>
        </w:tc>
      </w:tr>
      <w:tr>
        <w:trPr>
          <w:trHeight w:val="162"/>
        </w:trPr>
        <w:tc>
          <w:tcPr>
            <w:tcW w:w="1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color w:val="auto"/>
              </w:rPr>
              <w:t>options, warrants</w:t>
            </w:r>
          </w:p>
        </w:tc>
        <w:tc>
          <w:tcPr>
            <w:tcW w:w="34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rPr>
              <w:t>securities reflected</w:t>
            </w:r>
          </w:p>
        </w:tc>
      </w:tr>
      <w:tr>
        <w:trPr>
          <w:trHeight w:val="178"/>
        </w:trPr>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and rights</w:t>
            </w:r>
          </w:p>
        </w:tc>
        <w:tc>
          <w:tcPr>
            <w:tcW w:w="34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column (a))</w:t>
            </w:r>
          </w:p>
        </w:tc>
        <w:tc>
          <w:tcPr>
            <w:tcW w:w="140" w:type="dxa"/>
            <w:vAlign w:val="bottom"/>
          </w:tcPr>
          <w:p>
            <w:pPr>
              <w:spacing w:after="0"/>
              <w:rPr>
                <w:sz w:val="15"/>
                <w:szCs w:val="15"/>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2"/>
              <w:spacing w:after="0"/>
              <w:rPr>
                <w:sz w:val="20"/>
                <w:szCs w:val="20"/>
                <w:color w:val="auto"/>
              </w:rPr>
            </w:pPr>
            <w:r>
              <w:rPr>
                <w:rFonts w:ascii="Arial" w:cs="Arial" w:eastAsia="Arial" w:hAnsi="Arial"/>
                <w:sz w:val="18"/>
                <w:szCs w:val="18"/>
                <w:color w:val="auto"/>
              </w:rPr>
              <w:t>39.41</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xml:space="preserve">14,031,561  </w:t>
            </w:r>
            <w:r>
              <w:rPr>
                <w:rFonts w:ascii="Arial" w:cs="Arial" w:eastAsia="Arial" w:hAnsi="Arial"/>
                <w:sz w:val="8"/>
                <w:szCs w:val="8"/>
                <w:color w:val="auto"/>
              </w:rPr>
              <w:t>(4)</w:t>
            </w:r>
          </w:p>
        </w:tc>
      </w:tr>
      <w:tr>
        <w:trPr>
          <w:trHeight w:val="466"/>
        </w:trPr>
        <w:tc>
          <w:tcPr>
            <w:tcW w:w="180" w:type="dxa"/>
            <w:vAlign w:val="bottom"/>
          </w:tcPr>
          <w:p>
            <w:pPr>
              <w:spacing w:after="0"/>
              <w:rPr>
                <w:sz w:val="24"/>
                <w:szCs w:val="24"/>
                <w:color w:val="auto"/>
              </w:rPr>
            </w:pPr>
          </w:p>
        </w:tc>
        <w:tc>
          <w:tcPr>
            <w:tcW w:w="1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(5)</w:t>
            </w:r>
          </w:p>
        </w:tc>
      </w:tr>
      <w:tr>
        <w:trPr>
          <w:trHeight w:val="25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39.41</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(3)</w:t>
            </w:r>
          </w:p>
        </w:tc>
        <w:tc>
          <w:tcPr>
            <w:tcW w:w="18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14,031,561</w:t>
            </w:r>
          </w:p>
        </w:tc>
        <w:tc>
          <w:tcPr>
            <w:tcW w:w="140" w:type="dxa"/>
            <w:vAlign w:val="bottom"/>
          </w:tcPr>
          <w:p>
            <w:pPr>
              <w:spacing w:after="0"/>
              <w:rPr>
                <w:sz w:val="21"/>
                <w:szCs w:val="2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9" w:lineRule="exact"/>
        <w:rPr>
          <w:sz w:val="20"/>
          <w:szCs w:val="20"/>
          <w:color w:val="auto"/>
        </w:rPr>
      </w:pPr>
    </w:p>
    <w:p>
      <w:pPr>
        <w:sectPr>
          <w:pgSz w:w="11900" w:h="16838" w:orient="portrait"/>
          <w:cols w:equalWidth="0" w:num="2">
            <w:col w:w="7120" w:space="200"/>
            <w:col w:w="4100"/>
          </w:cols>
          <w:pgMar w:left="240" w:top="175" w:right="239" w:bottom="1440" w:gutter="0" w:footer="0" w:header="0"/>
          <w:type w:val="continuous"/>
        </w:sectPr>
      </w:pPr>
    </w:p>
    <w:p>
      <w:pPr>
        <w:ind w:left="180" w:right="180" w:hanging="172"/>
        <w:spacing w:after="0" w:line="218" w:lineRule="auto"/>
        <w:tabs>
          <w:tab w:leader="none" w:pos="18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following equity compensation plans approved by security holders are included in this plan category: the 2017 Omnibus Incentive Plan, the 2006 Equity Incentive Plan, as amended, and the 2006 Employee Stock Purchase Plan, as amended.</w:t>
      </w:r>
    </w:p>
    <w:p>
      <w:pPr>
        <w:spacing w:after="0" w:line="43" w:lineRule="exact"/>
        <w:rPr>
          <w:rFonts w:ascii="Arial" w:cs="Arial" w:eastAsia="Arial" w:hAnsi="Arial"/>
          <w:sz w:val="18"/>
          <w:szCs w:val="18"/>
          <w:color w:val="auto"/>
          <w:vertAlign w:val="superscript"/>
        </w:rPr>
      </w:pPr>
    </w:p>
    <w:p>
      <w:pPr>
        <w:ind w:left="180" w:right="160" w:hanging="172"/>
        <w:spacing w:after="0" w:line="233" w:lineRule="auto"/>
        <w:tabs>
          <w:tab w:leader="none" w:pos="18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(i) 2,493,594 shares of Leidos common stock reserved for future issuance for service-based awards and performance and market-based awards assuming achievement of the target level of performance for unearned performance and market-based awards (does not include an additional 244,927 shares if the maximum level of performance is achieved) and other stock awards under the 2017 Omnibus Incentive Plan and 2006 Equity Incentive Plan, (ii) 37,995 shares of Leidos common stock issuable pursuant to dividend equivalent rights for deferred awards and (iii) 2,429,916 shares of Leidos common stock reserved for future issuance upon the exercise of outstanding options awarded under the 2017 Omnibus Incentive Plan and 2006 Equity Incentive Plan. Does not include shares to be issued pursuant to purchase rights under the 2006 Employee Stock Purchase Plan.</w:t>
      </w:r>
    </w:p>
    <w:p>
      <w:pPr>
        <w:spacing w:after="0" w:line="9"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to be issued for performance-based and other stock awards and shares of stock issuable pursuant to dividend equivalent rights.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- 108</w:t>
      </w:r>
    </w:p>
    <w:p>
      <w:pPr>
        <w:sectPr>
          <w:pgSz w:w="11900" w:h="16838" w:orient="portrait"/>
          <w:cols w:equalWidth="0" w:num="1">
            <w:col w:w="11420"/>
          </w:cols>
          <w:pgMar w:left="240" w:top="175" w:right="239" w:bottom="1440" w:gutter="0" w:footer="0" w:header="0"/>
          <w:type w:val="continuous"/>
        </w:sectPr>
      </w:pPr>
    </w:p>
    <w:bookmarkStart w:id="110" w:name="page111"/>
    <w:bookmarkEnd w:id="1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right="100" w:hanging="172"/>
        <w:spacing w:after="0" w:line="235" w:lineRule="auto"/>
        <w:tabs>
          <w:tab w:leader="none" w:pos="18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Represents 9,433,178 and 4,598,383 shares of Leidos common stock under the 2017 Omnibus Incentive Plan and 2006 Employee Stock Purchase Plan, respectively. The maximum number of shares initially available for issuance under the 2017 Omnibus Incentive Plan was 7.5 million. The 2006 Equity Incentive Plan was amended in June 2012 to provide that the maximum number of shares available for issuance thereunder is 12.5 million. The 2006 Employee Stock Purchase Plan was amended in September 2016 to provide that the maximum number of shares available for issuance thereunder is 5.0 million. Those shares (i) that are issued under the 2017 Omnibus Incentive Plan and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 (iii) that are not delivered to or are award shares surrendered by a holder in consideration for applicable tax withholding will continue to be available for issuance under the 2017 Omnibus Incentive Plan.</w:t>
      </w:r>
    </w:p>
    <w:p>
      <w:pPr>
        <w:spacing w:after="0" w:line="44" w:lineRule="exact"/>
        <w:rPr>
          <w:rFonts w:ascii="Arial" w:cs="Arial" w:eastAsia="Arial" w:hAnsi="Arial"/>
          <w:sz w:val="18"/>
          <w:szCs w:val="18"/>
          <w:color w:val="auto"/>
          <w:vertAlign w:val="superscript"/>
        </w:rPr>
      </w:pPr>
    </w:p>
    <w:p>
      <w:pPr>
        <w:ind w:left="180" w:right="80" w:hanging="172"/>
        <w:spacing w:after="0" w:line="225" w:lineRule="auto"/>
        <w:tabs>
          <w:tab w:leader="none" w:pos="18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Management Stock Compensation Plan has not been approved by security holders and is included in this plan category. This plan does not provide for a maximum number of shares available for future issuance. For further information on this plan, see "Note 19—Stock-Based Compensation" of the notes to the consolidated financial statements contained within Part II of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3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2019 Proxy Statement, which is incorporated by reference into this Annual Report on Form 10-K.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2019 Proxy Statement, which is incorporated by reference into this Annual Report on Form 10-K.</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- 109</w:t>
      </w:r>
    </w:p>
    <w:p>
      <w:pPr>
        <w:sectPr>
          <w:pgSz w:w="11900" w:h="16838" w:orient="portrait"/>
          <w:cols w:equalWidth="0" w:num="1">
            <w:col w:w="11420"/>
          </w:cols>
          <w:pgMar w:left="240" w:top="175" w:right="2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39" w:lineRule="exact"/>
        <w:rPr>
          <w:sz w:val="20"/>
          <w:szCs w:val="20"/>
          <w:color w:val="auto"/>
        </w:rPr>
      </w:pPr>
    </w:p>
    <w:p>
      <w:pPr>
        <w:ind w:left="600" w:hanging="26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17" w:lineRule="exact"/>
        <w:rPr>
          <w:rFonts w:ascii="Arial" w:cs="Arial" w:eastAsia="Arial" w:hAnsi="Arial"/>
          <w:sz w:val="18"/>
          <w:szCs w:val="18"/>
          <w:color w:val="auto"/>
        </w:rPr>
      </w:pPr>
    </w:p>
    <w:p>
      <w:pPr>
        <w:ind w:left="860" w:hanging="204"/>
        <w:spacing w:after="0"/>
        <w:tabs>
          <w:tab w:leader="none" w:pos="8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Consolidated Statements of Income</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Statements of Comprehensive Income</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Equity</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12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Notes to Consolidated Financial Statements</w:t>
        </w:r>
      </w:hyperlink>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900" w:right="8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20" w:type="dxa"/>
            <w:vAlign w:val="bottom"/>
            <w:gridSpan w:val="19"/>
          </w:tcPr>
          <w:p>
            <w:pPr>
              <w:ind w:left="820"/>
              <w:spacing w:after="0"/>
              <w:rPr>
                <w:sz w:val="20"/>
                <w:szCs w:val="20"/>
                <w:color w:val="auto"/>
              </w:rPr>
            </w:pPr>
            <w:r>
              <w:rPr>
                <w:rFonts w:ascii="Arial" w:cs="Arial" w:eastAsia="Arial" w:hAnsi="Arial"/>
                <w:sz w:val="14"/>
                <w:szCs w:val="14"/>
                <w:color w:val="auto"/>
              </w:rPr>
              <w:t>Description of Exhibit</w:t>
            </w:r>
          </w:p>
        </w:tc>
      </w:tr>
      <w:tr>
        <w:trPr>
          <w:trHeight w:val="202"/>
        </w:trPr>
        <w:tc>
          <w:tcPr>
            <w:tcW w:w="1040" w:type="dxa"/>
            <w:vAlign w:val="bottom"/>
            <w:tcBorders>
              <w:top w:val="single" w:sz="8" w:color="auto"/>
            </w:tcBorders>
          </w:tcPr>
          <w:p>
            <w:pPr>
              <w:ind w:left="18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25"/>
          </w:tcPr>
          <w:p>
            <w:pPr>
              <w:spacing w:after="0" w:line="202" w:lineRule="exact"/>
              <w:rPr>
                <w:rFonts w:ascii="Arial" w:cs="Arial" w:eastAsia="Arial" w:hAnsi="Arial"/>
                <w:sz w:val="18"/>
                <w:szCs w:val="18"/>
                <w:color w:val="0000FF"/>
              </w:rPr>
            </w:pPr>
            <w:hyperlink r:id="rId77">
              <w:r>
                <w:rPr>
                  <w:rFonts w:ascii="Arial" w:cs="Arial" w:eastAsia="Arial" w:hAnsi="Arial"/>
                  <w:sz w:val="18"/>
                  <w:szCs w:val="18"/>
                  <w:color w:val="0000FF"/>
                </w:rPr>
                <w:t>Distribution Agreement dated September 25, 2013. Incorporated by reference to Exhibit 2.1 to our Current Report on Form 8-K</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filed with the SEC on October 1, 2013.</w:t>
              </w:r>
            </w:hyperlink>
          </w:p>
        </w:tc>
        <w:tc>
          <w:tcPr>
            <w:tcW w:w="18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5"/>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Agreement and Plan of Merger, dated January 26, 2016, among Leidos Holdings, Inc., Lockheed Martin Corporation, Abacus</w:t>
              </w:r>
            </w:hyperlink>
          </w:p>
        </w:tc>
        <w:tc>
          <w:tcPr>
            <w:tcW w:w="300" w:type="dxa"/>
            <w:vAlign w:val="bottom"/>
            <w:gridSpan w:val="10"/>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Innovations Corporation, and Lion Merger Co. Incorporated by reference to Exhibit 2.1 to our Current Report on Form 8-K filed</w:t>
              </w:r>
            </w:hyperlink>
          </w:p>
        </w:tc>
        <w:tc>
          <w:tcPr>
            <w:tcW w:w="200" w:type="dxa"/>
            <w:vAlign w:val="bottom"/>
            <w:gridSpan w:val="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25"/>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with the SEC on January 28,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6"/>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Separation Agreement, dated January 26, 2016, between Lockheed Martin Corporation and Abacus Innovations Corporation.</w:t>
              </w:r>
            </w:hyperlink>
          </w:p>
        </w:tc>
        <w:tc>
          <w:tcPr>
            <w:tcW w:w="280" w:type="dxa"/>
            <w:vAlign w:val="bottom"/>
            <w:gridSpan w:val="9"/>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25"/>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Incorporated by reference to Exhibit 2.2 to our Current Report on Form 8-K filed with the SEC on January 28,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3"/>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Amendment to Agreement and Plan of Merger, dated as of June 27, 2016, among Lockheed Martin Corporation, Leidos</w:t>
              </w:r>
            </w:hyperlink>
          </w:p>
        </w:tc>
        <w:tc>
          <w:tcPr>
            <w:tcW w:w="720" w:type="dxa"/>
            <w:vAlign w:val="bottom"/>
            <w:gridSpan w:val="12"/>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25"/>
          </w:tcPr>
          <w:p>
            <w:pPr>
              <w:spacing w:after="0" w:line="182" w:lineRule="exact"/>
              <w:rPr>
                <w:rFonts w:ascii="Arial" w:cs="Arial" w:eastAsia="Arial" w:hAnsi="Arial"/>
                <w:sz w:val="18"/>
                <w:szCs w:val="18"/>
                <w:color w:val="0000FF"/>
              </w:rPr>
            </w:pPr>
            <w:hyperlink r:id="rId80">
              <w:r>
                <w:rPr>
                  <w:rFonts w:ascii="Arial" w:cs="Arial" w:eastAsia="Arial" w:hAnsi="Arial"/>
                  <w:sz w:val="18"/>
                  <w:szCs w:val="18"/>
                  <w:color w:val="0000FF"/>
                </w:rPr>
                <w:t>Holdings, Inc., Abacus Innovations Corporation and Lion Merger Co. Incorporated by reference to Exhibit 2.7 to our Registrant</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Statement on Form S-4 with the SEC on June 28, 2016.</w:t>
              </w:r>
            </w:hyperlink>
          </w:p>
        </w:tc>
        <w:tc>
          <w:tcPr>
            <w:tcW w:w="5560" w:type="dxa"/>
            <w:vAlign w:val="bottom"/>
            <w:tcBorders>
              <w:top w:val="single" w:sz="8" w:color="0000FF"/>
            </w:tcBorders>
            <w:gridSpan w:val="11"/>
          </w:tcPr>
          <w:p>
            <w:pPr>
              <w:spacing w:after="0"/>
              <w:rPr>
                <w:sz w:val="15"/>
                <w:szCs w:val="15"/>
                <w:color w:val="auto"/>
              </w:rPr>
            </w:pPr>
          </w:p>
        </w:tc>
        <w:tc>
          <w:tcPr>
            <w:tcW w:w="220" w:type="dxa"/>
            <w:vAlign w:val="bottom"/>
            <w:gridSpan w:val="7"/>
          </w:tcPr>
          <w:p>
            <w:pPr>
              <w:spacing w:after="0"/>
              <w:rPr>
                <w:sz w:val="15"/>
                <w:szCs w:val="15"/>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11"/>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Amendment to Separation Agreement, dated as of June 27, 2016, between Lockheed Martin Corporation and Abacus</w:t>
              </w:r>
            </w:hyperlink>
          </w:p>
        </w:tc>
        <w:tc>
          <w:tcPr>
            <w:tcW w:w="880" w:type="dxa"/>
            <w:vAlign w:val="bottom"/>
            <w:gridSpan w:val="1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Innovations Corporation. Incorporated by reference to Exhibit 2.8 to our Registration Statement on Form S-4 filed with the SEC</w:t>
              </w:r>
            </w:hyperlink>
          </w:p>
        </w:tc>
        <w:tc>
          <w:tcPr>
            <w:tcW w:w="160" w:type="dxa"/>
            <w:vAlign w:val="bottom"/>
            <w:gridSpan w:val="4"/>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25"/>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on June 28,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rPr>
            </w:pPr>
            <w:hyperlink r:id="rId82">
              <w:r>
                <w:rPr>
                  <w:rFonts w:ascii="Arial" w:cs="Arial" w:eastAsia="Arial" w:hAnsi="Arial"/>
                  <w:sz w:val="18"/>
                  <w:szCs w:val="18"/>
                  <w:color w:val="0000FF"/>
                </w:rPr>
                <w:t>Amended and Restated Certificate of Incorporation of Leidos Holdings, Inc. Incorporated by reference to Exhibit 3.1 to our</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Current Report on Form 8-K filed with the SEC on October 1, 2013.</w:t>
              </w:r>
            </w:hyperlink>
          </w:p>
        </w:tc>
        <w:tc>
          <w:tcPr>
            <w:tcW w:w="4320" w:type="dxa"/>
            <w:vAlign w:val="bottom"/>
            <w:tcBorders>
              <w:top w:val="single" w:sz="8" w:color="0000FF"/>
            </w:tcBorders>
            <w:gridSpan w:val="6"/>
          </w:tcPr>
          <w:p>
            <w:pPr>
              <w:spacing w:after="0"/>
              <w:rPr>
                <w:sz w:val="15"/>
                <w:szCs w:val="15"/>
                <w:color w:val="auto"/>
              </w:rPr>
            </w:pPr>
          </w:p>
        </w:tc>
        <w:tc>
          <w:tcPr>
            <w:tcW w:w="560" w:type="dxa"/>
            <w:vAlign w:val="bottom"/>
            <w:gridSpan w:val="11"/>
          </w:tcPr>
          <w:p>
            <w:pPr>
              <w:spacing w:after="0"/>
              <w:rPr>
                <w:sz w:val="15"/>
                <w:szCs w:val="15"/>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Amended and Restated Bylaws of Leidos Holdings, Inc. Incorporated by reference to Exhibit 3.2 to our Current Report on Form</w:t>
              </w:r>
            </w:hyperlink>
          </w:p>
        </w:tc>
        <w:tc>
          <w:tcPr>
            <w:tcW w:w="120" w:type="dxa"/>
            <w:vAlign w:val="bottom"/>
            <w:gridSpan w:val="2"/>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8-K filed with the SEC on April 13, 2016.</w:t>
              </w:r>
            </w:hyperlink>
          </w:p>
        </w:tc>
        <w:tc>
          <w:tcPr>
            <w:tcW w:w="7020" w:type="dxa"/>
            <w:vAlign w:val="bottom"/>
            <w:gridSpan w:val="20"/>
          </w:tcPr>
          <w:p>
            <w:pPr>
              <w:spacing w:after="0"/>
              <w:rPr>
                <w:sz w:val="15"/>
                <w:szCs w:val="15"/>
                <w:color w:val="auto"/>
              </w:rPr>
            </w:pPr>
          </w:p>
        </w:tc>
      </w:tr>
      <w:tr>
        <w:trPr>
          <w:trHeight w:val="384"/>
        </w:trPr>
        <w:tc>
          <w:tcPr>
            <w:tcW w:w="1040" w:type="dxa"/>
            <w:vAlign w:val="bottom"/>
          </w:tcPr>
          <w:p>
            <w:pPr>
              <w:ind w:lef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sz w:val="20"/>
                <w:szCs w:val="20"/>
                <w:color w:val="auto"/>
              </w:rPr>
            </w:pPr>
            <w:r>
              <w:rPr>
                <w:rFonts w:ascii="Arial" w:cs="Arial" w:eastAsia="Arial" w:hAnsi="Arial"/>
                <w:sz w:val="18"/>
                <w:szCs w:val="18"/>
                <w:color w:val="auto"/>
              </w:rPr>
              <w:t>Indenture dated June 28, 2002, between Leidos, Inc. and JPMorgan Chase Bank, as trustee. Incorporated by reference to</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25"/>
          </w:tcPr>
          <w:p>
            <w:pPr>
              <w:spacing w:after="0"/>
              <w:rPr>
                <w:sz w:val="20"/>
                <w:szCs w:val="20"/>
                <w:color w:val="auto"/>
              </w:rPr>
            </w:pPr>
            <w:r>
              <w:rPr>
                <w:rFonts w:ascii="Arial" w:cs="Arial" w:eastAsia="Arial" w:hAnsi="Arial"/>
                <w:sz w:val="18"/>
                <w:szCs w:val="18"/>
                <w:color w:val="auto"/>
              </w:rPr>
              <w:t>Exhibit 4.2 to our Current Report on Form 8-K filed with the SEC on July 3, 2002. (SEC File No. 000-12771)</w:t>
            </w:r>
          </w:p>
        </w:tc>
      </w:tr>
      <w:tr>
        <w:trPr>
          <w:trHeight w:val="338"/>
        </w:trPr>
        <w:tc>
          <w:tcPr>
            <w:tcW w:w="1040" w:type="dxa"/>
            <w:vAlign w:val="bottom"/>
          </w:tcPr>
          <w:p>
            <w:pPr>
              <w:ind w:lef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rPr>
            </w:pPr>
            <w:hyperlink r:id="rId84">
              <w:r>
                <w:rPr>
                  <w:rFonts w:ascii="Arial" w:cs="Arial" w:eastAsia="Arial" w:hAnsi="Arial"/>
                  <w:sz w:val="18"/>
                  <w:szCs w:val="18"/>
                  <w:color w:val="0000FF"/>
                </w:rPr>
                <w:t>First Supplemental Indenture, dated October 13, 2006, by and among Leidos, Inc., Leidos Holdings, Inc. and The Bank of New</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25"/>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York Trust Company, N.A., as successor trustee to JPMorgan Chase Bank, N.A. Incorporated by reference to Exhibit 4.2 to our</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Current Report on Form 8-K filed with the SEC on October 17, 2006. (SEC File No. 001-33072)</w:t>
              </w:r>
            </w:hyperlink>
          </w:p>
        </w:tc>
        <w:tc>
          <w:tcPr>
            <w:tcW w:w="2500" w:type="dxa"/>
            <w:vAlign w:val="bottom"/>
            <w:tcBorders>
              <w:top w:val="single" w:sz="8" w:color="0000FF"/>
            </w:tcBorders>
            <w:gridSpan w:val="12"/>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358"/>
        </w:trPr>
        <w:tc>
          <w:tcPr>
            <w:tcW w:w="1040" w:type="dxa"/>
            <w:vAlign w:val="bottom"/>
          </w:tcPr>
          <w:p>
            <w:pPr>
              <w:ind w:left="1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Indenture dated as of December 20, 2010, among Leidos Holdings, Inc., Leidos, Inc., and The Bank of New York Mellon Trust</w:t>
              </w:r>
            </w:hyperlink>
          </w:p>
        </w:tc>
        <w:tc>
          <w:tcPr>
            <w:tcW w:w="240" w:type="dxa"/>
            <w:vAlign w:val="bottom"/>
            <w:gridSpan w:val="8"/>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Company, N.A. as Trustee. Incorporated by reference to Exhibit 4.1 to our Current Report on Form 8-K with the SEC on</w:t>
              </w:r>
            </w:hyperlink>
          </w:p>
        </w:tc>
        <w:tc>
          <w:tcPr>
            <w:tcW w:w="740" w:type="dxa"/>
            <w:vAlign w:val="bottom"/>
            <w:gridSpan w:val="13"/>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December 22, 2010.</w:t>
              </w:r>
            </w:hyperlink>
          </w:p>
        </w:tc>
        <w:tc>
          <w:tcPr>
            <w:tcW w:w="8600" w:type="dxa"/>
            <w:vAlign w:val="bottom"/>
            <w:gridSpan w:val="23"/>
          </w:tcPr>
          <w:p>
            <w:pPr>
              <w:spacing w:after="0"/>
              <w:rPr>
                <w:sz w:val="15"/>
                <w:szCs w:val="15"/>
                <w:color w:val="auto"/>
              </w:rPr>
            </w:pPr>
          </w:p>
        </w:tc>
      </w:tr>
      <w:tr>
        <w:trPr>
          <w:trHeight w:val="48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tcBorders>
              <w:bottom w:val="single" w:sz="8" w:color="0000FF"/>
            </w:tcBorders>
            <w:gridSpan w:val="24"/>
          </w:tcPr>
          <w:p>
            <w:pPr>
              <w:spacing w:after="0"/>
              <w:rPr>
                <w:rFonts w:ascii="Arial" w:cs="Arial" w:eastAsia="Arial" w:hAnsi="Arial"/>
                <w:sz w:val="18"/>
                <w:szCs w:val="18"/>
                <w:color w:val="0000FF"/>
                <w:w w:val="99"/>
              </w:rPr>
            </w:pPr>
            <w:hyperlink r:id="rId86">
              <w:r>
                <w:rPr>
                  <w:rFonts w:ascii="Arial" w:cs="Arial" w:eastAsia="Arial" w:hAnsi="Arial"/>
                  <w:sz w:val="18"/>
                  <w:szCs w:val="18"/>
                  <w:color w:val="0000FF"/>
                  <w:w w:val="99"/>
                </w:rPr>
                <w:t>Leidos Holdings, Inc.’s 2006 Equity Incentive Plan. Incorporated by reference to Exhibit 10.1 to our Annual Report on Form 10-K</w:t>
              </w:r>
            </w:hyperlink>
          </w:p>
        </w:tc>
        <w:tc>
          <w:tcPr>
            <w:tcW w:w="4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25"/>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filed with the SEC on March 27, 2014.</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80" w:type="dxa"/>
            <w:vAlign w:val="bottom"/>
            <w:gridSpan w:val="1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2"/>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Leidos Holdings, Inc.'s 2017 Omnibus Incentive Plan. Incorporated by reference to Exhibit 4.3 to our Registration Statement on</w:t>
              </w:r>
            </w:hyperlink>
          </w:p>
        </w:tc>
        <w:tc>
          <w:tcPr>
            <w:tcW w:w="140" w:type="dxa"/>
            <w:vAlign w:val="bottom"/>
            <w:gridSpan w:val="3"/>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Form S-8 filed with the SEC on June 1, 2017.</w:t>
              </w:r>
            </w:hyperlink>
          </w:p>
        </w:tc>
        <w:tc>
          <w:tcPr>
            <w:tcW w:w="6620" w:type="dxa"/>
            <w:vAlign w:val="bottom"/>
            <w:gridSpan w:val="19"/>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- 110</w:t>
      </w:r>
    </w:p>
    <w:p>
      <w:pPr>
        <w:sectPr>
          <w:pgSz w:w="11900" w:h="16838" w:orient="portrait"/>
          <w:cols w:equalWidth="0" w:num="1">
            <w:col w:w="11420"/>
          </w:cols>
          <w:pgMar w:left="240" w:top="175" w:right="239" w:bottom="1440" w:gutter="0" w:footer="0" w:header="0"/>
          <w:type w:val="continuous"/>
        </w:sectPr>
      </w:pPr>
    </w:p>
    <w:bookmarkStart w:id="112" w:name="page113"/>
    <w:bookmarkEnd w:id="1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40" w:type="dxa"/>
            <w:vAlign w:val="bottom"/>
            <w:gridSpan w:val="23"/>
          </w:tcPr>
          <w:p>
            <w:pPr>
              <w:ind w:left="40"/>
              <w:spacing w:after="0"/>
              <w:rPr>
                <w:sz w:val="20"/>
                <w:szCs w:val="20"/>
                <w:color w:val="auto"/>
              </w:rPr>
            </w:pPr>
            <w:r>
              <w:rPr>
                <w:rFonts w:ascii="Arial" w:cs="Arial" w:eastAsia="Arial" w:hAnsi="Arial"/>
                <w:sz w:val="14"/>
                <w:szCs w:val="14"/>
                <w:color w:val="auto"/>
              </w:rPr>
              <w:t>Description of Exhibit</w:t>
            </w:r>
          </w:p>
        </w:tc>
      </w:tr>
      <w:tr>
        <w:trPr>
          <w:trHeight w:val="324"/>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3"/>
          </w:tcPr>
          <w:p>
            <w:pPr>
              <w:spacing w:after="0"/>
              <w:rPr>
                <w:rFonts w:ascii="Arial" w:cs="Arial" w:eastAsia="Arial" w:hAnsi="Arial"/>
                <w:sz w:val="18"/>
                <w:szCs w:val="18"/>
                <w:color w:val="0000FF"/>
              </w:rPr>
            </w:pPr>
            <w:hyperlink r:id="rId88">
              <w:r>
                <w:rPr>
                  <w:rFonts w:ascii="Arial" w:cs="Arial" w:eastAsia="Arial" w:hAnsi="Arial"/>
                  <w:sz w:val="18"/>
                  <w:szCs w:val="18"/>
                  <w:color w:val="0000FF"/>
                </w:rPr>
                <w:t>Leidos, Inc. Stock Compensation Plan. Incorporated by reference to Exhibit 10.2 to our Annual Report on Form 10-K filed with</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the SEC on March 27, 2014.</w:t>
              </w:r>
            </w:hyperlink>
          </w:p>
        </w:tc>
        <w:tc>
          <w:tcPr>
            <w:tcW w:w="7720" w:type="dxa"/>
            <w:vAlign w:val="bottom"/>
            <w:tcBorders>
              <w:top w:val="single" w:sz="8" w:color="0000FF"/>
            </w:tcBorders>
            <w:gridSpan w:val="22"/>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6"/>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Leidos, Inc.’s Management Stock Compensation Plan. Incorporated by reference to Exhibit 10.3 to our Annual Report on Form</w:t>
              </w:r>
            </w:hyperlink>
          </w:p>
        </w:tc>
        <w:tc>
          <w:tcPr>
            <w:tcW w:w="180" w:type="dxa"/>
            <w:vAlign w:val="bottom"/>
            <w:gridSpan w:val="7"/>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10-K filed with the SEC on March 27, 2014.</w:t>
              </w:r>
            </w:hyperlink>
          </w:p>
        </w:tc>
        <w:tc>
          <w:tcPr>
            <w:tcW w:w="6780" w:type="dxa"/>
            <w:vAlign w:val="bottom"/>
            <w:gridSpan w:val="26"/>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7"/>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Amended and Restated Leidos, Inc.'s Keystaff Deferral Plan. Incorporated by reference to Exhibit 10.4 to our Transition Report</w:t>
              </w:r>
            </w:hyperlink>
          </w:p>
        </w:tc>
        <w:tc>
          <w:tcPr>
            <w:tcW w:w="160" w:type="dxa"/>
            <w:vAlign w:val="bottom"/>
            <w:gridSpan w:val="6"/>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on Form 10-K filed with the SEC on February 26, 2016.</w:t>
              </w:r>
            </w:hyperlink>
          </w:p>
        </w:tc>
        <w:tc>
          <w:tcPr>
            <w:tcW w:w="5840" w:type="dxa"/>
            <w:vAlign w:val="bottom"/>
            <w:gridSpan w:val="23"/>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rPr>
            </w:pPr>
            <w:hyperlink r:id="rId91">
              <w:r>
                <w:rPr>
                  <w:rFonts w:ascii="Arial" w:cs="Arial" w:eastAsia="Arial" w:hAnsi="Arial"/>
                  <w:sz w:val="18"/>
                  <w:szCs w:val="18"/>
                  <w:color w:val="0000FF"/>
                </w:rPr>
                <w:t>Amended and Restated Leidos, Inc.’s Key Executive Stock Deferral Plan. Incorporated by reference to Exhibit 10.5 to our</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Transition Report on Form 10-K filed with the SEC on February 26, 2016.</w:t>
              </w:r>
            </w:hyperlink>
          </w:p>
        </w:tc>
        <w:tc>
          <w:tcPr>
            <w:tcW w:w="3820" w:type="dxa"/>
            <w:vAlign w:val="bottom"/>
            <w:tcBorders>
              <w:top w:val="single" w:sz="8" w:color="0000FF"/>
            </w:tcBorders>
            <w:gridSpan w:val="9"/>
          </w:tcPr>
          <w:p>
            <w:pPr>
              <w:spacing w:after="0"/>
              <w:rPr>
                <w:sz w:val="15"/>
                <w:szCs w:val="15"/>
                <w:color w:val="auto"/>
              </w:rPr>
            </w:pPr>
          </w:p>
        </w:tc>
        <w:tc>
          <w:tcPr>
            <w:tcW w:w="600" w:type="dxa"/>
            <w:vAlign w:val="bottom"/>
            <w:gridSpan w:val="13"/>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30"/>
          </w:tcPr>
          <w:p>
            <w:pPr>
              <w:spacing w:after="0"/>
              <w:rPr>
                <w:rFonts w:ascii="Arial" w:cs="Arial" w:eastAsia="Arial" w:hAnsi="Arial"/>
                <w:sz w:val="18"/>
                <w:szCs w:val="18"/>
                <w:color w:val="0000FF"/>
              </w:rPr>
            </w:pPr>
            <w:hyperlink r:id="rId92">
              <w:r>
                <w:rPr>
                  <w:rFonts w:ascii="Arial" w:cs="Arial" w:eastAsia="Arial" w:hAnsi="Arial"/>
                  <w:sz w:val="18"/>
                  <w:szCs w:val="18"/>
                  <w:color w:val="0000FF"/>
                </w:rPr>
                <w:t>Amended and Restated Leidos Holdings, Inc.’s 2006 Employee Stock Purchase Plan. Incorporated by reference to Exhibit 10.1</w:t>
              </w:r>
            </w:hyperlink>
          </w:p>
        </w:tc>
        <w:tc>
          <w:tcPr>
            <w:tcW w:w="100" w:type="dxa"/>
            <w:vAlign w:val="bottom"/>
            <w:gridSpan w:val="3"/>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to our Quarterly Report on Form 10-Q filed with the SEC on August 4, 2017.</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4"/>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Leidos, Inc.’s 401(k) Excess Deferral Plan. Incorporated by reference to Exhibit 10.7 to our Annual Report on Form 10-K filed</w:t>
              </w:r>
            </w:hyperlink>
          </w:p>
        </w:tc>
        <w:tc>
          <w:tcPr>
            <w:tcW w:w="300" w:type="dxa"/>
            <w:vAlign w:val="bottom"/>
            <w:gridSpan w:val="9"/>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with the SEC on March 27, 2014.</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8"/>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Form of Nonstatutory Stock Option Agreement of Leidos Holdings, Inc.’s 2006 Equity Incentive Plan. Incorporated by reference</w:t>
              </w:r>
            </w:hyperlink>
          </w:p>
        </w:tc>
        <w:tc>
          <w:tcPr>
            <w:tcW w:w="140" w:type="dxa"/>
            <w:vAlign w:val="bottom"/>
            <w:gridSpan w:val="5"/>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to Exhibit 10.10 to our Annual Report on Form 10-K filed with the SEC on March 27, 2014.</w:t>
              </w:r>
            </w:hyperlink>
          </w:p>
        </w:tc>
        <w:tc>
          <w:tcPr>
            <w:tcW w:w="3060" w:type="dxa"/>
            <w:vAlign w:val="bottom"/>
            <w:gridSpan w:val="20"/>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9"/>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Form of Nonstatutory Stock Option Agreement (Non-Employee Directors) of Leidos Holdings, Inc.’s 2006 Equity Incentive Plan.</w:t>
              </w:r>
            </w:hyperlink>
          </w:p>
        </w:tc>
        <w:tc>
          <w:tcPr>
            <w:tcW w:w="120" w:type="dxa"/>
            <w:vAlign w:val="bottom"/>
            <w:gridSpan w:val="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Incorporated by reference to Exhibit 10.11 to our Annual Report on Form 10-K filed with the SEC on March 27, 2014.</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Restricted Stock Unit Award Agreement of Leidos Holdings, Inc.’s 2006 Equity Incentive Plan. Incorporated by</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reference to Exhibit 10.14 to our Annual Report on Form 10-K filed with the SEC on March 27, 2014.</w:t>
              </w:r>
            </w:hyperlink>
          </w:p>
        </w:tc>
        <w:tc>
          <w:tcPr>
            <w:tcW w:w="820" w:type="dxa"/>
            <w:vAlign w:val="bottom"/>
            <w:gridSpan w:val="1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2"/>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Restricted Unit Award Agreement (Management) of Leidos Holdings, Inc.’s 2006 Equity Incentive Plan. Incorporated by</w:t>
              </w:r>
            </w:hyperlink>
          </w:p>
        </w:tc>
        <w:tc>
          <w:tcPr>
            <w:tcW w:w="6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reference to Exhibit 10.16 to our Annual Report on Form 10-K filed as with the SEC on March 27, 2014.</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2"/>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Form of Indemnification Agreement. Incorporated by reference to Exhibit 10.19 to our Annual Report on Form 10-K filed with the</w:t>
              </w:r>
            </w:hyperlink>
          </w:p>
        </w:tc>
        <w:tc>
          <w:tcPr>
            <w:tcW w:w="6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SEC on March 25, 2015.</w:t>
              </w:r>
            </w:hyperlink>
          </w:p>
        </w:tc>
        <w:tc>
          <w:tcPr>
            <w:tcW w:w="8260" w:type="dxa"/>
            <w:vAlign w:val="bottom"/>
            <w:gridSpan w:val="31"/>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31"/>
          </w:tcPr>
          <w:p>
            <w:pPr>
              <w:spacing w:after="0"/>
              <w:rPr>
                <w:rFonts w:ascii="Arial" w:cs="Arial" w:eastAsia="Arial" w:hAnsi="Arial"/>
                <w:sz w:val="18"/>
                <w:szCs w:val="18"/>
                <w:color w:val="0000FF"/>
              </w:rPr>
            </w:pPr>
            <w:hyperlink r:id="rId99">
              <w:r>
                <w:rPr>
                  <w:rFonts w:ascii="Arial" w:cs="Arial" w:eastAsia="Arial" w:hAnsi="Arial"/>
                  <w:sz w:val="18"/>
                  <w:szCs w:val="18"/>
                  <w:color w:val="0000FF"/>
                </w:rPr>
                <w:t>Executive Severance Plan. Incorporated by reference to Exhibit 10.20 to our Annual Report on Form 10-K filed with the SEC on</w:t>
              </w:r>
            </w:hyperlink>
          </w:p>
        </w:tc>
        <w:tc>
          <w:tcPr>
            <w:tcW w:w="80" w:type="dxa"/>
            <w:vAlign w:val="bottom"/>
            <w:gridSpan w:val="2"/>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February 24, 2017.</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rPr>
            </w:pPr>
            <w:hyperlink r:id="rId100">
              <w:r>
                <w:rPr>
                  <w:rFonts w:ascii="Arial" w:cs="Arial" w:eastAsia="Arial" w:hAnsi="Arial"/>
                  <w:sz w:val="18"/>
                  <w:szCs w:val="18"/>
                  <w:color w:val="0000FF"/>
                </w:rPr>
                <w:t>Executive Employment Agreement dated June 30, 2014. Incorporated by reference to Exhibit 10.1 to our Current Report on</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Form 8-K filed with the SEC on July, 2, 2014.</w:t>
              </w:r>
            </w:hyperlink>
          </w:p>
        </w:tc>
        <w:tc>
          <w:tcPr>
            <w:tcW w:w="440" w:type="dxa"/>
            <w:vAlign w:val="bottom"/>
            <w:gridSpan w:val="1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23"/>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Form of Performance Share Award Agreement of Leidos Holdings, Inc.'s 2006 Equity Incentive Plan (for Performance Share</w:t>
              </w:r>
            </w:hyperlink>
          </w:p>
        </w:tc>
        <w:tc>
          <w:tcPr>
            <w:tcW w:w="360" w:type="dxa"/>
            <w:vAlign w:val="bottom"/>
            <w:gridSpan w:val="10"/>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Award Agreements entered into on or after April 3, 2015). Incorporated by reference to Exhibit 10.33 to our Annual Report on</w:t>
              </w:r>
            </w:hyperlink>
          </w:p>
        </w:tc>
        <w:tc>
          <w:tcPr>
            <w:tcW w:w="300" w:type="dxa"/>
            <w:vAlign w:val="bottom"/>
            <w:gridSpan w:val="9"/>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Form 10-K filed with the SEC on March 25, 2015.</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Restricted Stock Unit Award Agreement of Leidos Holdings, Inc.’s 2006 Equity Incentive Plan. Incorporated by</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reference to Exhibit 10.3 to our Quarterly Report on Form 10-Q filed with the SEC on May 5, 2017.</w:t>
              </w:r>
            </w:hyperlink>
          </w:p>
        </w:tc>
        <w:tc>
          <w:tcPr>
            <w:tcW w:w="820" w:type="dxa"/>
            <w:vAlign w:val="bottom"/>
            <w:gridSpan w:val="1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Form of Nonstatutory Stock Option Agreement of Leidos Holdings, Inc.’s 2006 Equity Incentive Plan (for Nonstatutory Stock</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500" w:type="dxa"/>
            <w:vAlign w:val="bottom"/>
            <w:tcBorders>
              <w:right w:val="single" w:sz="8" w:color="0000FF"/>
            </w:tcBorders>
            <w:gridSpan w:val="11"/>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Option Agreements granted on March 3, 2017). Incorporated by reference to Exhibit 10.4 to our Quarterly Report on Form 10-Q</w:t>
              </w:r>
            </w:hyperlink>
          </w:p>
        </w:tc>
        <w:tc>
          <w:tcPr>
            <w:tcW w:w="100" w:type="dxa"/>
            <w:vAlign w:val="bottom"/>
            <w:gridSpan w:val="3"/>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filed with the SEC on May 5, 2017.</w:t>
              </w:r>
            </w:hyperlink>
          </w:p>
        </w:tc>
        <w:tc>
          <w:tcPr>
            <w:tcW w:w="7460" w:type="dxa"/>
            <w:vAlign w:val="bottom"/>
            <w:gridSpan w:val="27"/>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23"/>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Form of Performance Share Award Agreement of Leidos Holdings, Inc.'s 2006 Equity Incentive Plan (for Performance Share</w:t>
              </w:r>
            </w:hyperlink>
          </w:p>
        </w:tc>
        <w:tc>
          <w:tcPr>
            <w:tcW w:w="360" w:type="dxa"/>
            <w:vAlign w:val="bottom"/>
            <w:gridSpan w:val="10"/>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Award Agreements granted on March 3, 2017). Incorporated by reference to Exhibit 10.5 to our Quarterly Report on Form 10-Q</w:t>
              </w:r>
            </w:hyperlink>
          </w:p>
        </w:tc>
        <w:tc>
          <w:tcPr>
            <w:tcW w:w="120" w:type="dxa"/>
            <w:vAlign w:val="bottom"/>
            <w:gridSpan w:val="4"/>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filed with the SEC on May 5, 2017.</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652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14"/>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17"/>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Notice of Grant of Options for Non-Employee Directors under the Leidos Holdings, Inc. 2017 Omnibus Plan.</w:t>
              </w:r>
            </w:hyperlink>
          </w:p>
        </w:tc>
        <w:tc>
          <w:tcPr>
            <w:tcW w:w="960" w:type="dxa"/>
            <w:vAlign w:val="bottom"/>
            <w:gridSpan w:val="16"/>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3"/>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Incorporated by reference to Exhibit 10.22 to our Annual Report on Form 10-K filed with the SEC on February 23,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- 111</w:t>
      </w:r>
    </w:p>
    <w:p>
      <w:pPr>
        <w:sectPr>
          <w:pgSz w:w="11900" w:h="16838" w:orient="portrait"/>
          <w:cols w:equalWidth="0" w:num="1">
            <w:col w:w="11420"/>
          </w:cols>
          <w:pgMar w:left="240" w:top="175" w:right="2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0" w:type="dxa"/>
            <w:vAlign w:val="bottom"/>
            <w:gridSpan w:val="30"/>
          </w:tcPr>
          <w:p>
            <w:pPr>
              <w:ind w:left="400"/>
              <w:spacing w:after="0"/>
              <w:rPr>
                <w:sz w:val="20"/>
                <w:szCs w:val="20"/>
                <w:color w:val="auto"/>
              </w:rPr>
            </w:pPr>
            <w:r>
              <w:rPr>
                <w:rFonts w:ascii="Arial" w:cs="Arial" w:eastAsia="Arial" w:hAnsi="Arial"/>
                <w:sz w:val="14"/>
                <w:szCs w:val="14"/>
                <w:color w:val="auto"/>
              </w:rPr>
              <w:t>Description of Exhibit</w:t>
            </w:r>
          </w:p>
        </w:tc>
      </w:tr>
      <w:tr>
        <w:trPr>
          <w:trHeight w:val="202"/>
        </w:trPr>
        <w:tc>
          <w:tcPr>
            <w:tcW w:w="104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80" w:type="dxa"/>
            <w:vAlign w:val="bottom"/>
            <w:tcBorders>
              <w:top w:val="single" w:sz="8" w:color="auto"/>
              <w:bottom w:val="single" w:sz="8" w:color="0000FF"/>
            </w:tcBorders>
            <w:gridSpan w:val="14"/>
          </w:tcPr>
          <w:p>
            <w:pPr>
              <w:spacing w:after="0" w:line="20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Form of Notice of Grant of Options for Employees under the Leidos Holdings, Inc. 2017 Omnibus Plan. Incorporated by</w:t>
              </w:r>
            </w:hyperlink>
          </w:p>
        </w:tc>
        <w:tc>
          <w:tcPr>
            <w:tcW w:w="760" w:type="dxa"/>
            <w:vAlign w:val="bottom"/>
            <w:tcBorders>
              <w:top w:val="single" w:sz="8" w:color="auto"/>
            </w:tcBorders>
            <w:gridSpan w:val="23"/>
          </w:tcPr>
          <w:p>
            <w:pPr>
              <w:spacing w:after="0"/>
              <w:rPr>
                <w:sz w:val="17"/>
                <w:szCs w:val="17"/>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reference to Exhibit 10.23 to our Annual Report on Form 10-K filed with the SEC on February 23,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7"/>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Form of Notice of Grant of Restricted Stock Unit Awards (Performance-Vesting) for Employees under the Leidos Holdings, Inc.</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2017 Omnibus Plan. Incorporated by reference to Exhibit 10.24 to our Annual Report on Form 10-K filed with the SEC on</w:t>
              </w:r>
            </w:hyperlink>
          </w:p>
        </w:tc>
        <w:tc>
          <w:tcPr>
            <w:tcW w:w="420" w:type="dxa"/>
            <w:vAlign w:val="bottom"/>
            <w:tcBorders>
              <w:top w:val="single" w:sz="8" w:color="0000FF"/>
            </w:tcBorders>
            <w:gridSpan w:val="13"/>
          </w:tcPr>
          <w:p>
            <w:pPr>
              <w:spacing w:after="0"/>
              <w:rPr>
                <w:sz w:val="15"/>
                <w:szCs w:val="15"/>
                <w:color w:val="auto"/>
              </w:rPr>
            </w:pPr>
          </w:p>
        </w:tc>
        <w:tc>
          <w:tcPr>
            <w:tcW w:w="200" w:type="dxa"/>
            <w:vAlign w:val="bottom"/>
            <w:gridSpan w:val="7"/>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February 23,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21"/>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Form of Notice of Grant of Performance Share Awards for Employees under the Leidos Holdings, Inc. 2017 Omnibus Plan.</w:t>
              </w:r>
            </w:hyperlink>
          </w:p>
        </w:tc>
        <w:tc>
          <w:tcPr>
            <w:tcW w:w="480" w:type="dxa"/>
            <w:vAlign w:val="bottom"/>
            <w:gridSpan w:val="16"/>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Incorporated by reference to Exhibit 10.25 to our Annual Report on Form 10-K filed with the SEC on February 23,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23"/>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Form of Notice of Grant of Restricted Stock Unit Awards (Time-Vesting) for Employees under the Leidos Holdings, Inc. 2017</w:t>
              </w:r>
            </w:hyperlink>
          </w:p>
        </w:tc>
        <w:tc>
          <w:tcPr>
            <w:tcW w:w="380" w:type="dxa"/>
            <w:vAlign w:val="bottom"/>
            <w:gridSpan w:val="1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Omnibus Plan. Incorporated by reference to Exhibit 10.26 to our Annual Report on Form 10-K filed with the SEC on February</w:t>
              </w:r>
            </w:hyperlink>
          </w:p>
        </w:tc>
        <w:tc>
          <w:tcPr>
            <w:tcW w:w="300" w:type="dxa"/>
            <w:vAlign w:val="bottom"/>
            <w:gridSpan w:val="10"/>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09">
              <w:r>
                <w:rPr>
                  <w:rFonts w:ascii="Arial" w:cs="Arial" w:eastAsia="Arial" w:hAnsi="Arial"/>
                  <w:sz w:val="18"/>
                  <w:szCs w:val="18"/>
                  <w:color w:val="0000FF"/>
                  <w:w w:val="98"/>
                </w:rPr>
                <w:t>23, 2018.</w:t>
              </w:r>
            </w:hyperlink>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34"/>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Form of Notice of Grant of Restricted Stock Unit Awards (Time-Vesting) for Non-Employee Directors under the Leidos Holdings,</w:t>
              </w:r>
            </w:hyperlink>
          </w:p>
        </w:tc>
        <w:tc>
          <w:tcPr>
            <w:tcW w:w="100" w:type="dxa"/>
            <w:vAlign w:val="bottom"/>
            <w:gridSpan w:val="3"/>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Inc. 2017 Omnibus Plan. Incorporated by reference to Exhibit 10.27 to our Annual Report on Form 10-K filed with the SEC on</w:t>
              </w:r>
            </w:hyperlink>
          </w:p>
        </w:tc>
        <w:tc>
          <w:tcPr>
            <w:tcW w:w="280" w:type="dxa"/>
            <w:vAlign w:val="bottom"/>
            <w:gridSpan w:val="9"/>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February 23,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7"/>
          </w:tcPr>
          <w:p>
            <w:pPr>
              <w:spacing w:after="0"/>
              <w:rPr>
                <w:rFonts w:ascii="Arial" w:cs="Arial" w:eastAsia="Arial" w:hAnsi="Arial"/>
                <w:sz w:val="18"/>
                <w:szCs w:val="18"/>
                <w:color w:val="0000FF"/>
              </w:rPr>
            </w:pPr>
            <w:hyperlink r:id="rId111">
              <w:r>
                <w:rPr>
                  <w:rFonts w:ascii="Arial" w:cs="Arial" w:eastAsia="Arial" w:hAnsi="Arial"/>
                  <w:sz w:val="18"/>
                  <w:szCs w:val="18"/>
                  <w:color w:val="0000FF"/>
                </w:rPr>
                <w:t>Agreement, dated October 11, 2013, by and among Leidos Renewable Energy, LLC, Plainfield Renewable Energy Owner, LLC</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and Plainfield Renewable Energy Holdings, LLC. Incorporated by reference to Exhibit 10.4 to our Quarterly Report on Form 10-</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Q filed with the SEC on December 10, 2013.</w:t>
              </w:r>
            </w:hyperlink>
          </w:p>
        </w:tc>
        <w:tc>
          <w:tcPr>
            <w:tcW w:w="14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Membership Interest Purchase Agreement by and among Leidos Engineering, LLC, Greenleaf Power Consolidated, LLC and</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Plainfield Renewable Energy, LLC dated March 24, 2015. Incorporated by reference to Exhibit 10.1 to our Current Report on</w:t>
              </w:r>
            </w:hyperlink>
          </w:p>
        </w:tc>
        <w:tc>
          <w:tcPr>
            <w:tcW w:w="40" w:type="dxa"/>
            <w:vAlign w:val="bottom"/>
            <w:tcBorders>
              <w:top w:val="single" w:sz="8" w:color="0000FF"/>
            </w:tcBorders>
            <w:gridSpan w:val="2"/>
          </w:tcPr>
          <w:p>
            <w:pPr>
              <w:spacing w:after="0"/>
              <w:rPr>
                <w:sz w:val="15"/>
                <w:szCs w:val="15"/>
                <w:color w:val="auto"/>
              </w:rPr>
            </w:pPr>
          </w:p>
        </w:tc>
        <w:tc>
          <w:tcPr>
            <w:tcW w:w="320" w:type="dxa"/>
            <w:vAlign w:val="bottom"/>
            <w:gridSpan w:val="11"/>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Form 8-K filed with the SEC on March 25, 2015.</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7"/>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Amendment to Membership Interest Purchase Agreement by and among Leidos Engineering, LLC, Greenleaf Power</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Consolidated, LLC and Plainfield Renewable Energy, LLC dated July 17, 2015. Incorporated by reference to Exhibit 10.1 to our</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Current Report on Form 8-K filed with the SEC on July 23, 2015.</w:t>
              </w:r>
            </w:hyperlink>
          </w:p>
        </w:tc>
        <w:tc>
          <w:tcPr>
            <w:tcW w:w="4940" w:type="dxa"/>
            <w:vAlign w:val="bottom"/>
            <w:tcBorders>
              <w:top w:val="single" w:sz="8" w:color="0000FF"/>
            </w:tcBorders>
            <w:gridSpan w:val="2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34"/>
          </w:tcPr>
          <w:p>
            <w:pPr>
              <w:spacing w:after="0"/>
              <w:rPr>
                <w:rFonts w:ascii="Arial" w:cs="Arial" w:eastAsia="Arial" w:hAnsi="Arial"/>
                <w:sz w:val="18"/>
                <w:szCs w:val="18"/>
                <w:color w:val="0000FF"/>
                <w:w w:val="99"/>
              </w:rPr>
            </w:pPr>
            <w:hyperlink r:id="rId114">
              <w:r>
                <w:rPr>
                  <w:rFonts w:ascii="Arial" w:cs="Arial" w:eastAsia="Arial" w:hAnsi="Arial"/>
                  <w:sz w:val="18"/>
                  <w:szCs w:val="18"/>
                  <w:color w:val="0000FF"/>
                  <w:w w:val="99"/>
                </w:rPr>
                <w:t>Credit Agreement dated August 16, 2016, among Leidos Holdings, Inc., Leidos, Inc., as Borrower, the lenders party thereto and</w:t>
              </w:r>
            </w:hyperlink>
          </w:p>
        </w:tc>
        <w:tc>
          <w:tcPr>
            <w:tcW w:w="100" w:type="dxa"/>
            <w:vAlign w:val="bottom"/>
            <w:gridSpan w:val="3"/>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Citibank, N.A., as administrative agent. Incorporated by reference to Exhibit 10.1 to our Quarterly Report on Form 10-Q filed</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with the SEC on November 4, 2016.</w:t>
              </w:r>
            </w:hyperlink>
          </w:p>
        </w:tc>
        <w:tc>
          <w:tcPr>
            <w:tcW w:w="6960" w:type="dxa"/>
            <w:vAlign w:val="bottom"/>
            <w:tcBorders>
              <w:top w:val="single" w:sz="8" w:color="0000FF"/>
            </w:tcBorders>
            <w:gridSpan w:val="18"/>
          </w:tcPr>
          <w:p>
            <w:pPr>
              <w:spacing w:after="0"/>
              <w:rPr>
                <w:sz w:val="15"/>
                <w:szCs w:val="15"/>
                <w:color w:val="auto"/>
              </w:rPr>
            </w:pPr>
          </w:p>
        </w:tc>
        <w:tc>
          <w:tcPr>
            <w:tcW w:w="400" w:type="dxa"/>
            <w:vAlign w:val="bottom"/>
            <w:gridSpan w:val="15"/>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8"/>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First Amendment, dated August 16, 2017, to the Credit Agreement dated August 16, 2016, by and among Leidos, Inc., as</w:t>
              </w:r>
            </w:hyperlink>
          </w:p>
        </w:tc>
        <w:tc>
          <w:tcPr>
            <w:tcW w:w="580" w:type="dxa"/>
            <w:vAlign w:val="bottom"/>
            <w:gridSpan w:val="19"/>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borrower, Leidos Holdings, Inc., Citibank, N.A., as administrative agent and the other lending institutions party to the</w:t>
              </w:r>
            </w:hyperlink>
          </w:p>
        </w:tc>
        <w:tc>
          <w:tcPr>
            <w:tcW w:w="980" w:type="dxa"/>
            <w:vAlign w:val="bottom"/>
            <w:gridSpan w:val="2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tcBorders>
              <w:bottom w:val="single" w:sz="8" w:color="0000FF"/>
            </w:tcBorders>
            <w:gridSpan w:val="36"/>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amendment. Incorporated by reference to Exhibit 10.1 to our Quarterly Report on Form 10-Q filed with the SEC on November 3,</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115">
              <w:r>
                <w:rPr>
                  <w:rFonts w:ascii="Arial" w:cs="Arial" w:eastAsia="Arial" w:hAnsi="Arial"/>
                  <w:sz w:val="18"/>
                  <w:szCs w:val="18"/>
                  <w:color w:val="0000FF"/>
                  <w:w w:val="97"/>
                </w:rPr>
                <w:t>2017.</w:t>
              </w:r>
            </w:hyperlink>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33"/>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Second Amendment, dated August 22, 2018, to the Credit Agreement dated as of August 16, 2016, by and among Leidos, Inc.,</w:t>
              </w:r>
            </w:hyperlink>
          </w:p>
        </w:tc>
        <w:tc>
          <w:tcPr>
            <w:tcW w:w="120" w:type="dxa"/>
            <w:vAlign w:val="bottom"/>
            <w:gridSpan w:val="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as borrower, Leidos Holdings, Inc., Citibank, N.A., as administrative agent and the other lending institutions party to the</w:t>
              </w:r>
            </w:hyperlink>
          </w:p>
        </w:tc>
        <w:tc>
          <w:tcPr>
            <w:tcW w:w="780" w:type="dxa"/>
            <w:vAlign w:val="bottom"/>
            <w:gridSpan w:val="24"/>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amendment. Incorporated by reference to Exhibit 10.2 to our Current Report on Form 8-K filed with the SEC on August 28,</w:t>
              </w:r>
            </w:hyperlink>
          </w:p>
        </w:tc>
        <w:tc>
          <w:tcPr>
            <w:tcW w:w="500" w:type="dxa"/>
            <w:vAlign w:val="bottom"/>
            <w:gridSpan w:val="17"/>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116">
              <w:r>
                <w:rPr>
                  <w:rFonts w:ascii="Arial" w:cs="Arial" w:eastAsia="Arial" w:hAnsi="Arial"/>
                  <w:sz w:val="18"/>
                  <w:szCs w:val="18"/>
                  <w:color w:val="0000FF"/>
                  <w:w w:val="97"/>
                </w:rPr>
                <w:t>2018.</w:t>
              </w:r>
            </w:hyperlink>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Borders>
              <w:bottom w:val="single" w:sz="8" w:color="0000FF"/>
            </w:tcBorders>
            <w:gridSpan w:val="3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Credit Agreement dated August 16, 2016, among Leidos Innovations Corporation (formerly Abacus Innovations Corporation) as</w:t>
              </w:r>
            </w:hyperlink>
          </w:p>
        </w:tc>
        <w:tc>
          <w:tcPr>
            <w:tcW w:w="80" w:type="dxa"/>
            <w:vAlign w:val="bottom"/>
            <w:gridSpan w:val="2"/>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bottom w:val="single" w:sz="8" w:color="0000FF"/>
            </w:tcBorders>
            <w:gridSpan w:val="34"/>
          </w:tcPr>
          <w:p>
            <w:pPr>
              <w:spacing w:after="0" w:line="182"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Borrower, the lenders party thereto, and Citibank, N.A., as administrative agent. Incorporated by reference to Exhibit 10.2 to our</w:t>
              </w:r>
            </w:hyperlink>
          </w:p>
        </w:tc>
        <w:tc>
          <w:tcPr>
            <w:tcW w:w="100" w:type="dxa"/>
            <w:vAlign w:val="bottom"/>
            <w:gridSpan w:val="3"/>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Quarterly Report on Form 10-Q filed with the SEC on November 4,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16"/>
          </w:tcPr>
          <w:p>
            <w:pPr>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First Amendment, dated February 16, 2017, to the Credit Agreement dated as of August 16, 2016, by and among Leidos</w:t>
              </w:r>
            </w:hyperlink>
          </w:p>
        </w:tc>
        <w:tc>
          <w:tcPr>
            <w:tcW w:w="660" w:type="dxa"/>
            <w:vAlign w:val="bottom"/>
            <w:gridSpan w:val="21"/>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Innovations (f/k/a Abacus Innovations Corporation), as borrower, Leidos Holdings, Inc., Citibank, N.A., as administrative agent</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and the other lending institutions party to the amendment. Incorporated by reference to Exhibit 10.1 to our Current Report on</w:t>
              </w:r>
            </w:hyperlink>
          </w:p>
        </w:tc>
        <w:tc>
          <w:tcPr>
            <w:tcW w:w="100" w:type="dxa"/>
            <w:vAlign w:val="bottom"/>
            <w:tcBorders>
              <w:top w:val="single" w:sz="8" w:color="0000FF"/>
            </w:tcBorders>
            <w:gridSpan w:val="4"/>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Form 8-K filed with the SEC on February 21, 2017.</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9"/>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Second Amendment, dated August 16, 2017, to the Credit Agreement dated as of August 16, 2016, by and among Leidos</w:t>
              </w:r>
            </w:hyperlink>
          </w:p>
        </w:tc>
        <w:tc>
          <w:tcPr>
            <w:tcW w:w="560" w:type="dxa"/>
            <w:vAlign w:val="bottom"/>
            <w:gridSpan w:val="18"/>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Innovations Corporation (f/k/a Abacus Innovations Corporation), as borrower, Leidos Holdings, Inc., Citibank, N.A., as</w:t>
              </w:r>
            </w:hyperlink>
          </w:p>
        </w:tc>
        <w:tc>
          <w:tcPr>
            <w:tcW w:w="900" w:type="dxa"/>
            <w:vAlign w:val="bottom"/>
            <w:gridSpan w:val="25"/>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37"/>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administrative agent and the other lending institutions party to the amendment. Incorporated by reference to Exhibit 10.2 to our</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Quarterly Report on Form 10-Q filed with the SEC on November 3, 2017.</w:t>
              </w:r>
            </w:hyperlink>
          </w:p>
        </w:tc>
        <w:tc>
          <w:tcPr>
            <w:tcW w:w="160" w:type="dxa"/>
            <w:vAlign w:val="bottom"/>
            <w:gridSpan w:val="6"/>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- 112</w:t>
      </w:r>
    </w:p>
    <w:p>
      <w:pPr>
        <w:sectPr>
          <w:pgSz w:w="11900" w:h="16838" w:orient="portrait"/>
          <w:cols w:equalWidth="0" w:num="1">
            <w:col w:w="11420"/>
          </w:cols>
          <w:pgMar w:left="240" w:top="175" w:right="239" w:bottom="1440" w:gutter="0" w:footer="0" w:header="0"/>
          <w:type w:val="continuous"/>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80" w:type="dxa"/>
            <w:vAlign w:val="bottom"/>
            <w:gridSpan w:val="14"/>
          </w:tcPr>
          <w:p>
            <w:pPr>
              <w:ind w:left="280"/>
              <w:spacing w:after="0"/>
              <w:rPr>
                <w:sz w:val="20"/>
                <w:szCs w:val="20"/>
                <w:color w:val="auto"/>
              </w:rPr>
            </w:pPr>
            <w:r>
              <w:rPr>
                <w:rFonts w:ascii="Arial" w:cs="Arial" w:eastAsia="Arial" w:hAnsi="Arial"/>
                <w:sz w:val="14"/>
                <w:szCs w:val="14"/>
                <w:color w:val="auto"/>
              </w:rPr>
              <w:t>Description of Exhibit</w:t>
            </w:r>
          </w:p>
        </w:tc>
      </w:tr>
      <w:tr>
        <w:trPr>
          <w:trHeight w:val="202"/>
        </w:trPr>
        <w:tc>
          <w:tcPr>
            <w:tcW w:w="104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10.35</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20" w:type="dxa"/>
            <w:vAlign w:val="bottom"/>
            <w:tcBorders>
              <w:top w:val="single" w:sz="8" w:color="auto"/>
              <w:bottom w:val="single" w:sz="8" w:color="0000FF"/>
            </w:tcBorders>
            <w:gridSpan w:val="7"/>
          </w:tcPr>
          <w:p>
            <w:pPr>
              <w:spacing w:after="0" w:line="20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Third Amendment, dated March 15, 2018, to the Credit Agreement dated as of August 16, 2016, by and among Leidos</w:t>
              </w:r>
            </w:hyperlink>
          </w:p>
        </w:tc>
        <w:tc>
          <w:tcPr>
            <w:tcW w:w="820" w:type="dxa"/>
            <w:vAlign w:val="bottom"/>
            <w:tcBorders>
              <w:top w:val="single" w:sz="8" w:color="auto"/>
            </w:tcBorders>
            <w:gridSpan w:val="12"/>
          </w:tcPr>
          <w:p>
            <w:pPr>
              <w:spacing w:after="0"/>
              <w:rPr>
                <w:sz w:val="17"/>
                <w:szCs w:val="17"/>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Innovations (f/k/a Abacus Innovations Corporation), as borrower, Leidos Holdings, Inc., Citibank, N.A., as administrative agent</w:t>
              </w:r>
            </w:hyperlink>
          </w:p>
        </w:tc>
        <w:tc>
          <w:tcPr>
            <w:tcW w:w="220" w:type="dxa"/>
            <w:vAlign w:val="bottom"/>
            <w:gridSpan w:val="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and the other lending institutions party to the amendment. Incorporated by reference to Exhibit 10.1 to our Current Report on</w:t>
              </w:r>
            </w:hyperlink>
          </w:p>
        </w:tc>
        <w:tc>
          <w:tcPr>
            <w:tcW w:w="340" w:type="dxa"/>
            <w:vAlign w:val="bottom"/>
            <w:gridSpan w:val="8"/>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19"/>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Form 8-K filed with the SEC on March 20,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19"/>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Fourth Amendment, dated August 22, 2018, to the Credit Agreement dated as of August 16, 2016, by and among Leidos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Innovations (f/k/a Abacus Innovations Corporation), as borrower, Leidos Holdings, Inc., Citibank, N.A., as administrative agent</w:t>
              </w:r>
            </w:hyperlink>
          </w:p>
        </w:tc>
        <w:tc>
          <w:tcPr>
            <w:tcW w:w="220" w:type="dxa"/>
            <w:vAlign w:val="bottom"/>
            <w:gridSpan w:val="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and the other lending institutions party to the amendment. Incorporated by reference to Exhibit 10.1 to our Current Report on</w:t>
              </w:r>
            </w:hyperlink>
          </w:p>
        </w:tc>
        <w:tc>
          <w:tcPr>
            <w:tcW w:w="340" w:type="dxa"/>
            <w:vAlign w:val="bottom"/>
            <w:gridSpan w:val="8"/>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19"/>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Form 8-K filed with the SEC on August 28, 2018.</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40" w:type="dxa"/>
            <w:vAlign w:val="bottom"/>
          </w:tcPr>
          <w:p>
            <w:pPr>
              <w:ind w:left="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Fifth Amendment, dated November 19, 2018, to the Credit Agreement dated as of August 16, 2016, by and among Leidos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Innovations (f/k/a Abacus Innovations Corporation), as borrower, Leidos Holdings, Inc., Citibank, N.A., as administrative agent</w:t>
              </w:r>
            </w:hyperlink>
          </w:p>
        </w:tc>
        <w:tc>
          <w:tcPr>
            <w:tcW w:w="220" w:type="dxa"/>
            <w:vAlign w:val="bottom"/>
            <w:gridSpan w:val="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and the other lending institutions party to the amendment. Incorporated by reference to Exhibit 10.1 to our Current Report on</w:t>
              </w:r>
            </w:hyperlink>
          </w:p>
        </w:tc>
        <w:tc>
          <w:tcPr>
            <w:tcW w:w="340" w:type="dxa"/>
            <w:vAlign w:val="bottom"/>
            <w:gridSpan w:val="8"/>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Form 8-K filed with the SEC on November 20, 2018.</w:t>
              </w:r>
            </w:hyperlink>
          </w:p>
        </w:tc>
        <w:tc>
          <w:tcPr>
            <w:tcW w:w="6080" w:type="dxa"/>
            <w:vAlign w:val="bottom"/>
            <w:gridSpan w:val="14"/>
          </w:tcPr>
          <w:p>
            <w:pPr>
              <w:spacing w:after="0"/>
              <w:rPr>
                <w:sz w:val="15"/>
                <w:szCs w:val="15"/>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19"/>
          </w:tcPr>
          <w:p>
            <w:pPr>
              <w:spacing w:after="0"/>
              <w:rPr>
                <w:rFonts w:ascii="Arial" w:cs="Arial" w:eastAsia="Arial" w:hAnsi="Arial"/>
                <w:sz w:val="18"/>
                <w:szCs w:val="18"/>
                <w:color w:val="0000FF"/>
              </w:rPr>
            </w:pPr>
            <w:hyperlink r:id="rId123">
              <w:r>
                <w:rPr>
                  <w:rFonts w:ascii="Arial" w:cs="Arial" w:eastAsia="Arial" w:hAnsi="Arial"/>
                  <w:sz w:val="18"/>
                  <w:szCs w:val="18"/>
                  <w:color w:val="0000FF"/>
                </w:rPr>
                <w:t>Intellectual Property Matters Agreement, dated August 16, 2016, between Lockheed Martin Corporation and Abacus Innovations</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Corporation. Incorporated by reference to Exhibit 10.3 to our Quarterly Report on Form 10-Q filed with the SEC on November 4,</w:t>
              </w:r>
            </w:hyperlink>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123">
              <w:r>
                <w:rPr>
                  <w:rFonts w:ascii="Arial" w:cs="Arial" w:eastAsia="Arial" w:hAnsi="Arial"/>
                  <w:sz w:val="18"/>
                  <w:szCs w:val="18"/>
                  <w:color w:val="0000FF"/>
                  <w:w w:val="97"/>
                </w:rPr>
                <w:t>2016.</w:t>
              </w:r>
            </w:hyperlink>
          </w:p>
        </w:tc>
        <w:tc>
          <w:tcPr>
            <w:tcW w:w="1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FF"/>
              </w:rPr>
            </w:pPr>
            <w:hyperlink r:id="rId124">
              <w:r>
                <w:rPr>
                  <w:rFonts w:ascii="Arial" w:cs="Arial" w:eastAsia="Arial" w:hAnsi="Arial"/>
                  <w:sz w:val="18"/>
                  <w:szCs w:val="18"/>
                  <w:color w:val="0000FF"/>
                </w:rPr>
                <w:t>Shared Contracts Agreement - Shared Contracts (Parent Companies), dated August 16, 2016, between Lockheed Martin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Corporation and Splitco. Incorporated by reference to Exhibit 10.4 to our Quarterly Report on Form 10-Q filed with the SEC on</w:t>
              </w:r>
            </w:hyperlink>
          </w:p>
        </w:tc>
        <w:tc>
          <w:tcPr>
            <w:tcW w:w="220" w:type="dxa"/>
            <w:vAlign w:val="bottom"/>
            <w:gridSpan w:val="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November 4, 2016.</w:t>
              </w:r>
            </w:hyperlink>
          </w:p>
        </w:tc>
        <w:tc>
          <w:tcPr>
            <w:tcW w:w="8700" w:type="dxa"/>
            <w:vAlign w:val="bottom"/>
            <w:gridSpan w:val="17"/>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rPr>
            </w:pPr>
            <w:hyperlink r:id="rId125">
              <w:r>
                <w:rPr>
                  <w:rFonts w:ascii="Arial" w:cs="Arial" w:eastAsia="Arial" w:hAnsi="Arial"/>
                  <w:sz w:val="18"/>
                  <w:szCs w:val="18"/>
                  <w:color w:val="0000FF"/>
                </w:rPr>
                <w:t>Shared Contracts Agreement - Shared Contracts (Splitco Companies), dated August 16, 2016, between Lockheed Martin</w:t>
              </w:r>
            </w:hyperlink>
          </w:p>
        </w:tc>
        <w:tc>
          <w:tcPr>
            <w:tcW w:w="560" w:type="dxa"/>
            <w:vAlign w:val="bottom"/>
            <w:gridSpan w:val="9"/>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Corporation and Splitco. Incorporated by reference to Exhibit 10.5 to our Quarterly Report on Form 10-Q filed with the SEC on</w:t>
              </w:r>
            </w:hyperlink>
          </w:p>
        </w:tc>
        <w:tc>
          <w:tcPr>
            <w:tcW w:w="220" w:type="dxa"/>
            <w:vAlign w:val="bottom"/>
            <w:gridSpan w:val="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November 4, 2016.</w:t>
              </w:r>
            </w:hyperlink>
          </w:p>
        </w:tc>
        <w:tc>
          <w:tcPr>
            <w:tcW w:w="8700" w:type="dxa"/>
            <w:vAlign w:val="bottom"/>
            <w:gridSpan w:val="17"/>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14"/>
          </w:tcPr>
          <w:p>
            <w:pPr>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Subcontract Pending Novation and Consent (Parent to Splitco), dated August 16, 2016, between Lockheed Martin Corporation</w:t>
              </w:r>
            </w:hyperlink>
          </w:p>
        </w:tc>
        <w:tc>
          <w:tcPr>
            <w:tcW w:w="180" w:type="dxa"/>
            <w:vAlign w:val="bottom"/>
            <w:gridSpan w:val="5"/>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19"/>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and Splitco. Incorporated by reference to Exhibit 10.6 to our Quarterly Report on Form 10-Q filed with the SEC on November 4,</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26">
              <w:r>
                <w:rPr>
                  <w:rFonts w:ascii="Arial" w:cs="Arial" w:eastAsia="Arial" w:hAnsi="Arial"/>
                  <w:sz w:val="18"/>
                  <w:szCs w:val="18"/>
                  <w:color w:val="0000FF"/>
                  <w:w w:val="97"/>
                </w:rPr>
                <w:t>2016.</w:t>
              </w:r>
            </w:hyperlink>
          </w:p>
        </w:tc>
        <w:tc>
          <w:tcPr>
            <w:tcW w:w="1080" w:type="dxa"/>
            <w:vAlign w:val="bottom"/>
            <w:tcBorders>
              <w:top w:val="single" w:sz="8" w:color="0000FF"/>
            </w:tcBorders>
          </w:tcPr>
          <w:p>
            <w:pPr>
              <w:spacing w:after="0"/>
              <w:rPr>
                <w:sz w:val="15"/>
                <w:szCs w:val="15"/>
                <w:color w:val="auto"/>
              </w:rPr>
            </w:pPr>
          </w:p>
        </w:tc>
        <w:tc>
          <w:tcPr>
            <w:tcW w:w="2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4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FF"/>
              </w:rPr>
            </w:pPr>
            <w:hyperlink r:id="rId127">
              <w:r>
                <w:rPr>
                  <w:rFonts w:ascii="Arial" w:cs="Arial" w:eastAsia="Arial" w:hAnsi="Arial"/>
                  <w:sz w:val="18"/>
                  <w:szCs w:val="18"/>
                  <w:color w:val="0000FF"/>
                </w:rPr>
                <w:t>Supply Agreement (Parent to Splitco), dated August 16, 2016, between Lockheed Martin Corporation and Splitco. Incorporated</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by reference to Exhibit 10.7 to our Quarterly Report on Form 10-Q filed with the SEC on November 4, 2016.</w:t>
              </w:r>
            </w:hyperlink>
          </w:p>
        </w:tc>
        <w:tc>
          <w:tcPr>
            <w:tcW w:w="1520" w:type="dxa"/>
            <w:vAlign w:val="bottom"/>
            <w:tcBorders>
              <w:top w:val="single" w:sz="8" w:color="0000FF"/>
            </w:tcBorders>
            <w:gridSpan w:val="9"/>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FF"/>
              </w:rPr>
            </w:pPr>
            <w:hyperlink r:id="rId128">
              <w:r>
                <w:rPr>
                  <w:rFonts w:ascii="Arial" w:cs="Arial" w:eastAsia="Arial" w:hAnsi="Arial"/>
                  <w:sz w:val="18"/>
                  <w:szCs w:val="18"/>
                  <w:color w:val="0000FF"/>
                </w:rPr>
                <w:t>Supply Agreement (Splitco to Parent), dated August 16, 2016, between Lockheed Martin Corporation and Splitco. Incorporated</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by reference to Exhibit 10.8 to our Quarterly Report on Form 10-Q filed with the SEC on November 4, 2016.</w:t>
              </w:r>
            </w:hyperlink>
          </w:p>
        </w:tc>
        <w:tc>
          <w:tcPr>
            <w:tcW w:w="1520" w:type="dxa"/>
            <w:vAlign w:val="bottom"/>
            <w:tcBorders>
              <w:top w:val="single" w:sz="8" w:color="0000FF"/>
            </w:tcBorders>
            <w:gridSpan w:val="9"/>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FF"/>
              </w:rPr>
            </w:pPr>
            <w:hyperlink r:id="rId129">
              <w:r>
                <w:rPr>
                  <w:rFonts w:ascii="Arial" w:cs="Arial" w:eastAsia="Arial" w:hAnsi="Arial"/>
                  <w:sz w:val="18"/>
                  <w:szCs w:val="18"/>
                  <w:color w:val="0000FF"/>
                </w:rPr>
                <w:t>Transition Services Agreement (Parent to Splitco), dated August 16, 2016, between Lockheed Martin Corporation and Splitco.</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Incorporated by reference to Exhibit 10.9 to our Quarterly Report on Form 10-Q filed with the SEC on November 4, 2016.</w:t>
              </w:r>
            </w:hyperlink>
          </w:p>
        </w:tc>
        <w:tc>
          <w:tcPr>
            <w:tcW w:w="380" w:type="dxa"/>
            <w:vAlign w:val="bottom"/>
            <w:tcBorders>
              <w:top w:val="single" w:sz="8" w:color="0000FF"/>
            </w:tcBorders>
            <w:gridSpan w:val="3"/>
          </w:tcPr>
          <w:p>
            <w:pPr>
              <w:spacing w:after="0"/>
              <w:rPr>
                <w:sz w:val="15"/>
                <w:szCs w:val="15"/>
                <w:color w:val="auto"/>
              </w:rPr>
            </w:pPr>
          </w:p>
        </w:tc>
        <w:tc>
          <w:tcPr>
            <w:tcW w:w="240" w:type="dxa"/>
            <w:vAlign w:val="bottom"/>
            <w:gridSpan w:val="7"/>
          </w:tcPr>
          <w:p>
            <w:pPr>
              <w:spacing w:after="0"/>
              <w:rPr>
                <w:sz w:val="15"/>
                <w:szCs w:val="15"/>
                <w:color w:val="auto"/>
              </w:rPr>
            </w:pPr>
          </w:p>
        </w:tc>
      </w:tr>
    </w:tbl>
    <w:p>
      <w:pPr>
        <w:spacing w:after="0" w:line="188" w:lineRule="exact"/>
        <w:rPr>
          <w:sz w:val="20"/>
          <w:szCs w:val="20"/>
          <w:color w:val="auto"/>
        </w:rPr>
      </w:pPr>
    </w:p>
    <w:p>
      <w:pPr>
        <w:sectPr>
          <w:pgSz w:w="11900" w:h="16838" w:orient="portrait"/>
          <w:cols w:equalWidth="0" w:num="1">
            <w:col w:w="11420"/>
          </w:cols>
          <w:pgMar w:left="240" w:top="175" w:right="239" w:bottom="1440" w:gutter="0" w:footer="0" w:header="0"/>
        </w:sectPr>
      </w:pPr>
    </w:p>
    <w:p>
      <w:pPr>
        <w:ind w:left="40"/>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23.1</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31.1</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31.2</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Subsidiaries of Registrants.</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Consent of Independent Registered Public Accounting Firm, Deloitte &amp; Touche LLP.</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171" w:lineRule="exact"/>
        <w:rPr>
          <w:sz w:val="20"/>
          <w:szCs w:val="20"/>
          <w:color w:val="auto"/>
        </w:rPr>
      </w:pPr>
    </w:p>
    <w:p>
      <w:pPr>
        <w:ind w:right="880"/>
        <w:spacing w:after="0" w:line="246" w:lineRule="auto"/>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Certification of Chief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Sarbanes-Oxley Act of 2002.</w:t>
        </w:r>
      </w:hyperlink>
    </w:p>
    <w:p>
      <w:pPr>
        <w:spacing w:after="0" w:line="126" w:lineRule="exact"/>
        <w:rPr>
          <w:sz w:val="20"/>
          <w:szCs w:val="20"/>
          <w:color w:val="auto"/>
        </w:rPr>
      </w:pPr>
    </w:p>
    <w:p>
      <w:pPr>
        <w:sectPr>
          <w:pgSz w:w="11900" w:h="16838" w:orient="portrait"/>
          <w:cols w:equalWidth="0" w:num="2">
            <w:col w:w="460" w:space="720"/>
            <w:col w:w="10240"/>
          </w:cols>
          <w:pgMar w:left="240" w:top="175"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140" w:type="dxa"/>
            <w:vAlign w:val="bottom"/>
          </w:tcPr>
          <w:p>
            <w:pPr>
              <w:jc w:val="right"/>
              <w:ind w:right="710"/>
              <w:spacing w:after="0"/>
              <w:rPr>
                <w:sz w:val="20"/>
                <w:szCs w:val="20"/>
                <w:color w:val="auto"/>
              </w:rPr>
            </w:pPr>
            <w:r>
              <w:rPr>
                <w:rFonts w:ascii="Arial" w:cs="Arial" w:eastAsia="Arial" w:hAnsi="Arial"/>
                <w:sz w:val="18"/>
                <w:szCs w:val="18"/>
                <w:color w:val="auto"/>
                <w:w w:val="91"/>
              </w:rPr>
              <w:t>32.2</w:t>
            </w:r>
          </w:p>
        </w:tc>
        <w:tc>
          <w:tcPr>
            <w:tcW w:w="101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23">
              <w:r>
                <w:rPr>
                  <w:rFonts w:ascii="Arial" w:cs="Arial" w:eastAsia="Arial" w:hAnsi="Arial"/>
                  <w:sz w:val="18"/>
                  <w:szCs w:val="18"/>
                  <w:color w:val="0000FF"/>
                  <w:w w:val="99"/>
                </w:rPr>
                <w:t>Certification of Chief Financial Officer pursuant to 18 U.S.C. Section 1350, as adopted pursuant to Section 906 of the Sarbanes-</w:t>
              </w:r>
            </w:hyperlink>
          </w:p>
        </w:tc>
        <w:tc>
          <w:tcPr>
            <w:tcW w:w="2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148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123">
              <w:r>
                <w:rPr>
                  <w:rFonts w:ascii="Arial" w:cs="Arial" w:eastAsia="Arial" w:hAnsi="Arial"/>
                  <w:sz w:val="18"/>
                  <w:szCs w:val="18"/>
                  <w:color w:val="0000FF"/>
                  <w:w w:val="99"/>
                </w:rPr>
                <w:t>Oxley Act of 2002.</w:t>
              </w:r>
            </w:hyperlink>
          </w:p>
        </w:tc>
        <w:tc>
          <w:tcPr>
            <w:tcW w:w="8720" w:type="dxa"/>
            <w:vAlign w:val="bottom"/>
            <w:gridSpan w:val="3"/>
          </w:tcPr>
          <w:p>
            <w:pPr>
              <w:spacing w:after="0"/>
              <w:rPr>
                <w:sz w:val="15"/>
                <w:szCs w:val="15"/>
                <w:color w:val="auto"/>
              </w:rPr>
            </w:pPr>
          </w:p>
        </w:tc>
      </w:tr>
      <w:tr>
        <w:trPr>
          <w:trHeight w:val="358"/>
        </w:trPr>
        <w:tc>
          <w:tcPr>
            <w:tcW w:w="1140" w:type="dxa"/>
            <w:vAlign w:val="bottom"/>
          </w:tcPr>
          <w:p>
            <w:pPr>
              <w:jc w:val="right"/>
              <w:ind w:right="710"/>
              <w:spacing w:after="0"/>
              <w:rPr>
                <w:sz w:val="20"/>
                <w:szCs w:val="20"/>
                <w:color w:val="auto"/>
              </w:rPr>
            </w:pPr>
            <w:r>
              <w:rPr>
                <w:rFonts w:ascii="Arial" w:cs="Arial" w:eastAsia="Arial" w:hAnsi="Arial"/>
                <w:sz w:val="18"/>
                <w:szCs w:val="18"/>
                <w:color w:val="auto"/>
                <w:w w:val="91"/>
              </w:rPr>
              <w:t>99.1</w:t>
            </w:r>
          </w:p>
        </w:tc>
        <w:tc>
          <w:tcPr>
            <w:tcW w:w="10200" w:type="dxa"/>
            <w:vAlign w:val="bottom"/>
            <w:tcBorders>
              <w:bottom w:val="single" w:sz="8" w:color="0000FF"/>
            </w:tcBorders>
            <w:gridSpan w:val="4"/>
          </w:tcPr>
          <w:p>
            <w:pPr>
              <w:spacing w:after="0"/>
              <w:rPr>
                <w:rFonts w:ascii="Arial" w:cs="Arial" w:eastAsia="Arial" w:hAnsi="Arial"/>
                <w:sz w:val="18"/>
                <w:szCs w:val="18"/>
                <w:color w:val="0000FF"/>
                <w:w w:val="99"/>
              </w:rPr>
            </w:pPr>
            <w:hyperlink r:id="rId130">
              <w:r>
                <w:rPr>
                  <w:rFonts w:ascii="Arial" w:cs="Arial" w:eastAsia="Arial" w:hAnsi="Arial"/>
                  <w:sz w:val="18"/>
                  <w:szCs w:val="18"/>
                  <w:color w:val="0000FF"/>
                  <w:w w:val="99"/>
                </w:rPr>
                <w:t>Patent License and Assignment Agreement dated as of August 12, 2005, between Leidos, Inc. and VirnetX, Inc. Incorporated by</w:t>
              </w:r>
            </w:hyperlink>
          </w:p>
        </w:tc>
      </w:tr>
      <w:tr>
        <w:trPr>
          <w:trHeight w:val="183"/>
        </w:trPr>
        <w:tc>
          <w:tcPr>
            <w:tcW w:w="1140" w:type="dxa"/>
            <w:vAlign w:val="bottom"/>
          </w:tcPr>
          <w:p>
            <w:pPr>
              <w:spacing w:after="0"/>
              <w:rPr>
                <w:sz w:val="15"/>
                <w:szCs w:val="15"/>
                <w:color w:val="auto"/>
              </w:rPr>
            </w:pPr>
          </w:p>
        </w:tc>
        <w:tc>
          <w:tcPr>
            <w:tcW w:w="10200" w:type="dxa"/>
            <w:vAlign w:val="bottom"/>
            <w:gridSpan w:val="4"/>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reference to Exhibit 99.1 to our Annual Report on Form 10-K filed with the SEC on April 1, 2010.</w:t>
              </w:r>
            </w:hyperlink>
          </w:p>
        </w:tc>
      </w:tr>
      <w:tr>
        <w:trPr>
          <w:trHeight w:val="20"/>
        </w:trPr>
        <w:tc>
          <w:tcPr>
            <w:tcW w:w="11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- 113</w:t>
      </w:r>
    </w:p>
    <w:p>
      <w:pPr>
        <w:sectPr>
          <w:pgSz w:w="11900" w:h="16838" w:orient="portrait"/>
          <w:cols w:equalWidth="0" w:num="1">
            <w:col w:w="11420"/>
          </w:cols>
          <w:pgMar w:left="240" w:top="175" w:right="239" w:bottom="1440" w:gutter="0" w:footer="0" w:header="0"/>
          <w:type w:val="continuous"/>
        </w:sectPr>
      </w:pPr>
    </w:p>
    <w:bookmarkStart w:id="115" w:name="page116"/>
    <w:bookmarkEnd w:id="1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gridSpan w:val="11"/>
          </w:tcPr>
          <w:p>
            <w:pPr>
              <w:ind w:left="720"/>
              <w:spacing w:after="0"/>
              <w:rPr>
                <w:sz w:val="20"/>
                <w:szCs w:val="20"/>
                <w:color w:val="auto"/>
              </w:rPr>
            </w:pPr>
            <w:r>
              <w:rPr>
                <w:rFonts w:ascii="Arial" w:cs="Arial" w:eastAsia="Arial" w:hAnsi="Arial"/>
                <w:sz w:val="14"/>
                <w:szCs w:val="14"/>
                <w:color w:val="auto"/>
              </w:rPr>
              <w:t>Description of Exhibit</w:t>
            </w:r>
          </w:p>
        </w:tc>
      </w:tr>
      <w:tr>
        <w:trPr>
          <w:trHeight w:val="202"/>
        </w:trPr>
        <w:tc>
          <w:tcPr>
            <w:tcW w:w="11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99.2†</w:t>
            </w:r>
          </w:p>
        </w:tc>
        <w:tc>
          <w:tcPr>
            <w:tcW w:w="20" w:type="dxa"/>
            <w:vAlign w:val="bottom"/>
          </w:tcPr>
          <w:p>
            <w:pPr>
              <w:spacing w:after="0"/>
              <w:rPr>
                <w:sz w:val="17"/>
                <w:szCs w:val="17"/>
                <w:color w:val="auto"/>
              </w:rPr>
            </w:pPr>
          </w:p>
        </w:tc>
        <w:tc>
          <w:tcPr>
            <w:tcW w:w="9740" w:type="dxa"/>
            <w:vAlign w:val="bottom"/>
            <w:tcBorders>
              <w:bottom w:val="single" w:sz="8" w:color="0000FF"/>
            </w:tcBorders>
            <w:gridSpan w:val="8"/>
          </w:tcPr>
          <w:p>
            <w:pPr>
              <w:spacing w:after="0" w:line="202"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Amendment No. 1 dated as of November 2, 2006, to Patent License and Assignment Agreement between Leidos, Inc. and</w:t>
              </w:r>
            </w:hyperlink>
          </w:p>
        </w:tc>
        <w:tc>
          <w:tcPr>
            <w:tcW w:w="500" w:type="dxa"/>
            <w:vAlign w:val="bottom"/>
            <w:gridSpan w:val="6"/>
          </w:tcPr>
          <w:p>
            <w:pPr>
              <w:spacing w:after="0"/>
              <w:rPr>
                <w:sz w:val="17"/>
                <w:szCs w:val="17"/>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VirnetX, Inc. Incorporated by reference to Exhibit 99.2 to our Annual Report on Form 10-K filed with the SEC on April 1, 2010.</w:t>
              </w:r>
            </w:hyperlink>
          </w:p>
        </w:tc>
        <w:tc>
          <w:tcPr>
            <w:tcW w:w="260" w:type="dxa"/>
            <w:vAlign w:val="bottom"/>
            <w:gridSpan w:val="4"/>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tcBorders>
              <w:bottom w:val="single" w:sz="8" w:color="0000FF"/>
            </w:tcBorders>
            <w:gridSpan w:val="13"/>
          </w:tcPr>
          <w:p>
            <w:pPr>
              <w:spacing w:after="0"/>
              <w:rPr>
                <w:rFonts w:ascii="Arial" w:cs="Arial" w:eastAsia="Arial" w:hAnsi="Arial"/>
                <w:sz w:val="18"/>
                <w:szCs w:val="18"/>
                <w:color w:val="0000FF"/>
                <w:w w:val="99"/>
              </w:rPr>
            </w:pPr>
            <w:hyperlink r:id="rId132">
              <w:r>
                <w:rPr>
                  <w:rFonts w:ascii="Arial" w:cs="Arial" w:eastAsia="Arial" w:hAnsi="Arial"/>
                  <w:sz w:val="18"/>
                  <w:szCs w:val="18"/>
                  <w:color w:val="0000FF"/>
                  <w:w w:val="99"/>
                </w:rPr>
                <w:t>Amendment No. 2 dated as of March 12, 2008, to Patent License and Assignment Agreement between Leidos, Inc. and VirnetX,</w:t>
              </w:r>
            </w:hyperlink>
          </w:p>
        </w:tc>
        <w:tc>
          <w:tcPr>
            <w:tcW w:w="4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Inc. Incorporated by reference to Exhibit 99.3 to our Form 10-K filed with the SEC on April 1, 2010.</w:t>
              </w:r>
            </w:hyperlink>
          </w:p>
        </w:tc>
        <w:tc>
          <w:tcPr>
            <w:tcW w:w="2400" w:type="dxa"/>
            <w:vAlign w:val="bottom"/>
            <w:gridSpan w:val="10"/>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4"/>
          </w:tcPr>
          <w:p>
            <w:pPr>
              <w:spacing w:after="0"/>
              <w:rPr>
                <w:rFonts w:ascii="Arial" w:cs="Arial" w:eastAsia="Arial" w:hAnsi="Arial"/>
                <w:sz w:val="18"/>
                <w:szCs w:val="18"/>
                <w:color w:val="0000FF"/>
              </w:rPr>
            </w:pPr>
            <w:hyperlink r:id="rId133">
              <w:r>
                <w:rPr>
                  <w:rFonts w:ascii="Arial" w:cs="Arial" w:eastAsia="Arial" w:hAnsi="Arial"/>
                  <w:sz w:val="18"/>
                  <w:szCs w:val="18"/>
                  <w:color w:val="0000FF"/>
                </w:rPr>
                <w:t>Employee Matters Agreement, dated as of January 26, 2016, among Lockheed Martin Corporation, Abacus Innovations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Corporation and Leidos Holdings, Inc. Incorporated by reference to Exhibit 99.1 to our Registration Statement on Form S-4 filed</w:t>
              </w:r>
            </w:hyperlink>
          </w:p>
        </w:tc>
        <w:tc>
          <w:tcPr>
            <w:tcW w:w="10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14"/>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with the SEC on April 18,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Tax Matters Agreement, dated as of January 26, 2016, among Lockheed Martin Corporation, Abacus Innovations Corporation</w:t>
              </w:r>
            </w:hyperlink>
          </w:p>
        </w:tc>
        <w:tc>
          <w:tcPr>
            <w:tcW w:w="260" w:type="dxa"/>
            <w:vAlign w:val="bottom"/>
            <w:gridSpan w:val="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and Leidos Holdings, Inc. Incorporated by reference to Exhibit 99.2 to our Registration Statement on Form S-4 filed with the</w:t>
              </w:r>
            </w:hyperlink>
          </w:p>
        </w:tc>
        <w:tc>
          <w:tcPr>
            <w:tcW w:w="420" w:type="dxa"/>
            <w:vAlign w:val="bottom"/>
            <w:gridSpan w:val="5"/>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SEC on April 18, 2016.</w:t>
              </w:r>
            </w:hyperlink>
          </w:p>
        </w:tc>
        <w:tc>
          <w:tcPr>
            <w:tcW w:w="8400" w:type="dxa"/>
            <w:vAlign w:val="bottom"/>
            <w:gridSpan w:val="13"/>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7"/>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First Amendment to Employee Matters Agreement, dated June 27, 2016, among Lockheed Martin Corporation, Abacus</w:t>
              </w:r>
            </w:hyperlink>
          </w:p>
        </w:tc>
        <w:tc>
          <w:tcPr>
            <w:tcW w:w="740" w:type="dxa"/>
            <w:vAlign w:val="bottom"/>
            <w:gridSpan w:val="7"/>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14"/>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Innovations Corporation and Leidos Holdings, Inc. Incorporated by reference to Exhibit 99.13 to our Registration Statement on</w:t>
              </w:r>
            </w:hyperlink>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Form S-4 filed with the SEC on June 28, 2016.</w:t>
              </w:r>
            </w:hyperlink>
          </w:p>
        </w:tc>
        <w:tc>
          <w:tcPr>
            <w:tcW w:w="6300" w:type="dxa"/>
            <w:vAlign w:val="bottom"/>
            <w:tcBorders>
              <w:top w:val="single" w:sz="8" w:color="0000FF"/>
            </w:tcBorders>
            <w:gridSpan w:val="8"/>
          </w:tcPr>
          <w:p>
            <w:pPr>
              <w:spacing w:after="0"/>
              <w:rPr>
                <w:sz w:val="15"/>
                <w:szCs w:val="15"/>
                <w:color w:val="auto"/>
              </w:rPr>
            </w:pPr>
          </w:p>
        </w:tc>
        <w:tc>
          <w:tcPr>
            <w:tcW w:w="220" w:type="dxa"/>
            <w:vAlign w:val="bottom"/>
            <w:gridSpan w:val="3"/>
          </w:tcPr>
          <w:p>
            <w:pPr>
              <w:spacing w:after="0"/>
              <w:rPr>
                <w:sz w:val="15"/>
                <w:szCs w:val="15"/>
                <w:color w:val="auto"/>
              </w:rPr>
            </w:pPr>
          </w:p>
        </w:tc>
      </w:tr>
      <w:tr>
        <w:trPr>
          <w:trHeight w:val="358"/>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24"/>
                <w:szCs w:val="24"/>
                <w:color w:val="auto"/>
              </w:rPr>
            </w:pPr>
          </w:p>
        </w:tc>
        <w:tc>
          <w:tcPr>
            <w:tcW w:w="9460" w:type="dxa"/>
            <w:vAlign w:val="bottom"/>
            <w:tcBorders>
              <w:bottom w:val="single" w:sz="8" w:color="0000FF"/>
            </w:tcBorders>
            <w:gridSpan w:val="6"/>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Professional Services Contract effective September 7, 1999, between Leidos, Inc. and In-Q-Tel, Inc. (f/k/a In-Q-It, Inc.).</w:t>
              </w:r>
            </w:hyperlink>
          </w:p>
        </w:tc>
        <w:tc>
          <w:tcPr>
            <w:tcW w:w="780" w:type="dxa"/>
            <w:vAlign w:val="bottom"/>
            <w:gridSpan w:val="8"/>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gridSpan w:val="14"/>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Incorporated by reference to Exhibit 99.4 to our Annual Report on Form 10-K filed with the SEC on April 1, 2010.</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80" w:hanging="1145"/>
        <w:spacing w:after="0"/>
        <w:tabs>
          <w:tab w:leader="none" w:pos="11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5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Executive Compensation Plans and Arrangements</w:t>
      </w:r>
    </w:p>
    <w:p>
      <w:pPr>
        <w:spacing w:after="0" w:line="78" w:lineRule="exact"/>
        <w:rPr>
          <w:rFonts w:ascii="Arial" w:cs="Arial" w:eastAsia="Arial" w:hAnsi="Arial"/>
          <w:sz w:val="18"/>
          <w:szCs w:val="18"/>
          <w:color w:val="auto"/>
        </w:rPr>
      </w:pPr>
    </w:p>
    <w:p>
      <w:pPr>
        <w:ind w:left="160" w:hanging="152"/>
        <w:spacing w:after="0"/>
        <w:tabs>
          <w:tab w:leader="none" w:pos="1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Paper filing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 Confidential treatment has been granted with respect to certain portions of these exhibits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- 114</w:t>
      </w:r>
    </w:p>
    <w:p>
      <w:pPr>
        <w:sectPr>
          <w:pgSz w:w="11900" w:h="16838" w:orient="portrait"/>
          <w:cols w:equalWidth="0" w:num="1">
            <w:col w:w="11420"/>
          </w:cols>
          <w:pgMar w:left="240" w:top="175" w:right="2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Leidos Holdings, Inc.</w:t>
      </w:r>
    </w:p>
    <w:p>
      <w:pPr>
        <w:spacing w:after="0" w:line="171" w:lineRule="exact"/>
        <w:rPr>
          <w:sz w:val="20"/>
          <w:szCs w:val="20"/>
          <w:color w:val="auto"/>
        </w:rPr>
      </w:pPr>
    </w:p>
    <w:p>
      <w:pPr>
        <w:ind w:left="516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James C. Reagan</w:t>
      </w:r>
    </w:p>
    <w:p>
      <w:pPr>
        <w:spacing w:after="0" w:line="1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2019</w:t>
      </w:r>
    </w:p>
    <w:p>
      <w:pPr>
        <w:spacing w:after="0" w:line="3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Leidos Holdings, Inc.,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2"/>
          </w:tcPr>
          <w:p>
            <w:pPr>
              <w:jc w:val="center"/>
              <w:ind w:right="2360"/>
              <w:spacing w:after="0"/>
              <w:rPr>
                <w:sz w:val="20"/>
                <w:szCs w:val="20"/>
                <w:color w:val="auto"/>
              </w:rPr>
            </w:pPr>
            <w:r>
              <w:rPr>
                <w:rFonts w:ascii="Arial" w:cs="Arial" w:eastAsia="Arial" w:hAnsi="Arial"/>
                <w:sz w:val="14"/>
                <w:szCs w:val="14"/>
                <w:b w:val="1"/>
                <w:bCs w:val="1"/>
                <w:color w:val="auto"/>
              </w:rPr>
              <w:t>Signature</w:t>
            </w:r>
          </w:p>
        </w:tc>
        <w:tc>
          <w:tcPr>
            <w:tcW w:w="358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491"/>
              <w:spacing w:after="0"/>
              <w:rPr>
                <w:sz w:val="20"/>
                <w:szCs w:val="20"/>
                <w:color w:val="auto"/>
              </w:rPr>
            </w:pPr>
            <w:r>
              <w:rPr>
                <w:rFonts w:ascii="Arial" w:cs="Arial" w:eastAsia="Arial" w:hAnsi="Arial"/>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2"/>
        </w:trPr>
        <w:tc>
          <w:tcPr>
            <w:tcW w:w="1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Roger A. Krone</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w w:val="98"/>
              </w:rPr>
              <w:t>Principal Executive Officer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rPr>
              <w:t>Roger A. Krone</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04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9"/>
              </w:rPr>
              <w:t>James C. Reagan</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w w:val="99"/>
              </w:rPr>
              <w:t>Principal Financial Officer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rPr>
              <w:t>James C. Reagan</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Ranjit S. Chadha</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w w:val="99"/>
              </w:rPr>
              <w:t>Principal Accounting Officer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rPr>
              <w:t>Ranjit S. Chadha</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0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9"/>
              </w:rPr>
              <w:t>Gregory R. Dahlberg</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356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rPr>
              <w:t>Gregory R. Dahlberg</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David G. Fubini</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rPr>
              <w:t>David G. Fubini</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Miriam E. John</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rPr>
              <w:t>Miriam E. John</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9"/>
              </w:rPr>
              <w:t>Frank Kendall III</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rPr>
              <w:t>Frank Kendall III</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04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8"/>
              </w:rPr>
              <w:t>Robert C. Kovarik, Jr.</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356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rPr>
              <w:t>Robert C. Kovarik, Jr.</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5"/>
          </w:tcPr>
          <w:p>
            <w:pPr>
              <w:jc w:val="center"/>
              <w:ind w:right="1420"/>
              <w:spacing w:after="0"/>
              <w:rPr>
                <w:sz w:val="20"/>
                <w:szCs w:val="20"/>
                <w:color w:val="auto"/>
              </w:rPr>
            </w:pPr>
            <w:r>
              <w:rPr>
                <w:rFonts w:ascii="Arial" w:cs="Arial" w:eastAsia="Arial" w:hAnsi="Arial"/>
                <w:sz w:val="18"/>
                <w:szCs w:val="18"/>
                <w:color w:val="auto"/>
                <w:w w:val="98"/>
              </w:rPr>
              <w:t>Harry M. J. Kraemer, Jr.</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356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rPr>
              <w:t>Harry M. J. Kraemer, Jr.</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/s/</w:t>
            </w: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center"/>
              <w:ind w:right="1940"/>
              <w:spacing w:after="0"/>
              <w:rPr>
                <w:sz w:val="20"/>
                <w:szCs w:val="20"/>
                <w:color w:val="auto"/>
              </w:rPr>
            </w:pPr>
            <w:r>
              <w:rPr>
                <w:rFonts w:ascii="Arial" w:cs="Arial" w:eastAsia="Arial" w:hAnsi="Arial"/>
                <w:sz w:val="18"/>
                <w:szCs w:val="18"/>
                <w:color w:val="auto"/>
                <w:w w:val="99"/>
              </w:rPr>
              <w:t>Gary S. May</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rPr>
              <w:t>Gary S. May</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040" w:type="dxa"/>
            <w:vAlign w:val="bottom"/>
            <w:tcBorders>
              <w:bottom w:val="single" w:sz="8" w:color="auto"/>
            </w:tcBorders>
            <w:gridSpan w:val="2"/>
          </w:tcPr>
          <w:p>
            <w:pPr>
              <w:ind w:left="170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Surya N. Mohapatra</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356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rPr>
              <w:t>Surya N. Mohapatra</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3560" w:type="dxa"/>
            <w:vAlign w:val="bottom"/>
            <w:tcBorders>
              <w:bottom w:val="single" w:sz="8" w:color="auto"/>
            </w:tcBorders>
            <w:gridSpan w:val="5"/>
          </w:tcPr>
          <w:p>
            <w:pPr>
              <w:jc w:val="center"/>
              <w:ind w:right="1420"/>
              <w:spacing w:after="0"/>
              <w:rPr>
                <w:sz w:val="20"/>
                <w:szCs w:val="20"/>
                <w:color w:val="auto"/>
              </w:rPr>
            </w:pPr>
            <w:r>
              <w:rPr>
                <w:rFonts w:ascii="Arial" w:cs="Arial" w:eastAsia="Arial" w:hAnsi="Arial"/>
                <w:sz w:val="18"/>
                <w:szCs w:val="18"/>
                <w:color w:val="auto"/>
                <w:w w:val="99"/>
              </w:rPr>
              <w:t>Lawrence C. Nussdorf</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356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rPr>
              <w:t>Lawrence C. Nussdorf</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04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Robert S. Shapard</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rPr>
              <w:t>Robert S. Shapard</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20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9"/>
              </w:rPr>
              <w:t>Susan M. Stalnecker</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356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rPr>
              <w:t>Susan M. Stalnecker</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84"/>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9"/>
              </w:rPr>
              <w:t>Noel B. Williams</w:t>
            </w:r>
          </w:p>
        </w:tc>
        <w:tc>
          <w:tcPr>
            <w:tcW w:w="3580" w:type="dxa"/>
            <w:vAlign w:val="bottom"/>
            <w:gridSpan w:val="3"/>
          </w:tcPr>
          <w:p>
            <w:pPr>
              <w:jc w:val="center"/>
              <w:ind w:left="91"/>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491"/>
              <w:spacing w:after="0"/>
              <w:rPr>
                <w:sz w:val="20"/>
                <w:szCs w:val="20"/>
                <w:color w:val="auto"/>
              </w:rPr>
            </w:pPr>
            <w:r>
              <w:rPr>
                <w:rFonts w:ascii="Arial" w:cs="Arial" w:eastAsia="Arial" w:hAnsi="Arial"/>
                <w:sz w:val="18"/>
                <w:szCs w:val="18"/>
                <w:color w:val="auto"/>
              </w:rPr>
              <w:t>February 19, 2019</w:t>
            </w:r>
          </w:p>
        </w:tc>
      </w:tr>
      <w:tr>
        <w:trPr>
          <w:trHeight w:val="204"/>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rPr>
              <w:t>Noel B. Williams</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240" w:top="175" w:right="419" w:bottom="1440" w:gutter="0" w:footer="0" w:header="0"/>
        </w:sectPr>
      </w:pPr>
    </w:p>
    <w:p>
      <w:pPr>
        <w:spacing w:after="0" w:line="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Leidos Holdings, Inc. Annual Report - 115</w:t>
      </w:r>
    </w:p>
    <w:p>
      <w:pPr>
        <w:sectPr>
          <w:pgSz w:w="11900" w:h="16838" w:orient="portrait"/>
          <w:cols w:equalWidth="0" w:num="1">
            <w:col w:w="11240"/>
          </w:cols>
          <w:pgMar w:left="240" w:top="175" w:right="41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60" w:type="dxa"/>
            <w:vAlign w:val="bottom"/>
          </w:tcPr>
          <w:p>
            <w:pPr>
              <w:spacing w:after="0"/>
              <w:rPr>
                <w:sz w:val="22"/>
                <w:szCs w:val="22"/>
                <w:color w:val="auto"/>
              </w:rPr>
            </w:pPr>
          </w:p>
        </w:tc>
        <w:tc>
          <w:tcPr>
            <w:tcW w:w="6360" w:type="dxa"/>
            <w:vAlign w:val="bottom"/>
          </w:tcPr>
          <w:p>
            <w:pPr>
              <w:ind w:left="280"/>
              <w:spacing w:after="0"/>
              <w:rPr>
                <w:sz w:val="20"/>
                <w:szCs w:val="20"/>
                <w:color w:val="auto"/>
              </w:rPr>
            </w:pPr>
            <w:r>
              <w:rPr>
                <w:rFonts w:ascii="Arial" w:cs="Arial" w:eastAsia="Arial" w:hAnsi="Arial"/>
                <w:sz w:val="20"/>
                <w:szCs w:val="20"/>
                <w:b w:val="1"/>
                <w:bCs w:val="1"/>
                <w:color w:val="auto"/>
              </w:rPr>
              <w:t>Subsidiaries</w:t>
            </w:r>
          </w:p>
        </w:tc>
      </w:tr>
      <w:tr>
        <w:trPr>
          <w:trHeight w:val="921"/>
        </w:trPr>
        <w:tc>
          <w:tcPr>
            <w:tcW w:w="4660" w:type="dxa"/>
            <w:vAlign w:val="bottom"/>
            <w:tcBorders>
              <w:bottom w:val="single" w:sz="8" w:color="auto"/>
            </w:tcBorders>
          </w:tcPr>
          <w:p>
            <w:pPr>
              <w:ind w:left="3220"/>
              <w:spacing w:after="0"/>
              <w:rPr>
                <w:sz w:val="20"/>
                <w:szCs w:val="20"/>
                <w:color w:val="auto"/>
              </w:rPr>
            </w:pPr>
            <w:r>
              <w:rPr>
                <w:rFonts w:ascii="Arial" w:cs="Arial" w:eastAsia="Arial" w:hAnsi="Arial"/>
                <w:sz w:val="18"/>
                <w:szCs w:val="18"/>
                <w:b w:val="1"/>
                <w:bCs w:val="1"/>
                <w:color w:val="auto"/>
              </w:rPr>
              <w:t>Name</w:t>
            </w:r>
          </w:p>
        </w:tc>
        <w:tc>
          <w:tcPr>
            <w:tcW w:w="636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Jurisdiction of Formation</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Leidos,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Biomedical Research,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Consulting Engineers,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California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Engineering,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Global Technology Corporation</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Services,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Reveal Imaging Technologies,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Varec Holdings,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Varec, Inc.</w:t>
            </w:r>
          </w:p>
        </w:tc>
        <w:tc>
          <w:tcPr>
            <w:tcW w:w="6360" w:type="dxa"/>
            <w:vAlign w:val="bottom"/>
          </w:tcPr>
          <w:p>
            <w:pPr>
              <w:ind w:left="3100"/>
              <w:spacing w:after="0"/>
              <w:rPr>
                <w:sz w:val="20"/>
                <w:szCs w:val="20"/>
                <w:color w:val="auto"/>
              </w:rPr>
            </w:pPr>
            <w:r>
              <w:rPr>
                <w:rFonts w:ascii="Arial" w:cs="Arial" w:eastAsia="Arial" w:hAnsi="Arial"/>
                <w:sz w:val="18"/>
                <w:szCs w:val="18"/>
                <w:color w:val="auto"/>
              </w:rPr>
              <w:t>Georgia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Europe,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Supply,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Benham Military Communities, LLC</w:t>
            </w:r>
          </w:p>
        </w:tc>
        <w:tc>
          <w:tcPr>
            <w:tcW w:w="6360" w:type="dxa"/>
            <w:vAlign w:val="bottom"/>
          </w:tcPr>
          <w:p>
            <w:pPr>
              <w:ind w:left="3100"/>
              <w:spacing w:after="0"/>
              <w:rPr>
                <w:sz w:val="20"/>
                <w:szCs w:val="20"/>
                <w:color w:val="auto"/>
              </w:rPr>
            </w:pPr>
            <w:r>
              <w:rPr>
                <w:rFonts w:ascii="Arial" w:cs="Arial" w:eastAsia="Arial" w:hAnsi="Arial"/>
                <w:sz w:val="18"/>
                <w:szCs w:val="18"/>
                <w:color w:val="auto"/>
              </w:rPr>
              <w:t>Oklahoma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Health Holdings,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Health,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Arabia Company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Saudi Arabia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Intermediate Holdings,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Federal Healthcare, Inc.</w:t>
            </w:r>
          </w:p>
        </w:tc>
        <w:tc>
          <w:tcPr>
            <w:tcW w:w="6360" w:type="dxa"/>
            <w:vAlign w:val="bottom"/>
          </w:tcPr>
          <w:p>
            <w:pPr>
              <w:ind w:left="3100"/>
              <w:spacing w:after="0"/>
              <w:rPr>
                <w:sz w:val="20"/>
                <w:szCs w:val="20"/>
                <w:color w:val="auto"/>
              </w:rPr>
            </w:pPr>
            <w:r>
              <w:rPr>
                <w:rFonts w:ascii="Arial" w:cs="Arial" w:eastAsia="Arial" w:hAnsi="Arial"/>
                <w:sz w:val="18"/>
                <w:szCs w:val="18"/>
                <w:color w:val="auto"/>
              </w:rPr>
              <w:t>Maryland</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Government Services,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Maryland</w:t>
            </w:r>
          </w:p>
        </w:tc>
      </w:tr>
      <w:tr>
        <w:trPr>
          <w:trHeight w:val="257"/>
        </w:trPr>
        <w:tc>
          <w:tcPr>
            <w:tcW w:w="4660" w:type="dxa"/>
            <w:vAlign w:val="bottom"/>
          </w:tcPr>
          <w:p>
            <w:pPr>
              <w:ind w:left="1060"/>
              <w:spacing w:after="0"/>
              <w:rPr>
                <w:sz w:val="20"/>
                <w:szCs w:val="20"/>
                <w:color w:val="auto"/>
              </w:rPr>
            </w:pPr>
            <w:r>
              <w:rPr>
                <w:rFonts w:ascii="Arial" w:cs="Arial" w:eastAsia="Arial" w:hAnsi="Arial"/>
                <w:sz w:val="18"/>
                <w:szCs w:val="18"/>
                <w:color w:val="auto"/>
              </w:rPr>
              <w:t>Leidos Integrated Technology,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1380"/>
              <w:spacing w:after="0"/>
              <w:rPr>
                <w:sz w:val="20"/>
                <w:szCs w:val="20"/>
                <w:color w:val="auto"/>
              </w:rPr>
            </w:pPr>
            <w:r>
              <w:rPr>
                <w:rFonts w:ascii="Arial" w:cs="Arial" w:eastAsia="Arial" w:hAnsi="Arial"/>
                <w:sz w:val="18"/>
                <w:szCs w:val="18"/>
                <w:color w:val="auto"/>
              </w:rPr>
              <w:t>Mission Support Alliance, LLC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QTC Holdings,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1060"/>
              <w:spacing w:after="0"/>
              <w:rPr>
                <w:sz w:val="20"/>
                <w:szCs w:val="20"/>
                <w:color w:val="auto"/>
              </w:rPr>
            </w:pPr>
            <w:r>
              <w:rPr>
                <w:rFonts w:ascii="Arial" w:cs="Arial" w:eastAsia="Arial" w:hAnsi="Arial"/>
                <w:sz w:val="18"/>
                <w:szCs w:val="18"/>
                <w:color w:val="auto"/>
              </w:rPr>
              <w:t>QTC Management, Inc.</w:t>
            </w:r>
          </w:p>
        </w:tc>
        <w:tc>
          <w:tcPr>
            <w:tcW w:w="6360" w:type="dxa"/>
            <w:vAlign w:val="bottom"/>
          </w:tcPr>
          <w:p>
            <w:pPr>
              <w:ind w:left="3100"/>
              <w:spacing w:after="0"/>
              <w:rPr>
                <w:sz w:val="20"/>
                <w:szCs w:val="20"/>
                <w:color w:val="auto"/>
              </w:rPr>
            </w:pPr>
            <w:r>
              <w:rPr>
                <w:rFonts w:ascii="Arial" w:cs="Arial" w:eastAsia="Arial" w:hAnsi="Arial"/>
                <w:sz w:val="18"/>
                <w:szCs w:val="18"/>
                <w:color w:val="auto"/>
              </w:rPr>
              <w:t>California</w:t>
            </w:r>
          </w:p>
        </w:tc>
      </w:tr>
      <w:tr>
        <w:trPr>
          <w:trHeight w:val="257"/>
        </w:trPr>
        <w:tc>
          <w:tcPr>
            <w:tcW w:w="4660" w:type="dxa"/>
            <w:vAlign w:val="bottom"/>
          </w:tcPr>
          <w:p>
            <w:pPr>
              <w:ind w:left="1380"/>
              <w:spacing w:after="0"/>
              <w:rPr>
                <w:sz w:val="20"/>
                <w:szCs w:val="20"/>
                <w:color w:val="auto"/>
              </w:rPr>
            </w:pPr>
            <w:r>
              <w:rPr>
                <w:rFonts w:ascii="Arial" w:cs="Arial" w:eastAsia="Arial" w:hAnsi="Arial"/>
                <w:sz w:val="18"/>
                <w:szCs w:val="18"/>
                <w:color w:val="auto"/>
              </w:rPr>
              <w:t>QTC Medical Services,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California</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Cyber,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Digital Solutions,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Virginia</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Management Systems Designers, Inc.</w:t>
            </w:r>
          </w:p>
        </w:tc>
        <w:tc>
          <w:tcPr>
            <w:tcW w:w="6360" w:type="dxa"/>
            <w:vAlign w:val="bottom"/>
          </w:tcPr>
          <w:p>
            <w:pPr>
              <w:ind w:left="3100"/>
              <w:spacing w:after="0"/>
              <w:rPr>
                <w:sz w:val="20"/>
                <w:szCs w:val="20"/>
                <w:color w:val="auto"/>
              </w:rPr>
            </w:pPr>
            <w:r>
              <w:rPr>
                <w:rFonts w:ascii="Arial" w:cs="Arial" w:eastAsia="Arial" w:hAnsi="Arial"/>
                <w:sz w:val="18"/>
                <w:szCs w:val="18"/>
                <w:color w:val="auto"/>
              </w:rPr>
              <w:t>Virginia</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Systems Made Simple, Inc.</w:t>
            </w:r>
          </w:p>
        </w:tc>
        <w:tc>
          <w:tcPr>
            <w:tcW w:w="6360" w:type="dxa"/>
            <w:vAlign w:val="bottom"/>
          </w:tcPr>
          <w:p>
            <w:pPr>
              <w:ind w:left="3100"/>
              <w:spacing w:after="0"/>
              <w:rPr>
                <w:sz w:val="20"/>
                <w:szCs w:val="20"/>
                <w:color w:val="auto"/>
              </w:rPr>
            </w:pPr>
            <w:r>
              <w:rPr>
                <w:rFonts w:ascii="Arial" w:cs="Arial" w:eastAsia="Arial" w:hAnsi="Arial"/>
                <w:sz w:val="18"/>
                <w:szCs w:val="18"/>
                <w:color w:val="auto"/>
              </w:rPr>
              <w:t>New York</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The Sytex Group, Inc.</w:t>
            </w:r>
          </w:p>
        </w:tc>
        <w:tc>
          <w:tcPr>
            <w:tcW w:w="6360" w:type="dxa"/>
            <w:vAlign w:val="bottom"/>
          </w:tcPr>
          <w:p>
            <w:pPr>
              <w:ind w:left="3100"/>
              <w:spacing w:after="0"/>
              <w:rPr>
                <w:sz w:val="20"/>
                <w:szCs w:val="20"/>
                <w:color w:val="auto"/>
              </w:rPr>
            </w:pPr>
            <w:r>
              <w:rPr>
                <w:rFonts w:ascii="Arial" w:cs="Arial" w:eastAsia="Arial" w:hAnsi="Arial"/>
                <w:sz w:val="18"/>
                <w:szCs w:val="18"/>
                <w:color w:val="auto"/>
              </w:rPr>
              <w:t>Pennsylvania</w:t>
            </w:r>
          </w:p>
        </w:tc>
      </w:tr>
      <w:tr>
        <w:trPr>
          <w:trHeight w:val="257"/>
        </w:trPr>
        <w:tc>
          <w:tcPr>
            <w:tcW w:w="4660" w:type="dxa"/>
            <w:vAlign w:val="bottom"/>
          </w:tcPr>
          <w:p>
            <w:pPr>
              <w:ind w:left="1060"/>
              <w:spacing w:after="0"/>
              <w:rPr>
                <w:sz w:val="20"/>
                <w:szCs w:val="20"/>
                <w:color w:val="auto"/>
              </w:rPr>
            </w:pPr>
            <w:r>
              <w:rPr>
                <w:rFonts w:ascii="Arial" w:cs="Arial" w:eastAsia="Arial" w:hAnsi="Arial"/>
                <w:sz w:val="18"/>
                <w:szCs w:val="18"/>
                <w:color w:val="auto"/>
              </w:rPr>
              <w:t>Sytex, Inc.</w:t>
            </w:r>
          </w:p>
        </w:tc>
        <w:tc>
          <w:tcPr>
            <w:tcW w:w="6360" w:type="dxa"/>
            <w:vAlign w:val="bottom"/>
          </w:tcPr>
          <w:p>
            <w:pPr>
              <w:ind w:left="3100"/>
              <w:spacing w:after="0"/>
              <w:rPr>
                <w:sz w:val="20"/>
                <w:szCs w:val="20"/>
                <w:color w:val="auto"/>
              </w:rPr>
            </w:pPr>
            <w:r>
              <w:rPr>
                <w:rFonts w:ascii="Arial" w:cs="Arial" w:eastAsia="Arial" w:hAnsi="Arial"/>
                <w:sz w:val="18"/>
                <w:szCs w:val="18"/>
                <w:color w:val="auto"/>
              </w:rPr>
              <w:t>Pennsylvania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Innovations Global, Inc.</w:t>
            </w:r>
          </w:p>
        </w:tc>
        <w:tc>
          <w:tcPr>
            <w:tcW w:w="6360" w:type="dxa"/>
            <w:vAlign w:val="bottom"/>
          </w:tcPr>
          <w:p>
            <w:pPr>
              <w:ind w:left="3100"/>
              <w:spacing w:after="0"/>
              <w:rPr>
                <w:sz w:val="20"/>
                <w:szCs w:val="20"/>
                <w:color w:val="auto"/>
              </w:rPr>
            </w:pPr>
            <w:r>
              <w:rPr>
                <w:rFonts w:ascii="Arial" w:cs="Arial" w:eastAsia="Arial" w:hAnsi="Arial"/>
                <w:sz w:val="18"/>
                <w:szCs w:val="18"/>
                <w:color w:val="auto"/>
              </w:rPr>
              <w:t>Delaware</w:t>
            </w:r>
          </w:p>
        </w:tc>
      </w:tr>
      <w:tr>
        <w:trPr>
          <w:trHeight w:val="257"/>
        </w:trPr>
        <w:tc>
          <w:tcPr>
            <w:tcW w:w="4660" w:type="dxa"/>
            <w:vAlign w:val="bottom"/>
          </w:tcPr>
          <w:p>
            <w:pPr>
              <w:ind w:left="740"/>
              <w:spacing w:after="0"/>
              <w:rPr>
                <w:sz w:val="20"/>
                <w:szCs w:val="20"/>
                <w:color w:val="auto"/>
              </w:rPr>
            </w:pPr>
            <w:r>
              <w:rPr>
                <w:rFonts w:ascii="Arial" w:cs="Arial" w:eastAsia="Arial" w:hAnsi="Arial"/>
                <w:sz w:val="18"/>
                <w:szCs w:val="18"/>
                <w:color w:val="auto"/>
              </w:rPr>
              <w:t>Leidos Australia Pty Ltd.</w:t>
            </w:r>
          </w:p>
        </w:tc>
        <w:tc>
          <w:tcPr>
            <w:tcW w:w="6360" w:type="dxa"/>
            <w:vAlign w:val="bottom"/>
          </w:tcPr>
          <w:p>
            <w:pPr>
              <w:ind w:left="3100"/>
              <w:spacing w:after="0"/>
              <w:rPr>
                <w:sz w:val="20"/>
                <w:szCs w:val="20"/>
                <w:color w:val="auto"/>
              </w:rPr>
            </w:pPr>
            <w:r>
              <w:rPr>
                <w:rFonts w:ascii="Arial" w:cs="Arial" w:eastAsia="Arial" w:hAnsi="Arial"/>
                <w:sz w:val="18"/>
                <w:szCs w:val="18"/>
                <w:color w:val="auto"/>
              </w:rPr>
              <w:t>Australia</w:t>
            </w:r>
          </w:p>
        </w:tc>
      </w:tr>
      <w:tr>
        <w:trPr>
          <w:trHeight w:val="257"/>
        </w:trPr>
        <w:tc>
          <w:tcPr>
            <w:tcW w:w="4660" w:type="dxa"/>
            <w:vAlign w:val="bottom"/>
          </w:tcPr>
          <w:p>
            <w:pPr>
              <w:ind w:left="400"/>
              <w:spacing w:after="0"/>
              <w:rPr>
                <w:sz w:val="20"/>
                <w:szCs w:val="20"/>
                <w:color w:val="auto"/>
              </w:rPr>
            </w:pPr>
            <w:r>
              <w:rPr>
                <w:rFonts w:ascii="Arial" w:cs="Arial" w:eastAsia="Arial" w:hAnsi="Arial"/>
                <w:sz w:val="18"/>
                <w:szCs w:val="18"/>
                <w:color w:val="auto"/>
              </w:rPr>
              <w:t>Leidos New Zealand Limited</w:t>
            </w:r>
          </w:p>
        </w:tc>
        <w:tc>
          <w:tcPr>
            <w:tcW w:w="6360" w:type="dxa"/>
            <w:vAlign w:val="bottom"/>
          </w:tcPr>
          <w:p>
            <w:pPr>
              <w:ind w:left="3100"/>
              <w:spacing w:after="0"/>
              <w:rPr>
                <w:sz w:val="20"/>
                <w:szCs w:val="20"/>
                <w:color w:val="auto"/>
              </w:rPr>
            </w:pPr>
            <w:r>
              <w:rPr>
                <w:rFonts w:ascii="Arial" w:cs="Arial" w:eastAsia="Arial" w:hAnsi="Arial"/>
                <w:sz w:val="18"/>
                <w:szCs w:val="18"/>
                <w:color w:val="auto"/>
              </w:rPr>
              <w:t>New Zealand</w:t>
            </w:r>
          </w:p>
        </w:tc>
      </w:tr>
    </w:tbl>
    <w:p>
      <w:pPr>
        <w:sectPr>
          <w:pgSz w:w="11900" w:h="16838" w:orient="portrait"/>
          <w:cols w:equalWidth="0" w:num="1">
            <w:col w:w="11240"/>
          </w:cols>
          <w:pgMar w:left="42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333-138095, 333-153360, 333-169693, No. 333-218435, and Post-Effective Amendment No. 1 to Registration Statement No. 333-138095 on Forms S-8 of our reports dated February 19, 2019, relating to the consolidated financial statements of Leidos Holdings, Inc. and subsidiaries (“the Company”) (which report expresses an unqualified opinion), and the effectiveness of the Company’s internal control over financial reporting, appearing in this Annual Report on Form 10-K of the Company for the fiscal year ended December 28, 2018.</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McLean, Virginia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19, 2019</w:t>
      </w:r>
    </w:p>
    <w:p>
      <w:pPr>
        <w:sectPr>
          <w:pgSz w:w="11900" w:h="16838" w:orient="portrait"/>
          <w:cols w:equalWidth="0" w:num="1">
            <w:col w:w="11340"/>
          </w:cols>
          <w:pgMar w:left="320" w:top="9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Roger A. Krone, certify that:</w:t>
      </w:r>
    </w:p>
    <w:p>
      <w:pPr>
        <w:spacing w:after="0" w:line="17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100" w:hanging="640"/>
        <w:spacing w:after="0" w:line="254"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ind w:left="1620" w:right="380" w:hanging="640"/>
        <w:spacing w:after="0" w:line="256"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160" w:hanging="640"/>
        <w:spacing w:after="0" w:line="256"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220" w:hanging="640"/>
        <w:spacing w:after="0" w:line="256"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280" w:hanging="640"/>
        <w:spacing w:after="0" w:line="256"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620" w:hanging="640"/>
        <w:spacing w:after="0" w:line="262"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36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Roger A. Krone</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73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C. Reagan, certify that:</w:t>
      </w:r>
    </w:p>
    <w:p>
      <w:pPr>
        <w:spacing w:after="0" w:line="17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100" w:hanging="640"/>
        <w:spacing w:after="0" w:line="254"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ind w:left="1620" w:right="380" w:hanging="640"/>
        <w:spacing w:after="0" w:line="256"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160" w:hanging="640"/>
        <w:spacing w:after="0" w:line="256"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220" w:hanging="640"/>
        <w:spacing w:after="0" w:line="256"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280" w:hanging="640"/>
        <w:spacing w:after="0" w:line="256"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620" w:hanging="640"/>
        <w:spacing w:after="0" w:line="262"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17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James C. Reagan</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73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December 28, 2018, as filed with the Securities and Exchange Commission on the date hereof (the "Report"), I, Roger A. Krone, Chairman and Chief Executive Officer of Leidos Holdings, Inc., certify, pursuant to 18 U.S.C. § 1350, as adopted pursuant to § 906 of the Sarbanes-Oxley Act of 2002, that to the best of my knowledge:</w:t>
      </w:r>
    </w:p>
    <w:p>
      <w:pPr>
        <w:spacing w:after="0" w:line="15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36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Roger A. Krone</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73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December 28, 2018, as filed with the Securities and Exchange Commission on the date hereof (the "Report"), I, James C. Reagan, Executive Vice President and Chief Financial Officer of Leidos Holdings, Inc., certify, pursuant to 18 U.S.C. § 1350, as adopted pursuant to § 906 of the Sarbanes-Oxley Act of 2002, that to the best of my knowledge:</w:t>
      </w:r>
    </w:p>
    <w:p>
      <w:pPr>
        <w:spacing w:after="0" w:line="15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360" w:lineRule="exact"/>
        <w:rPr>
          <w:sz w:val="20"/>
          <w:szCs w:val="20"/>
          <w:color w:val="auto"/>
        </w:rPr>
      </w:pPr>
    </w:p>
    <w:p>
      <w:pPr>
        <w:ind w:left="8080"/>
        <w:spacing w:after="0"/>
        <w:tabs>
          <w:tab w:leader="none" w:pos="8440" w:val="left"/>
        </w:tabs>
        <w:rPr>
          <w:sz w:val="20"/>
          <w:szCs w:val="20"/>
          <w:color w:val="auto"/>
        </w:rPr>
      </w:pPr>
      <w:r>
        <w:rPr>
          <w:rFonts w:ascii="Arial" w:cs="Arial" w:eastAsia="Arial" w:hAnsi="Arial"/>
          <w:sz w:val="18"/>
          <w:szCs w:val="18"/>
          <w:color w:val="auto"/>
        </w:rPr>
        <w:t>/s/</w:t>
        <w:tab/>
        <w:t>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James C. Reagan</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543"/>
    </w:lvl>
  </w:abstractNum>
  <w:abstractNum w:abstractNumId="26">
    <w:nsid w:val="3855585C"/>
    <w:multiLevelType w:val="hybridMultilevel"/>
    <w:lvl w:ilvl="0">
      <w:lvlJc w:val="left"/>
      <w:lvlText w:val="%1"/>
      <w:numFmt w:val="decimal"/>
      <w:start w:val="92"/>
    </w:lvl>
  </w:abstractNum>
  <w:abstractNum w:abstractNumId="27">
    <w:nsid w:val="70A64E2A"/>
    <w:multiLevelType w:val="hybridMultilevel"/>
    <w:lvl w:ilvl="0">
      <w:lvlJc w:val="left"/>
      <w:lvlText w:val="%1"/>
      <w:numFmt w:val="decimal"/>
      <w:start w:val="237"/>
    </w:lvl>
  </w:abstractNum>
  <w:abstractNum w:abstractNumId="28">
    <w:nsid w:val="6A2342EC"/>
    <w:multiLevelType w:val="hybridMultilevel"/>
    <w:lvl w:ilvl="0">
      <w:lvlJc w:val="left"/>
      <w:lvlText w:val="%1"/>
      <w:numFmt w:val="decimal"/>
      <w:start w:val="652"/>
    </w:lvl>
  </w:abstractNum>
  <w:abstractNum w:abstractNumId="29">
    <w:nsid w:val="2A487CB0"/>
    <w:multiLevelType w:val="hybridMultilevel"/>
    <w:lvl w:ilvl="0">
      <w:lvlJc w:val="left"/>
      <w:lvlText w:val="%1"/>
      <w:numFmt w:val="decimal"/>
      <w:start w:val="182"/>
    </w:lvl>
  </w:abstractNum>
  <w:abstractNum w:abstractNumId="30">
    <w:nsid w:val="1D4ED43B"/>
    <w:multiLevelType w:val="hybridMultilevel"/>
    <w:lvl w:ilvl="0">
      <w:lvlJc w:val="left"/>
      <w:lvlText w:val="%1"/>
      <w:numFmt w:val="decimal"/>
      <w:start w:val="473"/>
    </w:lvl>
  </w:abstractNum>
  <w:abstractNum w:abstractNumId="31">
    <w:nsid w:val="725A06FB"/>
    <w:multiLevelType w:val="hybridMultilevel"/>
    <w:lvl w:ilvl="0">
      <w:lvlJc w:val="left"/>
      <w:lvlText w:val="%1"/>
      <w:numFmt w:val="decimal"/>
      <w:start w:val="12"/>
    </w:lvl>
  </w:abstractNum>
  <w:abstractNum w:abstractNumId="32">
    <w:nsid w:val="2CD89A32"/>
    <w:multiLevelType w:val="hybridMultilevel"/>
    <w:lvl w:ilvl="0">
      <w:lvlJc w:val="left"/>
      <w:lvlText w:val="%1"/>
      <w:numFmt w:val="decimal"/>
      <w:start w:val="72"/>
    </w:lvl>
  </w:abstractNum>
  <w:abstractNum w:abstractNumId="33">
    <w:nsid w:val="57E4CCAF"/>
    <w:multiLevelType w:val="hybridMultilevel"/>
    <w:lvl w:ilvl="0">
      <w:lvlJc w:val="left"/>
      <w:lvlText w:val="%1"/>
      <w:numFmt w:val="decimal"/>
      <w:start w:val="23"/>
    </w:lvl>
  </w:abstractNum>
  <w:abstractNum w:abstractNumId="34">
    <w:nsid w:val="7A6D8D3C"/>
    <w:multiLevelType w:val="hybridMultilevel"/>
    <w:lvl w:ilvl="0">
      <w:lvlJc w:val="left"/>
      <w:lvlText w:val="%1"/>
      <w:numFmt w:val="decimal"/>
      <w:start w:val="170"/>
    </w:lvl>
  </w:abstractNum>
  <w:abstractNum w:abstractNumId="35">
    <w:nsid w:val="4B588F54"/>
    <w:multiLevelType w:val="hybridMultilevel"/>
    <w:lvl w:ilvl="0">
      <w:lvlJc w:val="left"/>
      <w:lvlText w:val="%1"/>
      <w:numFmt w:val="decimal"/>
      <w:start w:val="178"/>
    </w:lvl>
  </w:abstractNum>
  <w:abstractNum w:abstractNumId="36">
    <w:nsid w:val="542289EC"/>
    <w:multiLevelType w:val="hybridMultilevel"/>
    <w:lvl w:ilvl="0">
      <w:lvlJc w:val="left"/>
      <w:lvlText w:val="%1"/>
      <w:numFmt w:val="decimal"/>
      <w:start w:val="372"/>
    </w:lvl>
    <w:lvl w:ilvl="1">
      <w:lvlJc w:val="left"/>
      <w:lvlText w:val="(%2)"/>
      <w:numFmt w:val="decimal"/>
      <w:start w:val="30"/>
    </w:lvl>
  </w:abstractNum>
  <w:abstractNum w:abstractNumId="37">
    <w:nsid w:val="6DE91B18"/>
    <w:multiLevelType w:val="hybridMultilevel"/>
    <w:lvl w:ilvl="0">
      <w:lvlJc w:val="left"/>
      <w:lvlText w:val="3"/>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4"/>
    </w:lvl>
  </w:abstractNum>
  <w:abstractNum w:abstractNumId="49">
    <w:nsid w:val="70C6A529"/>
    <w:multiLevelType w:val="hybridMultilevel"/>
    <w:lvl w:ilvl="0">
      <w:lvlJc w:val="left"/>
      <w:lvlText w:val="(%1)"/>
      <w:numFmt w:val="lowerLetter"/>
      <w:start w:val="1"/>
    </w:lvl>
    <w:lvl w:ilvl="1">
      <w:lvlJc w:val="left"/>
      <w:lvlText w:val="%2."/>
      <w:numFmt w:val="decimal"/>
      <w:start w:val="1"/>
    </w:lvl>
  </w:abstractNum>
  <w:abstractNum w:abstractNumId="50">
    <w:nsid w:val="520EEDD1"/>
    <w:multiLevelType w:val="hybridMultilevel"/>
    <w:lvl w:ilvl="0">
      <w:lvlJc w:val="left"/>
      <w:lvlText w:val="*"/>
      <w:numFmt w:val="bullet"/>
      <w:start w:val="1"/>
    </w:lvl>
    <w:lvl w:ilvl="1">
      <w:lvlJc w:val="left"/>
      <w:lvlText w:val="%2"/>
      <w:numFmt w:val="decimal"/>
      <w:start w:val="101"/>
    </w:lvl>
  </w:abstractNum>
  <w:abstractNum w:abstractNumId="51">
    <w:nsid w:val="374A3FE6"/>
    <w:multiLevelType w:val="hybridMultilevel"/>
    <w:lvl w:ilvl="0">
      <w:lvlJc w:val="left"/>
      <w:lvlText w:val="**"/>
      <w:numFmt w:val="bullet"/>
      <w:start w:val="1"/>
    </w:lvl>
    <w:lvl w:ilvl="1">
      <w:lvlJc w:val="left"/>
      <w:lvlText w:val="%2"/>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77" Type="http://schemas.openxmlformats.org/officeDocument/2006/relationships/hyperlink" Target="http://www.sec.gov/Archives/edgar/data/353394/000119312513387297/d605465dex21.htm" TargetMode="External"/><Relationship Id="rId78" Type="http://schemas.openxmlformats.org/officeDocument/2006/relationships/hyperlink" Target="http://www.sec.gov/Archives/edgar/data/353394/000119312516442082/d43791dex21.htm" TargetMode="External"/><Relationship Id="rId79" Type="http://schemas.openxmlformats.org/officeDocument/2006/relationships/hyperlink" Target="http://www.sec.gov/Archives/edgar/data/353394/000119312516442082/d43791dex22.htm" TargetMode="External"/><Relationship Id="rId80" Type="http://schemas.openxmlformats.org/officeDocument/2006/relationships/hyperlink" Target="http://www.sec.gov/Archives/edgar/data/1336920/000119312516633459/d162784dex27.htm" TargetMode="External"/><Relationship Id="rId81" Type="http://schemas.openxmlformats.org/officeDocument/2006/relationships/hyperlink" Target="http://www.sec.gov/Archives/edgar/data/1336920/000119312516633459/d162784dex28.htm" TargetMode="External"/><Relationship Id="rId82" Type="http://schemas.openxmlformats.org/officeDocument/2006/relationships/hyperlink" Target="http://www.sec.gov/Archives/edgar/data/353394/000119312513387297/d605465dex31.htm" TargetMode="External"/><Relationship Id="rId83" Type="http://schemas.openxmlformats.org/officeDocument/2006/relationships/hyperlink" Target="http://www.sec.gov/Archives/edgar/data/353394/000133692016000081/leidosbylaws.htm" TargetMode="External"/><Relationship Id="rId84" Type="http://schemas.openxmlformats.org/officeDocument/2006/relationships/hyperlink" Target="http://www.sec.gov/Archives/edgar/data/1336920/000119312506209285/dex42.htm" TargetMode="External"/><Relationship Id="rId85" Type="http://schemas.openxmlformats.org/officeDocument/2006/relationships/hyperlink" Target="http://www.sec.gov/Archives/edgar/data/1336920/000119312510286368/dex41.htm" TargetMode="External"/><Relationship Id="rId86" Type="http://schemas.openxmlformats.org/officeDocument/2006/relationships/hyperlink" Target="http://www.sec.gov/Archives/edgar/data/353394/000133692014000007/ex101-leidosholdingsincx20.htm" TargetMode="External"/><Relationship Id="rId87" Type="http://schemas.openxmlformats.org/officeDocument/2006/relationships/hyperlink" Target="http://www.sec.gov/Archives/edgar/data/1336920/000133692017000037/exhibit43toforms-82017omni.htm" TargetMode="External"/><Relationship Id="rId88" Type="http://schemas.openxmlformats.org/officeDocument/2006/relationships/hyperlink" Target="http://www.sec.gov/Archives/edgar/data/353394/000133692014000007/ex102-leidosincstockcompen.htm" TargetMode="External"/><Relationship Id="rId89" Type="http://schemas.openxmlformats.org/officeDocument/2006/relationships/hyperlink" Target="http://www.sec.gov/Archives/edgar/data/353394/000133692014000007/ex103-leidosincxmanagement.htm" TargetMode="External"/><Relationship Id="rId90" Type="http://schemas.openxmlformats.org/officeDocument/2006/relationships/hyperlink" Target="http://www.sec.gov/Archives/edgar/data/353394/000133692016000076/ex104amendmentrestatemento.htm" TargetMode="External"/><Relationship Id="rId91" Type="http://schemas.openxmlformats.org/officeDocument/2006/relationships/hyperlink" Target="http://www.sec.gov/Archives/edgar/data/353394/000133692016000076/ex105amendmentrestatemento.htm" TargetMode="External"/><Relationship Id="rId92" Type="http://schemas.openxmlformats.org/officeDocument/2006/relationships/hyperlink" Target="http://www.sec.gov/Archives/edgar/data/1336920/000133692017000047/ldos063017q2ex101.htm" TargetMode="External"/><Relationship Id="rId93" Type="http://schemas.openxmlformats.org/officeDocument/2006/relationships/hyperlink" Target="http://www.sec.gov/Archives/edgar/data/353394/000133692014000007/ex107-leidos401kexcessdefe.htm" TargetMode="External"/><Relationship Id="rId94" Type="http://schemas.openxmlformats.org/officeDocument/2006/relationships/hyperlink" Target="http://www.sec.gov/Archives/edgar/data/353394/000133692014000007/ex1010-formofnonxstatutory.htm" TargetMode="External"/><Relationship Id="rId95" Type="http://schemas.openxmlformats.org/officeDocument/2006/relationships/hyperlink" Target="http://www.sec.gov/Archives/edgar/data/353394/000133692014000007/ex1011-formofnonxstatutory.htm" TargetMode="External"/><Relationship Id="rId96" Type="http://schemas.openxmlformats.org/officeDocument/2006/relationships/hyperlink" Target="http://www.sec.gov/Archives/edgar/data/353394/000133692014000007/ex1014-formofrestrictedsto.htm" TargetMode="External"/><Relationship Id="rId97" Type="http://schemas.openxmlformats.org/officeDocument/2006/relationships/hyperlink" Target="http://www.sec.gov/Archives/edgar/data/353394/000133692014000007/ex1016-formofrestrictedsto.htm" TargetMode="External"/><Relationship Id="rId98" Type="http://schemas.openxmlformats.org/officeDocument/2006/relationships/hyperlink" Target="http://www.sec.gov/Archives/edgar/data/353394/000133692015000010/exhibit10_19formofindemini.htm" TargetMode="External"/><Relationship Id="rId99" Type="http://schemas.openxmlformats.org/officeDocument/2006/relationships/hyperlink" Target="http://www.sec.gov/Archives/edgar/data/1336920/000133692017000014/ldos12302016exhibit1020.htm" TargetMode="External"/><Relationship Id="rId100" Type="http://schemas.openxmlformats.org/officeDocument/2006/relationships/hyperlink" Target="http://www.sec.gov/Archives/edgar/data/1336920/000119312514258238/d752502dex101.htm" TargetMode="External"/><Relationship Id="rId101" Type="http://schemas.openxmlformats.org/officeDocument/2006/relationships/hyperlink" Target="http://www.sec.gov/Archives/edgar/data/353394/000133692015000010/exh1033formofperformancesh.htm" TargetMode="External"/><Relationship Id="rId102" Type="http://schemas.openxmlformats.org/officeDocument/2006/relationships/hyperlink" Target="http://www.sec.gov/Archives/edgar/data/1336920/000133692017000021/ldos033117ex103.htm" TargetMode="External"/><Relationship Id="rId103" Type="http://schemas.openxmlformats.org/officeDocument/2006/relationships/hyperlink" Target="http://www.sec.gov/Archives/edgar/data/1336920/000133692017000021/ldos033117ex104.htm" TargetMode="External"/><Relationship Id="rId104" Type="http://schemas.openxmlformats.org/officeDocument/2006/relationships/hyperlink" Target="http://www.sec.gov/Archives/edgar/data/1336920/000133692017000021/ldos033117ex105.htm" TargetMode="External"/><Relationship Id="rId105" Type="http://schemas.openxmlformats.org/officeDocument/2006/relationships/hyperlink" Target="http://www.sec.gov/Archives/edgar/data/1336920/000133692018000008/ldos12292017ex1022.htm" TargetMode="External"/><Relationship Id="rId106" Type="http://schemas.openxmlformats.org/officeDocument/2006/relationships/hyperlink" Target="http://www.sec.gov/Archives/edgar/data/1336920/000133692018000008/ldos12292017ex1023.htm" TargetMode="External"/><Relationship Id="rId107" Type="http://schemas.openxmlformats.org/officeDocument/2006/relationships/hyperlink" Target="http://www.sec.gov/Archives/edgar/data/1336920/000133692018000008/ldos12292017ex1024.htm" TargetMode="External"/><Relationship Id="rId108" Type="http://schemas.openxmlformats.org/officeDocument/2006/relationships/hyperlink" Target="http://www.sec.gov/Archives/edgar/data/1336920/000133692018000008/ldos12292017ex1025.htm" TargetMode="External"/><Relationship Id="rId109" Type="http://schemas.openxmlformats.org/officeDocument/2006/relationships/hyperlink" Target="http://www.sec.gov/Archives/edgar/data/1336920/000133692018000008/ldos12292017ex1026.htm" TargetMode="External"/><Relationship Id="rId110" Type="http://schemas.openxmlformats.org/officeDocument/2006/relationships/hyperlink" Target="http://www.sec.gov/Archives/edgar/data/1336920/000133692018000008/ldos12292017ex1027.htm" TargetMode="External"/><Relationship Id="rId111" Type="http://schemas.openxmlformats.org/officeDocument/2006/relationships/hyperlink" Target="http://www.sec.gov/Archives/edgar/data/1336920/000133692013000009/exhibit104-consensualforec.htm" TargetMode="External"/><Relationship Id="rId112" Type="http://schemas.openxmlformats.org/officeDocument/2006/relationships/hyperlink" Target="http://www.sec.gov/Archives/edgar/data/353394/000133692015000007/exh101plainfield-membershi.htm" TargetMode="External"/><Relationship Id="rId113" Type="http://schemas.openxmlformats.org/officeDocument/2006/relationships/hyperlink" Target="http://www.sec.gov/Archives/edgar/data/353394/000133692015000031/ex101toform8-kjuly2015xame.htm" TargetMode="External"/><Relationship Id="rId114" Type="http://schemas.openxmlformats.org/officeDocument/2006/relationships/hyperlink" Target="http://www.sec.gov/Archives/edgar/data/1336920/000133692016000126/ldos093016q3ex101.htm" TargetMode="External"/><Relationship Id="rId115" Type="http://schemas.openxmlformats.org/officeDocument/2006/relationships/hyperlink" Target="http://www.sec.gov/Archives/edgar/data/1336920/000133692017000055/ldos092917q3ex101.htm" TargetMode="External"/><Relationship Id="rId116" Type="http://schemas.openxmlformats.org/officeDocument/2006/relationships/hyperlink" Target="http://www.sec.gov/Archives/edgar/data/1336920/000133692018000046/ex102-secondamendmentxleid.htm" TargetMode="External"/><Relationship Id="rId117" Type="http://schemas.openxmlformats.org/officeDocument/2006/relationships/hyperlink" Target="http://www.sec.gov/Archives/edgar/data/1336920/000133692016000126/ldos093016q3ex102.htm" TargetMode="External"/><Relationship Id="rId118" Type="http://schemas.openxmlformats.org/officeDocument/2006/relationships/hyperlink" Target="http://www.sec.gov/Archives/edgar/data/1336920/000133692017000007/ex101toform8-kamendmenttoc.htm" TargetMode="External"/><Relationship Id="rId119" Type="http://schemas.openxmlformats.org/officeDocument/2006/relationships/hyperlink" Target="http://www.sec.gov/Archives/edgar/data/1336920/000133692017000055/ldos092917q3ex102.htm" TargetMode="External"/><Relationship Id="rId120" Type="http://schemas.openxmlformats.org/officeDocument/2006/relationships/hyperlink" Target="http://www.sec.gov/Archives/edgar/data/1336920/000133692018000011/ex101toform8-kxthirdamendm.htm" TargetMode="External"/><Relationship Id="rId121" Type="http://schemas.openxmlformats.org/officeDocument/2006/relationships/hyperlink" Target="http://www.sec.gov/Archives/edgar/data/1336920/000133692018000046/ex101-fourthamendmentxleid.htm" TargetMode="External"/><Relationship Id="rId122" Type="http://schemas.openxmlformats.org/officeDocument/2006/relationships/hyperlink" Target="http://www.sec.gov/Archives/edgar/data/1336920/000133692018000060/exhibit101toform8-knov2018.htm" TargetMode="External"/><Relationship Id="rId123" Type="http://schemas.openxmlformats.org/officeDocument/2006/relationships/hyperlink" Target="http://www.sec.gov/Archives/edgar/data/1336920/000133692016000126/ldos093016q3ex103.htm" TargetMode="External"/><Relationship Id="rId124" Type="http://schemas.openxmlformats.org/officeDocument/2006/relationships/hyperlink" Target="http://www.sec.gov/Archives/edgar/data/1336920/000133692016000126/ldos093016q3ex104.htm" TargetMode="External"/><Relationship Id="rId125" Type="http://schemas.openxmlformats.org/officeDocument/2006/relationships/hyperlink" Target="http://www.sec.gov/Archives/edgar/data/1336920/000133692016000126/ldos093016q3ex105.htm" TargetMode="External"/><Relationship Id="rId126" Type="http://schemas.openxmlformats.org/officeDocument/2006/relationships/hyperlink" Target="http://www.sec.gov/Archives/edgar/data/1336920/000133692016000126/ldos093016q3ex106.htm" TargetMode="External"/><Relationship Id="rId127" Type="http://schemas.openxmlformats.org/officeDocument/2006/relationships/hyperlink" Target="http://www.sec.gov/Archives/edgar/data/1336920/000133692016000126/ldos093016q3ex107.htm" TargetMode="External"/><Relationship Id="rId128" Type="http://schemas.openxmlformats.org/officeDocument/2006/relationships/hyperlink" Target="http://www.sec.gov/Archives/edgar/data/1336920/000133692016000126/ldos093016q3ex108.htm" TargetMode="External"/><Relationship Id="rId129" Type="http://schemas.openxmlformats.org/officeDocument/2006/relationships/hyperlink" Target="http://www.sec.gov/Archives/edgar/data/1336920/000133692016000126/ldos093016q3ex109.htm" TargetMode="External"/><Relationship Id="rId130" Type="http://schemas.openxmlformats.org/officeDocument/2006/relationships/hyperlink" Target="http://www.sec.gov/Archives/edgar/data/1336920/000119312510073854/dex991.htm" TargetMode="External"/><Relationship Id="rId131" Type="http://schemas.openxmlformats.org/officeDocument/2006/relationships/hyperlink" Target="http://www.sec.gov/Archives/edgar/data/1336920/000119312510073854/dex992.htm" TargetMode="External"/><Relationship Id="rId132" Type="http://schemas.openxmlformats.org/officeDocument/2006/relationships/hyperlink" Target="http://www.sec.gov/Archives/edgar/data/1336920/000119312510073854/dex993.htm" TargetMode="External"/><Relationship Id="rId133" Type="http://schemas.openxmlformats.org/officeDocument/2006/relationships/hyperlink" Target="http://www.sec.gov/Archives/edgar/data/1336920/000119312516544006/d162784dex991.htm" TargetMode="External"/><Relationship Id="rId134" Type="http://schemas.openxmlformats.org/officeDocument/2006/relationships/hyperlink" Target="http://www.sec.gov/Archives/edgar/data/1336920/000119312516544006/d162784dex992.htm" TargetMode="External"/><Relationship Id="rId135" Type="http://schemas.openxmlformats.org/officeDocument/2006/relationships/hyperlink" Target="http://www.sec.gov/Archives/edgar/data/1336920/000119312516633459/d162784dex9913.htm" TargetMode="External"/><Relationship Id="rId136" Type="http://schemas.openxmlformats.org/officeDocument/2006/relationships/hyperlink" Target="http://www.sec.gov/Archives/edgar/data/1336920/000119312510073854/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2020-01-09T21:26:01Z</dcterms:created>
  <dcterms:modified xsi:type="dcterms:W3CDTF">2020-01-09T21:26:01Z</dcterms:modified>
</cp:coreProperties>
</file>