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29"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001-33072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plan and the address of the plan, if different from that of the issuer named below:</w:t>
      </w:r>
    </w:p>
    <w:p>
      <w:pPr>
        <w:spacing w:after="0" w:line="221" w:lineRule="exact"/>
        <w:rPr>
          <w:rFonts w:ascii="Arial" w:cs="Arial" w:eastAsia="Arial" w:hAnsi="Arial"/>
          <w:sz w:val="18"/>
          <w:szCs w:val="18"/>
          <w:color w:val="auto"/>
        </w:rPr>
      </w:pPr>
    </w:p>
    <w:p>
      <w:pPr>
        <w:ind w:left="4620"/>
        <w:spacing w:after="0"/>
        <w:rPr>
          <w:rFonts w:ascii="Arial" w:cs="Arial" w:eastAsia="Arial" w:hAnsi="Arial"/>
          <w:sz w:val="18"/>
          <w:szCs w:val="18"/>
          <w:color w:val="auto"/>
        </w:rPr>
      </w:pPr>
      <w:r>
        <w:rPr>
          <w:rFonts w:ascii="Arial" w:cs="Arial" w:eastAsia="Arial" w:hAnsi="Arial"/>
          <w:sz w:val="18"/>
          <w:szCs w:val="18"/>
          <w:b w:val="1"/>
          <w:bCs w:val="1"/>
          <w:color w:val="auto"/>
        </w:rPr>
        <w:t>Leidos, Inc. Retirement Plan</w:t>
      </w:r>
    </w:p>
    <w:p>
      <w:pPr>
        <w:spacing w:after="0" w:line="25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Leidos Holdings, Inc.</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11951 Freedom Drive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Reston, VA 20190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980" w:type="dxa"/>
            <w:vAlign w:val="bottom"/>
            <w:gridSpan w:val="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80" w:type="dxa"/>
            <w:vAlign w:val="bottom"/>
            <w:gridSpan w:val="7"/>
            <w:vMerge w:val="continue"/>
          </w:tcPr>
          <w:p>
            <w:pPr>
              <w:spacing w:after="0"/>
              <w:rPr>
                <w:sz w:val="13"/>
                <w:szCs w:val="13"/>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980" w:type="dxa"/>
            <w:vAlign w:val="bottom"/>
            <w:gridSpan w:val="7"/>
          </w:tcPr>
          <w:p>
            <w:pPr>
              <w:spacing w:after="0"/>
              <w:rPr>
                <w:sz w:val="20"/>
                <w:szCs w:val="20"/>
                <w:color w:val="auto"/>
              </w:rPr>
            </w:pPr>
            <w:r>
              <w:rPr>
                <w:rFonts w:ascii="Arial" w:cs="Arial" w:eastAsia="Arial" w:hAnsi="Arial"/>
                <w:sz w:val="18"/>
                <w:szCs w:val="18"/>
                <w:color w:val="auto"/>
              </w:rPr>
              <w:t>FINANCIAL STATEMENTS AS OF AND FOR THE YEARS ENDED DECEMBER 31, 2014 AND 2013: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620" w:type="dxa"/>
            <w:vAlign w:val="bottom"/>
            <w:gridSpan w:val="6"/>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w:t>
              </w:r>
            </w:hyperlink>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Changes in Net Assets Available for Benefits</w:t>
              </w:r>
            </w:hyperlink>
          </w:p>
        </w:tc>
        <w:tc>
          <w:tcPr>
            <w:tcW w:w="632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20" w:type="dxa"/>
            <w:vAlign w:val="bottom"/>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980" w:type="dxa"/>
            <w:vAlign w:val="bottom"/>
            <w:gridSpan w:val="7"/>
          </w:tcPr>
          <w:p>
            <w:pPr>
              <w:spacing w:after="0"/>
              <w:rPr>
                <w:sz w:val="20"/>
                <w:szCs w:val="20"/>
                <w:color w:val="auto"/>
              </w:rPr>
            </w:pPr>
            <w:r>
              <w:rPr>
                <w:rFonts w:ascii="Arial" w:cs="Arial" w:eastAsia="Arial" w:hAnsi="Arial"/>
                <w:sz w:val="18"/>
                <w:szCs w:val="18"/>
                <w:color w:val="auto"/>
              </w:rPr>
              <w:t>SUPPLEMENTAL SCHEDULE AS OF DECEMBER 31, 2014: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608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Form 5500, Schedule H, Part IV, Line 4i—Schedule of Assets (Held at End of Year)</w:t>
              </w:r>
            </w:hyperlink>
          </w:p>
        </w:tc>
        <w:tc>
          <w:tcPr>
            <w:tcW w:w="4540" w:type="dxa"/>
            <w:vAlign w:val="bottom"/>
          </w:tcPr>
          <w:p>
            <w:pPr>
              <w:spacing w:after="0"/>
              <w:rPr>
                <w:sz w:val="16"/>
                <w:szCs w:val="16"/>
                <w:color w:val="auto"/>
              </w:rPr>
            </w:pP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w w:val="91"/>
              </w:rPr>
              <w:t>10-11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All other schedules required by Section 29 CFR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Retirement Plans Committee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Leidos, Inc. Retirement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audited the accompanying statements of net assets available for benefits of Leidos, Inc. Retirement Plan (the Plan) as of December 31, 2014 and 2013,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2014 and 2013, and the changes in net assets available for benefits for the years then ended in conformity with accounting principles generally accepted in the United States of America.</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supplemental information in the accompanying schedule of assets (held at end of year) as of December 31, 2014, has been subjected to audit procedures performed in conjunction with the audit of the Plan’s financial statements. The supplemental information is presented for the purpose of additional analysis and is not a required part of the financial statements but includes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have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basic financial statements taken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960" w:type="dxa"/>
            <w:vAlign w:val="bottom"/>
            <w:gridSpan w:val="4"/>
          </w:tcPr>
          <w:p>
            <w:pPr>
              <w:jc w:val="right"/>
              <w:ind w:right="45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Investments—at fair value: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Mutual funds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$3,495,758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$3,456,020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Leidos Holdings, Inc. common stock</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332,362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441,796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New SAIC common stock</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98,012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170,922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Common collective trusts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1,824,393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1,781,502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investments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5,750,525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5,850,240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Receivables: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Notes receivable from participants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52,028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56,197</w:t>
            </w:r>
          </w:p>
        </w:tc>
      </w:tr>
      <w:tr>
        <w:trPr>
          <w:trHeight w:val="216"/>
        </w:trPr>
        <w:tc>
          <w:tcPr>
            <w:tcW w:w="20" w:type="dxa"/>
            <w:vAlign w:val="bottom"/>
          </w:tcPr>
          <w:p>
            <w:pPr>
              <w:spacing w:after="0"/>
              <w:rPr>
                <w:sz w:val="18"/>
                <w:szCs w:val="18"/>
                <w:color w:val="auto"/>
              </w:rPr>
            </w:pPr>
          </w:p>
        </w:tc>
        <w:tc>
          <w:tcPr>
            <w:tcW w:w="9340" w:type="dxa"/>
            <w:vAlign w:val="bottom"/>
          </w:tcPr>
          <w:p>
            <w:pPr>
              <w:ind w:left="700"/>
              <w:spacing w:after="0"/>
              <w:rPr>
                <w:sz w:val="20"/>
                <w:szCs w:val="20"/>
                <w:color w:val="auto"/>
              </w:rPr>
            </w:pPr>
            <w:r>
              <w:rPr>
                <w:rFonts w:ascii="Arial" w:cs="Arial" w:eastAsia="Arial" w:hAnsi="Arial"/>
                <w:sz w:val="18"/>
                <w:szCs w:val="18"/>
                <w:color w:val="auto"/>
              </w:rPr>
              <w:t>Company contributions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29,698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Participant contributions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9340" w:type="dxa"/>
            <w:vAlign w:val="bottom"/>
          </w:tcPr>
          <w:p>
            <w:pPr>
              <w:ind w:left="1060"/>
              <w:spacing w:after="0"/>
              <w:rPr>
                <w:sz w:val="20"/>
                <w:szCs w:val="20"/>
                <w:color w:val="auto"/>
              </w:rPr>
            </w:pPr>
            <w:r>
              <w:rPr>
                <w:rFonts w:ascii="Arial" w:cs="Arial" w:eastAsia="Arial" w:hAnsi="Arial"/>
                <w:sz w:val="18"/>
                <w:szCs w:val="18"/>
                <w:color w:val="auto"/>
              </w:rPr>
              <w:t>Total receivables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81,733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5,832,258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5,907,901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INC. RETIREMENT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tcPr>
          <w:p>
            <w:pPr>
              <w:jc w:val="right"/>
              <w:ind w:right="49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appreciation in fair value of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300,749</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$ 1,176,916</w:t>
            </w: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Interest and dividends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139,392</w:t>
            </w:r>
          </w:p>
        </w:tc>
        <w:tc>
          <w:tcPr>
            <w:tcW w:w="1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157,093</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440,141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1,334,009</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Interest income on notes receivable from participants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Participants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143,821</w:t>
            </w:r>
          </w:p>
        </w:tc>
        <w:tc>
          <w:tcPr>
            <w:tcW w:w="1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239,936</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65,803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122,111</w:t>
            </w: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Arial" w:cs="Arial" w:eastAsia="Arial" w:hAnsi="Arial"/>
                <w:sz w:val="18"/>
                <w:szCs w:val="18"/>
                <w:color w:val="auto"/>
              </w:rPr>
              <w:t>Employee rollovers</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14,601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26,371</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contributions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224,225</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388,418</w:t>
            </w:r>
          </w:p>
        </w:tc>
      </w:tr>
      <w:tr>
        <w:trPr>
          <w:trHeight w:val="230"/>
        </w:trPr>
        <w:tc>
          <w:tcPr>
            <w:tcW w:w="20" w:type="dxa"/>
            <w:vAlign w:val="bottom"/>
          </w:tcPr>
          <w:p>
            <w:pPr>
              <w:spacing w:after="0"/>
              <w:rPr>
                <w:sz w:val="20"/>
                <w:szCs w:val="20"/>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666,654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1,725,855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Distributions paid to participants</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739,893</w:t>
            </w:r>
          </w:p>
        </w:tc>
        <w:tc>
          <w:tcPr>
            <w:tcW w:w="18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763,334</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2,898</w:t>
            </w:r>
          </w:p>
        </w:tc>
      </w:tr>
      <w:tr>
        <w:trPr>
          <w:trHeight w:val="230"/>
        </w:trPr>
        <w:tc>
          <w:tcPr>
            <w:tcW w:w="20" w:type="dxa"/>
            <w:vAlign w:val="bottom"/>
          </w:tcPr>
          <w:p>
            <w:pPr>
              <w:spacing w:after="0"/>
              <w:rPr>
                <w:sz w:val="20"/>
                <w:szCs w:val="20"/>
                <w:color w:val="auto"/>
              </w:rPr>
            </w:pPr>
          </w:p>
        </w:tc>
        <w:tc>
          <w:tcPr>
            <w:tcW w:w="9260" w:type="dxa"/>
            <w:vAlign w:val="bottom"/>
          </w:tcPr>
          <w:p>
            <w:pPr>
              <w:ind w:left="1060"/>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742,297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766,232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NET ASSETS AVAILABLE FOR BENEFITS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(75,643)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959,623</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TRANSFERS FROM OTHER PLANS</w:t>
            </w:r>
          </w:p>
        </w:tc>
        <w:tc>
          <w:tcPr>
            <w:tcW w:w="10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3,072</w:t>
            </w: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TRANSFERS TO OTHER PLANS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(1,430,472)</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5,907,901</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6,375,678</w:t>
            </w: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5,832,258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$ 5,907,901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 AS OF AND FOR THE YEARS ENDED DECEMBER 31, 2014 AND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PLAN</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brief description of the Leidos, Inc. Retirement Plan (the “Plan”) is for general information purposes only. Participants should refer to the Plan document and the Summary Plan Description dated September 2013 and Prospectus Supplement dated July 2014 for more complete information regarding the Plan. Within these financial statements, Leidos Inc. (the “Company”) refers to the sponsoring employer, and Leidos Holdings, Inc. (“Leidos”) refers to the publicly-traded parent of the sponsoring employer.</w:t>
      </w:r>
    </w:p>
    <w:p>
      <w:pPr>
        <w:spacing w:after="0" w:line="18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—The Plan is a defined contribution plan sponsored by the Company and is subject to the provisions of the Employee Retirement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Act of 1974 (“ERISA”), as amended. The Plan is a defined contribution 401(k) plan with profit-sharing and employee stock ownership plan (“ESOP”) features. Contributions to the Plan from participants and the Company are held in a qualified retirement trust fund. The Leidos, Inc. Retirement Plans Committee is the Plan’s named fiduciary for purposes of Section 402(a) of ERISA.</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27, 2013, Leidos completed the spin-off of its technical services and enterprise information technology services business into an independent, publicly traded company named Science Applications International Corporation (“New SAIC”). A new qualified plan was established for New SAIC and all account balances of active participants employed by New SAIC were transferred to the new plan. During October 2013, the Company transferred approximately $1,430,472,000 of Plan assets to the New SAIC plan. Immediately following the spin-off, Leidos effectuated a one-for-four reverse stock split of its shares of common stock. Each reference to the number of shares outstanding has been adjusted to reflect the reverse stock split for all periods presented.</w:t>
      </w:r>
    </w:p>
    <w:p>
      <w:pPr>
        <w:spacing w:after="0" w:line="19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May 14, 2013, the Company merged the Vitalize Solutions Incorporated 401(k) Plan with and into the Plan. As a result of the Plan merger, all assets and liabilities of the affiliate Plan became assets and liabilities of the Plan.</w:t>
      </w:r>
    </w:p>
    <w:p>
      <w:pPr>
        <w:spacing w:after="0" w:line="170"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b w:val="1"/>
          <w:bCs w:val="1"/>
          <w:i w:val="1"/>
          <w:iCs w:val="1"/>
          <w:color w:val="auto"/>
        </w:rPr>
        <w:t>Investment Funds</w:t>
      </w:r>
      <w:r>
        <w:rPr>
          <w:rFonts w:ascii="Arial" w:cs="Arial" w:eastAsia="Arial" w:hAnsi="Arial"/>
          <w:sz w:val="17"/>
          <w:szCs w:val="17"/>
          <w:color w:val="auto"/>
        </w:rPr>
        <w:t>—As of December 31, 2014, the Plan held investments in thirteen mutual funds, sixteen common collective trust funds,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stock funds: the Leidos Common Stock Fund and the Leidos Closed Stock Fund, and four other company stock funds: the New SAIC Common Stock Fund, the New SAIC Stock Cash, the New SAIC Closed Stock Cash, and the New SAIC Closed Stock Fund.</w:t>
      </w:r>
    </w:p>
    <w:p>
      <w:pPr>
        <w:spacing w:after="0" w:line="166"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Leidos Closed Stock Fund, the New SAIC Common Stock Fund, the New SAIC Stock Cash, the New SAIC Closed Stock Cash, and the New SAIC Closed Stock Fund are no longer available for new investment. As of December 31, 2014 and 2013, all amounts in the Leidos Common Stock Fund and Leidos Closed Stock Fund are invested in Leidos Holdings, Inc. common stock and all amounts in the New SAIC Common Stock Fund, New SAIC Stock Cash, New SAIC Closed Stock Cash, and New SAIC Closed Stock Fund are invested in New SAIC common stock, except for estimated cash reserves, which are invested in the Vanguard Prime Money Market Fund and are primarily used to provide future benefit distributions and facilitate investment exchanges.</w:t>
      </w:r>
    </w:p>
    <w:p>
      <w:pPr>
        <w:spacing w:after="0" w:line="158"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color w:val="auto"/>
        </w:rPr>
        <w:t>—Employees of the Company and its subsidiaries that have adopted the Plan are eligible to participate in the Plan. Employees must be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fringe benefit package to be eligible to receive Company matching 401(k) contributions, profit sharing contributions, and ESOP contributions. Employees may make elective contributions and receive Company matching 401(k) contributions upon commencing employment.</w:t>
      </w:r>
    </w:p>
    <w:p>
      <w:pPr>
        <w:spacing w:after="0" w:line="16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Participant Contributions</w:t>
      </w:r>
      <w:r>
        <w:rPr>
          <w:rFonts w:ascii="Arial" w:cs="Arial" w:eastAsia="Arial" w:hAnsi="Arial"/>
          <w:sz w:val="18"/>
          <w:szCs w:val="18"/>
          <w:color w:val="auto"/>
        </w:rPr>
        <w:t>—The Plan permits participants to contribute up to 75% of their eligible compensation to the Plan, subject to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limitations. Participants may also contribute amounts representing rollovers from other qualified plans. Participant contributions are invested according to participant direction into any of the available investment funds of the Plan. Participant contributions and rollovers to the Leidos Common Stock Fund are limited to a maximum 50% of the employee deferral or rollover, as applicable.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STATEMENTS—(Continued) AS OF AND FOR THE YEARS ENDED DECEMBER 31, 2014 AND 2013</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Employer Contributions</w:t>
      </w:r>
      <w:r>
        <w:rPr>
          <w:rFonts w:ascii="Arial" w:cs="Arial" w:eastAsia="Arial" w:hAnsi="Arial"/>
          <w:sz w:val="18"/>
          <w:szCs w:val="18"/>
          <w:color w:val="auto"/>
        </w:rPr>
        <w:t>—The Company may make discretionary contributions, which include matching 401(k) contributions, profit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and ESOP contributions. Effective January 1, 2014, the Company changed its matching 401(k) contributions from a maximum match percentage of 100%, depending on fringe level, of the first 6% of eligible compensation contributed to the Plan (up to a maximum match percentage of 6%) to a maximum match percentage of 50%, depending on fringe level, of the first 6% of eligible compensation contributed to the Plan (up to a maximum match percentage of 3%), which are invested per participant direction. Please refer to the Plan document for further details. The Company, at its discretion, may also make additional contributions to the Plan for the benefit of non-highly compensated participants in order to comply with Section 401(k) (3) of the Internal Revenue Code. The Company made no additional contributions for the benefit of non-highly compensated participants for the Plan years ended December 31, 2014 and 2013. Company contributions to the Plan for the Plan years ended December 31, 2014 and 2013 were made in cash and transfers from the forfeiture account.</w:t>
      </w:r>
    </w:p>
    <w:p>
      <w:pPr>
        <w:spacing w:after="0" w:line="19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Effective January 1, 2014, the Company elected to make a profit sharing contribution of 2% of eligible compensation to all eligible employees that meet certain criteria including being employed at the Company on the last business day of the Plan year.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Participant Accounts</w:t>
      </w:r>
      <w:r>
        <w:rPr>
          <w:rFonts w:ascii="Arial" w:cs="Arial" w:eastAsia="Arial" w:hAnsi="Arial"/>
          <w:sz w:val="18"/>
          <w:szCs w:val="18"/>
          <w:color w:val="auto"/>
        </w:rPr>
        <w:t>—In accordance with Plan provisions, individual accounts are maintained for each Plan participant. Each participant’s account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credited with the participant’s contributions, and if eligible, allocations of Company discretionary contributions. Allocations are based on participant eligible compensation, as defined in the Plan document. Participant accounts also reflect changes from investment income and losses and from distributions. The benefit to which a participant is entitled is the vested balance of his or her account.</w:t>
      </w:r>
    </w:p>
    <w:p>
      <w:pPr>
        <w:spacing w:after="0" w:line="18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i w:val="1"/>
          <w:iCs w:val="1"/>
          <w:color w:val="auto"/>
        </w:rPr>
        <w:t>Vesting and Forfeitures</w:t>
      </w:r>
      <w:r>
        <w:rPr>
          <w:rFonts w:ascii="Arial" w:cs="Arial" w:eastAsia="Arial" w:hAnsi="Arial"/>
          <w:sz w:val="17"/>
          <w:szCs w:val="17"/>
          <w:color w:val="auto"/>
        </w:rPr>
        <w:t>—Participant’s elective deferrals and rollover contributions together with associated earnings vest immediately.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vest 20% for each calendar year during which the participant works at least 850 hours and become fully vested after the participant completes five years of vesting service, as defined by the Plan. In addition, participants become fully vested in Company contributions while employed with the Company upon reaching age 59-1/2, permanent disability, or death. Upon termination of employment with the Company, participants forfeit any portion of Company contributions that have not yet vested. Forfeitures may be applied to future Company matching 401(k) contributions, to provide reinstatements due to military leave, to increase profit sharing or ESOP contributions, or to pay Plan expenses. During the years ended December 31, 2014 and 2013, the Company applied forfeited non-vested amounts of approximately $6,525,000 and $6,457,000, respectively, primarily toward Company matching 401(k) contributions. As of December 31, 2014 and 2013, forfeited non-vested accounts available for application by the Company totaled approximately $2,292,000 and $2,224,000, respectively.</w:t>
      </w:r>
    </w:p>
    <w:p>
      <w:pPr>
        <w:spacing w:after="0" w:line="182"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b w:val="1"/>
          <w:bCs w:val="1"/>
          <w:i w:val="1"/>
          <w:iCs w:val="1"/>
          <w:color w:val="auto"/>
        </w:rPr>
        <w:t>Notes Receivable from Participants</w:t>
      </w:r>
      <w:r>
        <w:rPr>
          <w:rFonts w:ascii="Arial" w:cs="Arial" w:eastAsia="Arial" w:hAnsi="Arial"/>
          <w:sz w:val="16"/>
          <w:szCs w:val="16"/>
          <w:color w:val="auto"/>
        </w:rPr>
        <w:t>—Participants may borrow up to 50% of their vested account balance, up to a maximum of $50,000.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repayment periods may not exceed 60 months except for loans used to acquire a principal residence, in which case the repayment period may not exceed 30 years. The loans are secured by the vested account balance in the participant’s account and bear interest at a rate commensurate with local prevailing rates as determined monthly by the Plan administrator. Principal and interest are collected ratably through payroll deductions. As of December 31, 2014, outstanding loans bear interest at rates ranging from 3.25% to 10.0%, and have maturities from January 2015 through November 2044.</w:t>
      </w:r>
    </w:p>
    <w:p>
      <w:pPr>
        <w:spacing w:after="0" w:line="15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Distributions to Participants</w:t>
      </w:r>
      <w:r>
        <w:rPr>
          <w:rFonts w:ascii="Arial" w:cs="Arial" w:eastAsia="Arial" w:hAnsi="Arial"/>
          <w:sz w:val="16"/>
          <w:szCs w:val="16"/>
          <w:color w:val="auto"/>
        </w:rPr>
        <w:t>—For vested account balances less than $5,000, participants receive their vested account balance in a single lump sum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within twelve calendar months following termination of employment with the Company. For vested account balances that exceed $5,000, a participant’s vested account balance is not distributed unless the participant elects to take a distribution following the participant’s termination of employment with the Company. Regardless of the existing account balance, distributions are made to participants who die or become permanently disabled while employed by the Company. After attaining age 59-1/2, a participant may make withdrawals even if still employed by the Company. A participant may make withdrawals from the Plan prior to attaining age 59-1/2 of their rollover account or if the participant incurs a financial hardship, as specified by the Plan. Former employees, regardless of their age, may elect to receive up to two distributions in any given Plan year, of all or a portion of their account balance.</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Tax Status</w:t>
      </w:r>
      <w:r>
        <w:rPr>
          <w:rFonts w:ascii="Arial" w:cs="Arial" w:eastAsia="Arial" w:hAnsi="Arial"/>
          <w:sz w:val="18"/>
          <w:szCs w:val="18"/>
          <w:color w:val="auto"/>
        </w:rPr>
        <w:t>—The Internal Revenue Service (IRS) has determined and informed the Company by a letter dated February 6, 2013, that the Plan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in accordance with the applicable requirements of the Internal Revenue Code. Accordingly, no provision for income taxes has been included in the Plan’s financial statements. Although the Plan has been amended since receiving the February 6, 2013 letter, the Plan administrator and the Plan’s tax counsel believe that the Plan is designed, and is currently being operated, in compliance with the applicable requirements of the Internal Revenue Code and, therefore, believe that the Plan is qualified, and the related trust is tax-exempt.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0" w:right="2760"/>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STATEMENTS—(Continued) AS OF AND FOR THE YEARS ENDED DECEMBER 31, 2014 AND 2013</w:t>
      </w:r>
    </w:p>
    <w:p>
      <w:pPr>
        <w:spacing w:after="0" w:line="11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b w:val="1"/>
          <w:bCs w:val="1"/>
          <w:i w:val="1"/>
          <w:iCs w:val="1"/>
          <w:color w:val="auto"/>
        </w:rPr>
        <w:t>Termination of the Plan</w:t>
      </w:r>
      <w:r>
        <w:rPr>
          <w:rFonts w:ascii="Arial" w:cs="Arial" w:eastAsia="Arial" w:hAnsi="Arial"/>
          <w:sz w:val="18"/>
          <w:szCs w:val="18"/>
          <w:color w:val="auto"/>
        </w:rPr>
        <w:t>—Although it has not expressed any intent to do so, the Company has the right under the Plan to discontinue its contributions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to terminate the Plan at any time subject to the provisions of ERISA. Upon termination of the Plan, the participants become 100% vested in any unvested portion of their accounts.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Transfers from Other Plans</w:t>
      </w:r>
      <w:r>
        <w:rPr>
          <w:rFonts w:ascii="Arial" w:cs="Arial" w:eastAsia="Arial" w:hAnsi="Arial"/>
          <w:sz w:val="17"/>
          <w:szCs w:val="17"/>
          <w:color w:val="auto"/>
        </w:rPr>
        <w:t>—Transfers of assets from other plans primarily represents amounts transferred from terminated acquired plans.</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b w:val="1"/>
          <w:bCs w:val="1"/>
          <w:i w:val="1"/>
          <w:iCs w:val="1"/>
          <w:color w:val="auto"/>
        </w:rPr>
        <w:t>Transfers to Other Plans</w:t>
      </w:r>
      <w:r>
        <w:rPr>
          <w:rFonts w:ascii="Arial" w:cs="Arial" w:eastAsia="Arial" w:hAnsi="Arial"/>
          <w:sz w:val="18"/>
          <w:szCs w:val="18"/>
          <w:color w:val="auto"/>
        </w:rPr>
        <w:t>—Transfers of assets to other plans primarily represents amounts transferred to a new retirement plan sponsored by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SAIC following the spin-off described above in Note 1.</w:t>
      </w:r>
    </w:p>
    <w:p>
      <w:pPr>
        <w:spacing w:after="0" w:line="17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b w:val="1"/>
          <w:bCs w:val="1"/>
          <w:i w:val="1"/>
          <w:iCs w:val="1"/>
          <w:color w:val="auto"/>
        </w:rPr>
        <w:t>Related-Party Transactions</w:t>
      </w:r>
      <w:r>
        <w:rPr>
          <w:rFonts w:ascii="Arial" w:cs="Arial" w:eastAsia="Arial" w:hAnsi="Arial"/>
          <w:sz w:val="17"/>
          <w:szCs w:val="17"/>
          <w:color w:val="auto"/>
        </w:rPr>
        <w:t>—Certain Plan investments are managed by The Vanguard Group, the Plan’s record-keeper; therefore, transactions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investments qualify as party-in-interest transactions. Fees paid to the record-keeper were approximately $2,404,000 and $2,898,000 for the Plan years ended December 31, 2014 and 2013, respectively. There were no amounts payable to the Plan’s record-keeper as of December 31, 2014 and December 31, 2013. Members of the Company’s Retirement Plans Committee also participate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2014 and 2013, the following Leidos Holdings, Inc. and New SAIC shares were held by the Plan:</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w w:val="98"/>
              </w:rPr>
              <w:t>Number</w:t>
            </w:r>
          </w:p>
        </w:tc>
        <w:tc>
          <w:tcPr>
            <w:tcW w:w="10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Cost Basis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7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of Shares</w:t>
            </w: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80" w:type="dxa"/>
            <w:vAlign w:val="bottom"/>
            <w:tcBorders>
              <w:top w:val="single" w:sz="8" w:color="auto"/>
            </w:tcBorders>
            <w:gridSpan w:val="3"/>
          </w:tcPr>
          <w:p>
            <w:pPr>
              <w:jc w:val="right"/>
              <w:ind w:right="37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2014:</w:t>
            </w:r>
          </w:p>
        </w:tc>
        <w:tc>
          <w:tcPr>
            <w:tcW w:w="1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Leidos Holdings, Inc. common stock</w:t>
            </w:r>
          </w:p>
        </w:tc>
        <w:tc>
          <w:tcPr>
            <w:tcW w:w="2720" w:type="dxa"/>
            <w:vAlign w:val="bottom"/>
            <w:gridSpan w:val="2"/>
          </w:tcPr>
          <w:p>
            <w:pPr>
              <w:jc w:val="right"/>
              <w:ind w:right="168"/>
              <w:spacing w:after="0"/>
              <w:rPr>
                <w:sz w:val="20"/>
                <w:szCs w:val="20"/>
                <w:color w:val="auto"/>
              </w:rPr>
            </w:pPr>
            <w:r>
              <w:rPr>
                <w:rFonts w:ascii="Arial" w:cs="Arial" w:eastAsia="Arial" w:hAnsi="Arial"/>
                <w:sz w:val="18"/>
                <w:szCs w:val="18"/>
                <w:color w:val="auto"/>
              </w:rPr>
              <w:t>7,645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215,278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SAIC common stock</w:t>
            </w:r>
          </w:p>
        </w:tc>
        <w:tc>
          <w:tcPr>
            <w:tcW w:w="27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At December 31, 2013:</w:t>
            </w:r>
          </w:p>
        </w:tc>
        <w:tc>
          <w:tcPr>
            <w:tcW w:w="1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Leidos Holdings, Inc. common stock</w:t>
            </w:r>
          </w:p>
        </w:tc>
        <w:tc>
          <w:tcPr>
            <w:tcW w:w="27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9,472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New SAIC common stock</w:t>
            </w:r>
          </w:p>
        </w:tc>
        <w:tc>
          <w:tcPr>
            <w:tcW w:w="2720" w:type="dxa"/>
            <w:vAlign w:val="bottom"/>
            <w:gridSpan w:val="2"/>
          </w:tcPr>
          <w:p>
            <w:pPr>
              <w:jc w:val="right"/>
              <w:ind w:right="168"/>
              <w:spacing w:after="0"/>
              <w:rPr>
                <w:sz w:val="20"/>
                <w:szCs w:val="20"/>
                <w:color w:val="auto"/>
              </w:rPr>
            </w:pPr>
            <w:r>
              <w:rPr>
                <w:rFonts w:ascii="Arial" w:cs="Arial" w:eastAsia="Arial" w:hAnsi="Arial"/>
                <w:sz w:val="18"/>
                <w:szCs w:val="18"/>
                <w:color w:val="auto"/>
              </w:rPr>
              <w:t>5,156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Plan’s financial statements are prepared on the accrual basis of accounting in accordance with accounting principles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accepted in the United States of America. Investment transactions are accounted for on their trade dates.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 and Income Recognition</w:t>
      </w:r>
      <w:r>
        <w:rPr>
          <w:rFonts w:ascii="Arial" w:cs="Arial" w:eastAsia="Arial" w:hAnsi="Arial"/>
          <w:sz w:val="18"/>
          <w:szCs w:val="18"/>
          <w:color w:val="auto"/>
        </w:rPr>
        <w:t>—Investments held by the Plan are carried at fair value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Investment in Mutual Funds</w:t>
      </w:r>
      <w:r>
        <w:rPr>
          <w:rFonts w:ascii="Arial" w:cs="Arial" w:eastAsia="Arial" w:hAnsi="Arial"/>
          <w:sz w:val="18"/>
          <w:szCs w:val="18"/>
          <w:color w:val="auto"/>
        </w:rPr>
        <w:t>—The Plan’s investments in mutual funds are stated at fair value based on quoted market prices.</w:t>
      </w:r>
    </w:p>
    <w:p>
      <w:pPr>
        <w:spacing w:after="0" w:line="117"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i w:val="1"/>
          <w:iCs w:val="1"/>
          <w:color w:val="auto"/>
        </w:rPr>
        <w:t>Investment in Common Collective Trusts</w:t>
      </w:r>
      <w:r>
        <w:rPr>
          <w:rFonts w:ascii="Arial" w:cs="Arial" w:eastAsia="Arial" w:hAnsi="Arial"/>
          <w:sz w:val="18"/>
          <w:szCs w:val="18"/>
          <w:color w:val="auto"/>
        </w:rPr>
        <w:t>—As of December 31, 2014, the Plan held investments in sixteen common collective trusts (CCT): a</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Vanguard Target Retirement Trusts Plus; the Wellington Trust Small Cap 2000 Portfolio; the Wellington Trust TIPS Portfolio; the Loomis Sayles Core Plus Fixed Income Portfolio; and the T. Rowe Price U.S. Mid Cap Value Equity Trust. Fair value for these investments is determined by the trustee using observable inputs other than unadjusted quoted prices.</w:t>
      </w:r>
    </w:p>
    <w:p>
      <w:pPr>
        <w:spacing w:after="0" w:line="79" w:lineRule="exact"/>
        <w:rPr>
          <w:sz w:val="20"/>
          <w:szCs w:val="20"/>
          <w:color w:val="auto"/>
        </w:rPr>
      </w:pPr>
    </w:p>
    <w:p>
      <w:pPr>
        <w:ind w:left="460" w:right="40" w:firstLine="438"/>
        <w:spacing w:after="0" w:line="342" w:lineRule="auto"/>
        <w:rPr>
          <w:sz w:val="20"/>
          <w:szCs w:val="20"/>
          <w:color w:val="auto"/>
        </w:rPr>
      </w:pPr>
      <w:r>
        <w:rPr>
          <w:rFonts w:ascii="Arial" w:cs="Arial" w:eastAsia="Arial" w:hAnsi="Arial"/>
          <w:sz w:val="16"/>
          <w:szCs w:val="16"/>
          <w:i w:val="1"/>
          <w:iCs w:val="1"/>
          <w:color w:val="auto"/>
        </w:rPr>
        <w:t>Investment in Common Stock</w:t>
      </w:r>
      <w:r>
        <w:rPr>
          <w:rFonts w:ascii="Arial" w:cs="Arial" w:eastAsia="Arial" w:hAnsi="Arial"/>
          <w:sz w:val="16"/>
          <w:szCs w:val="16"/>
          <w:color w:val="auto"/>
        </w:rPr>
        <w:t>—Investments in shares of Leidos Holdings, Inc. common stock and New SAIC common stock, which are publicly</w:t>
      </w:r>
      <w:r>
        <w:rPr>
          <w:rFonts w:ascii="Arial" w:cs="Arial" w:eastAsia="Arial" w:hAnsi="Arial"/>
          <w:sz w:val="16"/>
          <w:szCs w:val="16"/>
          <w:i w:val="1"/>
          <w:iCs w:val="1"/>
          <w:color w:val="auto"/>
        </w:rPr>
        <w:t xml:space="preserve"> </w:t>
      </w:r>
      <w:r>
        <w:rPr>
          <w:rFonts w:ascii="Arial" w:cs="Arial" w:eastAsia="Arial" w:hAnsi="Arial"/>
          <w:sz w:val="16"/>
          <w:szCs w:val="16"/>
          <w:color w:val="auto"/>
        </w:rPr>
        <w:t>traded on the New York Stock Exchange, are recorded at their publicly-traded quoted market price as of December 31, 2014 and December 31, 2013.</w:t>
      </w:r>
    </w:p>
    <w:p>
      <w:pPr>
        <w:spacing w:after="0" w:line="16" w:lineRule="exact"/>
        <w:rPr>
          <w:sz w:val="20"/>
          <w:szCs w:val="20"/>
          <w:color w:val="auto"/>
        </w:rPr>
      </w:pPr>
    </w:p>
    <w:p>
      <w:pPr>
        <w:ind w:left="460" w:firstLine="438"/>
        <w:spacing w:after="0" w:line="302" w:lineRule="auto"/>
        <w:rPr>
          <w:sz w:val="20"/>
          <w:szCs w:val="20"/>
          <w:color w:val="auto"/>
        </w:rPr>
      </w:pPr>
      <w:r>
        <w:rPr>
          <w:rFonts w:ascii="Arial" w:cs="Arial" w:eastAsia="Arial" w:hAnsi="Arial"/>
          <w:sz w:val="16"/>
          <w:szCs w:val="16"/>
          <w:i w:val="1"/>
          <w:iCs w:val="1"/>
          <w:color w:val="auto"/>
        </w:rPr>
        <w:t>Investment Gains and Losses</w:t>
      </w:r>
      <w:r>
        <w:rPr>
          <w:rFonts w:ascii="Arial" w:cs="Arial" w:eastAsia="Arial" w:hAnsi="Arial"/>
          <w:sz w:val="16"/>
          <w:szCs w:val="16"/>
          <w:color w:val="auto"/>
        </w:rPr>
        <w:t>—Realized gains and losses on sales of investments are calculated as the difference between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upon sale and the fair value of the investments at purchase. Unrealized appreciation or depreciation is calculated as the difference between the fair value of the investments at the end of the year and the fair value of the investments at the beginning of the year or at purchase if purchased during the year. Interest income is recorded on the accrual basis of accounting. Dividends are recorded on the ex-dividend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Notes Receivable from Participants</w:t>
      </w:r>
      <w:r>
        <w:rPr>
          <w:rFonts w:ascii="Arial" w:cs="Arial" w:eastAsia="Arial" w:hAnsi="Arial"/>
          <w:sz w:val="16"/>
          <w:szCs w:val="16"/>
          <w:color w:val="auto"/>
        </w:rPr>
        <w:t>—Notes receivable from participants are carried at the aggregate unpaid principal balance of loans outstanding.</w:t>
      </w:r>
    </w:p>
    <w:p>
      <w:pPr>
        <w:spacing w:after="0" w:line="24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Benefits Payable</w:t>
      </w:r>
      <w:r>
        <w:rPr>
          <w:rFonts w:ascii="Arial" w:cs="Arial" w:eastAsia="Arial" w:hAnsi="Arial"/>
          <w:sz w:val="18"/>
          <w:szCs w:val="18"/>
          <w:color w:val="auto"/>
        </w:rPr>
        <w:t>—Benefit payments to participants are recorded upon distribution. There were no significant benefits payable to participants who had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elected to withdraw from the Plan but had not yet been paid as of December 31, 2014 and 2013.</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STATEMENTS—(Continued) AS OF AND FOR THE YEARS ENDED DECEMBER 31, 2014 AND 2013</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b w:val="1"/>
          <w:bCs w:val="1"/>
          <w:i w:val="1"/>
          <w:iCs w:val="1"/>
          <w:color w:val="auto"/>
        </w:rPr>
        <w:t>Accounting Estimates</w:t>
      </w:r>
      <w:r>
        <w:rPr>
          <w:rFonts w:ascii="Arial" w:cs="Arial" w:eastAsia="Arial" w:hAnsi="Arial"/>
          <w:sz w:val="16"/>
          <w:szCs w:val="16"/>
          <w:color w:val="auto"/>
        </w:rPr>
        <w:t>—The preparation of financial statements in conformity with generally accepted accounting principles requires Plan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make estimates and assumptions that affect the reported amounts of assets and liabilities and disclosures of contingent assets and liabilities at the date of the financial statements, and the reported amounts of additions and deductions during the reporting periods. Actual results may differ from those estimates.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Administrative Expenses</w:t>
      </w:r>
      <w:r>
        <w:rPr>
          <w:rFonts w:ascii="Arial" w:cs="Arial" w:eastAsia="Arial" w:hAnsi="Arial"/>
          <w:sz w:val="16"/>
          <w:szCs w:val="16"/>
          <w:color w:val="auto"/>
        </w:rPr>
        <w:t>—Administrative expenses of the Plan are paid by the Plan sponsor or Plan participants as provided in the Plan document.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INFORMATION</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Plan’s investments are held in a trust fund. The fair values of the investments representing 5% or more of the Plan’s net assets available for benefits as of December 31, 2014 and 2013,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9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0" w:type="dxa"/>
            <w:vAlign w:val="bottom"/>
            <w:tcBorders>
              <w:top w:val="single" w:sz="8" w:color="auto"/>
            </w:tcBorders>
            <w:gridSpan w:val="2"/>
          </w:tcPr>
          <w:p>
            <w:pPr>
              <w:jc w:val="right"/>
              <w:ind w:right="3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Vanguard Institutional Index Fund Institutional Plus Shares</w:t>
            </w: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$659,702</w:t>
            </w:r>
          </w:p>
        </w:tc>
        <w:tc>
          <w:tcPr>
            <w:tcW w:w="900" w:type="dxa"/>
            <w:vAlign w:val="bottom"/>
          </w:tcPr>
          <w:p>
            <w:pPr>
              <w:jc w:val="right"/>
              <w:spacing w:after="0"/>
              <w:rPr>
                <w:sz w:val="20"/>
                <w:szCs w:val="20"/>
                <w:color w:val="auto"/>
              </w:rPr>
            </w:pPr>
            <w:r>
              <w:rPr>
                <w:rFonts w:ascii="Arial" w:cs="Arial" w:eastAsia="Arial" w:hAnsi="Arial"/>
                <w:sz w:val="18"/>
                <w:szCs w:val="18"/>
                <w:color w:val="auto"/>
              </w:rPr>
              <w:t>$605,637</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Dodge &amp; Cox Stock Fund</w:t>
            </w:r>
          </w:p>
        </w:tc>
        <w:tc>
          <w:tcPr>
            <w:tcW w:w="1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442,316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437,366</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Vanguard Prime Money Market Fund Institutional Shares</w:t>
            </w: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341,243</w:t>
            </w:r>
          </w:p>
        </w:tc>
        <w:tc>
          <w:tcPr>
            <w:tcW w:w="900" w:type="dxa"/>
            <w:vAlign w:val="bottom"/>
          </w:tcPr>
          <w:p>
            <w:pPr>
              <w:jc w:val="right"/>
              <w:spacing w:after="0"/>
              <w:rPr>
                <w:sz w:val="20"/>
                <w:szCs w:val="20"/>
                <w:color w:val="auto"/>
              </w:rPr>
            </w:pPr>
            <w:r>
              <w:rPr>
                <w:rFonts w:ascii="Arial" w:cs="Arial" w:eastAsia="Arial" w:hAnsi="Arial"/>
                <w:sz w:val="18"/>
                <w:szCs w:val="18"/>
                <w:color w:val="auto"/>
              </w:rPr>
              <w:t>377,625</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Vanguard Extended Market Index Fund Institutional Plus Shares</w:t>
            </w:r>
          </w:p>
        </w:tc>
        <w:tc>
          <w:tcPr>
            <w:tcW w:w="1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335,307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354,128</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Vanguard Total Bond Market Index Fund Institutional Plus Shares</w:t>
            </w: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353,943</w:t>
            </w:r>
          </w:p>
        </w:tc>
        <w:tc>
          <w:tcPr>
            <w:tcW w:w="900" w:type="dxa"/>
            <w:vAlign w:val="bottom"/>
          </w:tcPr>
          <w:p>
            <w:pPr>
              <w:jc w:val="right"/>
              <w:spacing w:after="0"/>
              <w:rPr>
                <w:sz w:val="20"/>
                <w:szCs w:val="20"/>
                <w:color w:val="auto"/>
              </w:rPr>
            </w:pPr>
            <w:r>
              <w:rPr>
                <w:rFonts w:ascii="Arial" w:cs="Arial" w:eastAsia="Arial" w:hAnsi="Arial"/>
                <w:sz w:val="18"/>
                <w:szCs w:val="18"/>
                <w:color w:val="auto"/>
              </w:rPr>
              <w:t>311,598</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Vanguard PRIMECAP Fund Admiral Shares</w:t>
            </w:r>
          </w:p>
        </w:tc>
        <w:tc>
          <w:tcPr>
            <w:tcW w:w="17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371,275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296,253</w:t>
            </w: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Vanguard Target Retirement 2025 Trust Plus</w:t>
            </w: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313,540</w:t>
            </w:r>
          </w:p>
        </w:tc>
        <w:tc>
          <w:tcPr>
            <w:tcW w:w="900" w:type="dxa"/>
            <w:vAlign w:val="bottom"/>
          </w:tcPr>
          <w:p>
            <w:pPr>
              <w:jc w:val="right"/>
              <w:spacing w:after="0"/>
              <w:rPr>
                <w:sz w:val="20"/>
                <w:szCs w:val="20"/>
                <w:color w:val="auto"/>
              </w:rPr>
            </w:pPr>
            <w:r>
              <w:rPr>
                <w:rFonts w:ascii="Arial" w:cs="Arial" w:eastAsia="Arial" w:hAnsi="Arial"/>
                <w:sz w:val="18"/>
                <w:szCs w:val="18"/>
                <w:color w:val="auto"/>
              </w:rPr>
              <w:t>295,977</w:t>
            </w: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60" w:type="dxa"/>
            <w:vAlign w:val="bottom"/>
          </w:tcPr>
          <w:p>
            <w:pPr>
              <w:ind w:left="360"/>
              <w:spacing w:after="0"/>
              <w:rPr>
                <w:sz w:val="20"/>
                <w:szCs w:val="20"/>
                <w:color w:val="auto"/>
              </w:rPr>
            </w:pPr>
            <w:r>
              <w:rPr>
                <w:rFonts w:ascii="Arial" w:cs="Arial" w:eastAsia="Arial" w:hAnsi="Arial"/>
                <w:sz w:val="18"/>
                <w:szCs w:val="18"/>
                <w:color w:val="auto"/>
              </w:rPr>
              <w:t>Leidos Holdings, Inc. common stock</w:t>
            </w:r>
          </w:p>
        </w:tc>
        <w:tc>
          <w:tcPr>
            <w:tcW w:w="1720" w:type="dxa"/>
            <w:vAlign w:val="bottom"/>
            <w:gridSpan w:val="2"/>
          </w:tcPr>
          <w:p>
            <w:pPr>
              <w:jc w:val="right"/>
              <w:ind w:right="148"/>
              <w:spacing w:after="0"/>
              <w:rPr>
                <w:sz w:val="20"/>
                <w:szCs w:val="20"/>
                <w:color w:val="auto"/>
              </w:rPr>
            </w:pPr>
            <w:r>
              <w:rPr>
                <w:rFonts w:ascii="Arial" w:cs="Arial" w:eastAsia="Arial" w:hAnsi="Arial"/>
                <w:sz w:val="18"/>
                <w:szCs w:val="18"/>
                <w:color w:val="auto"/>
              </w:rPr>
              <w:t>332,362</w:t>
            </w:r>
          </w:p>
        </w:tc>
        <w:tc>
          <w:tcPr>
            <w:tcW w:w="900" w:type="dxa"/>
            <w:vAlign w:val="bottom"/>
          </w:tcPr>
          <w:p>
            <w:pPr>
              <w:jc w:val="right"/>
              <w:spacing w:after="0"/>
              <w:rPr>
                <w:sz w:val="20"/>
                <w:szCs w:val="20"/>
                <w:color w:val="auto"/>
              </w:rPr>
            </w:pPr>
            <w:r>
              <w:rPr>
                <w:rFonts w:ascii="Arial" w:cs="Arial" w:eastAsia="Arial" w:hAnsi="Arial"/>
                <w:sz w:val="18"/>
                <w:szCs w:val="18"/>
                <w:color w:val="auto"/>
              </w:rPr>
              <w:t>441,796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During the years ended December 31, 2014 and 2013, the Plan’s investments (including investments bought, sold, and held during the year) appreciated (depreciated)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9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80" w:type="dxa"/>
            <w:vAlign w:val="bottom"/>
            <w:tcBorders>
              <w:top w:val="single" w:sz="8" w:color="auto"/>
            </w:tcBorders>
            <w:gridSpan w:val="4"/>
          </w:tcPr>
          <w:p>
            <w:pPr>
              <w:jc w:val="right"/>
              <w:ind w:right="4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$ 130,892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126,699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317,571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Separately managed accounts</w:t>
            </w: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Common stock</w:t>
            </w:r>
          </w:p>
        </w:tc>
        <w:tc>
          <w:tcPr>
            <w:tcW w:w="22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$ 300,749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1,176,916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Plan invests in various securities as detailed above. Investment securities, in general, are exposed to various risks, such as interest rate risk, credit risk, and overall market volatility. Due to the level of risk associated with investment securities, it is reasonably possible that changes in the values of certain investment securities will occur in the near term and that such changes could materially affect the amounts reported in the statements of net assets available for benefits.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STATEMENTS—(Continued) AS OF AND FOR THE YEARS ENDED DECEMBER 31, 2014 AND 2013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guidance has been issued that establishes a framework for measuring fair value. That framework provides a fair value hierarchy that prioritizes the inputs to valuation techniques used to measure fair value. The three levels of the fair value hierarchy are described below:</w:t>
      </w:r>
    </w:p>
    <w:p>
      <w:pPr>
        <w:spacing w:after="0" w:line="197" w:lineRule="exact"/>
        <w:rPr>
          <w:sz w:val="20"/>
          <w:szCs w:val="20"/>
          <w:color w:val="auto"/>
        </w:rPr>
      </w:pPr>
    </w:p>
    <w:p>
      <w:pPr>
        <w:ind w:left="1380" w:right="280" w:hanging="904"/>
        <w:spacing w:after="0" w:line="277" w:lineRule="auto"/>
        <w:tabs>
          <w:tab w:leader="none" w:pos="13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62" w:lineRule="exact"/>
        <w:rPr>
          <w:sz w:val="20"/>
          <w:szCs w:val="20"/>
          <w:color w:val="auto"/>
        </w:rPr>
      </w:pPr>
    </w:p>
    <w:p>
      <w:pPr>
        <w:ind w:left="1380" w:right="160" w:hanging="904"/>
        <w:spacing w:after="0" w:line="302" w:lineRule="auto"/>
        <w:tabs>
          <w:tab w:leader="none" w:pos="13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 quoted prices for similar assets or liabilities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46" w:lineRule="exact"/>
        <w:rPr>
          <w:sz w:val="20"/>
          <w:szCs w:val="20"/>
          <w:color w:val="auto"/>
        </w:rPr>
      </w:pPr>
    </w:p>
    <w:p>
      <w:pPr>
        <w:ind w:left="1380" w:right="200" w:hanging="904"/>
        <w:spacing w:after="0" w:line="277" w:lineRule="auto"/>
        <w:tabs>
          <w:tab w:leader="none" w:pos="13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to the fair value measurement of assets or liabilities and are used to the extent that observable inputs are not available.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end of the reporting period.</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Plan’s investments at fair value, on a recurring basis as of December 31,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1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Active Markets for Identical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9"/>
              </w:rPr>
              <w:t>Other Observable Inputs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5"/>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5"/>
          </w:tcPr>
          <w:p>
            <w:pPr>
              <w:jc w:val="right"/>
              <w:ind w:right="860"/>
              <w:spacing w:after="0" w:line="14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Domestic equity funds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$2,400,231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$2,282,717</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$2,400,231</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$2,282,717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Bond funds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465,520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570,371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113,108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578,628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Short term reserve funds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341,243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391,350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341,243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equity funds</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175,656</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211,582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175,656</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Common stock:</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Leidos Holdings, Inc.</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332,362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441,796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332,362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New SAIC</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98,012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170,922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98,012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Balanced funds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1,611,938</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1,563,697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1,611,938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1,563,697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Domestic equity funds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199,875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196,140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Bond funds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16,315</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17,930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16,315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17,930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3,813,024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4,068,738</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1,937,501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1,781,502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5,750,525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5,850,240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year ended December 31, 2014, approximately $113,108,000 of assets were transferred from Level 1 to Level 2. There were no transfers between Level 1 and Level 2 during the year ended December 31,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Plan did not have any Level 3 investments for the years ended December 31, 2014 and 2013.</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840" w:right="2240"/>
        <w:spacing w:after="0" w:line="266" w:lineRule="auto"/>
        <w:rPr>
          <w:sz w:val="20"/>
          <w:szCs w:val="20"/>
          <w:color w:val="auto"/>
        </w:rPr>
      </w:pPr>
      <w:r>
        <w:rPr>
          <w:rFonts w:ascii="Arial" w:cs="Arial" w:eastAsia="Arial" w:hAnsi="Arial"/>
          <w:sz w:val="18"/>
          <w:szCs w:val="18"/>
          <w:b w:val="1"/>
          <w:bCs w:val="1"/>
          <w:color w:val="auto"/>
        </w:rPr>
        <w:t>LEIDOS, INC. RETIREMENT PLAN NOTES TO FINANCIAL STATEMENTS—(Continued) AS OF AND FOR THE YEARS ENDED DECEMBER 31, 2014 AND 2013</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RECONCILIATION OF FINANCIAL STATEMENTS TO FORM 5500</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reconciliation of net assets available for benefits as of December 31, 2014 and 2013 as reported in the financial statements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Schedule H on Form 5500: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2140" w:type="dxa"/>
            <w:vAlign w:val="bottom"/>
            <w:gridSpan w:val="4"/>
          </w:tcPr>
          <w:p>
            <w:pPr>
              <w:jc w:val="right"/>
              <w:ind w:right="5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reported in financial statements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$5,832,258</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$5,907,901</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Participant loans deemed distributed</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(2,803)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(2,747)</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Deemed loans repaid</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Net assets available for benefits reported on Schedule H on Form 5500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5,829,891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5,905,503</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reconciliation of deemed distributions of participant loans for the year ended December 31, 2014, as reported in the financial statements to Schedule H on Form 5500:</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42"/>
        </w:trPr>
        <w:tc>
          <w:tcPr>
            <w:tcW w:w="7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2"/>
                <w:szCs w:val="1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distributions of participant loans as reported in the financial statements</w:t>
            </w:r>
          </w:p>
        </w:tc>
        <w:tc>
          <w:tcPr>
            <w:tcW w:w="16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Add participant loans deemed distributed in 2014</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406</w:t>
            </w:r>
          </w:p>
        </w:tc>
      </w:tr>
      <w:tr>
        <w:trPr>
          <w:trHeight w:val="27"/>
        </w:trPr>
        <w:tc>
          <w:tcPr>
            <w:tcW w:w="7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distributions of participant loans reported on Schedule H of Form 5500</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406</w:t>
            </w:r>
          </w:p>
        </w:tc>
      </w:tr>
      <w:tr>
        <w:trPr>
          <w:trHeight w:val="20"/>
        </w:trPr>
        <w:tc>
          <w:tcPr>
            <w:tcW w:w="7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20"/>
          </w:cols>
          <w:pgMar w:left="240" w:top="459" w:right="8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446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15"/>
        </w:trPr>
        <w:tc>
          <w:tcPr>
            <w:tcW w:w="4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44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9"/>
              </w:rPr>
              <w:t>SUPPLEMENTAL SCHEDULE</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5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rPr>
              <w:t>LEIDOS, INC. RETIREMENT PLAN</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8"/>
              </w:rPr>
              <w:t>FORM 5500, SCHEDULE H, PART IV, LINE 4i—SCHEDULE OF ASSETS (HELD AT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4"/>
              </w:rPr>
              <w:t>END OF YEAR) AS OF DECEMBER 31, 2014 (in thousands)</w:t>
            </w: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80" w:type="dxa"/>
            <w:vAlign w:val="bottom"/>
            <w:gridSpan w:val="4"/>
          </w:tcPr>
          <w:p>
            <w:pPr>
              <w:ind w:left="1840"/>
              <w:spacing w:after="0"/>
              <w:rPr>
                <w:sz w:val="20"/>
                <w:szCs w:val="20"/>
                <w:color w:val="auto"/>
              </w:rPr>
            </w:pPr>
            <w:r>
              <w:rPr>
                <w:rFonts w:ascii="Arial" w:cs="Arial" w:eastAsia="Arial" w:hAnsi="Arial"/>
                <w:sz w:val="18"/>
                <w:szCs w:val="18"/>
                <w:b w:val="1"/>
                <w:bCs w:val="1"/>
                <w:color w:val="auto"/>
              </w:rPr>
              <w:t>EIN: 95-3630868</w:t>
            </w:r>
          </w:p>
        </w:tc>
        <w:tc>
          <w:tcPr>
            <w:tcW w:w="120" w:type="dxa"/>
            <w:vAlign w:val="bottom"/>
          </w:tcPr>
          <w:p>
            <w:pPr>
              <w:spacing w:after="0"/>
              <w:rPr>
                <w:sz w:val="24"/>
                <w:szCs w:val="24"/>
                <w:color w:val="auto"/>
              </w:rPr>
            </w:pP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rPr>
              <w:t>Plan #004</w:t>
            </w:r>
          </w:p>
        </w:tc>
      </w:tr>
      <w:tr>
        <w:trPr>
          <w:trHeight w:val="95"/>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403"/>
        </w:trPr>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(c) Description of Investment</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Including Maturity Date, Rate</w:t>
            </w: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1"/>
        </w:trPr>
        <w:tc>
          <w:tcPr>
            <w:tcW w:w="46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(a)</w:t>
            </w:r>
          </w:p>
        </w:tc>
        <w:tc>
          <w:tcPr>
            <w:tcW w:w="362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1940" w:type="dxa"/>
            <w:vAlign w:val="bottom"/>
          </w:tcPr>
          <w:p>
            <w:pPr>
              <w:spacing w:after="0"/>
              <w:rPr>
                <w:sz w:val="14"/>
                <w:szCs w:val="14"/>
                <w:color w:val="auto"/>
              </w:rPr>
            </w:pPr>
          </w:p>
        </w:tc>
        <w:tc>
          <w:tcPr>
            <w:tcW w:w="2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of Interest and Collateral</w:t>
            </w:r>
          </w:p>
        </w:tc>
        <w:tc>
          <w:tcPr>
            <w:tcW w:w="9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(d) Cost</w:t>
            </w: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(e) Current Value</w:t>
            </w:r>
          </w:p>
        </w:tc>
      </w:tr>
      <w:tr>
        <w:trPr>
          <w:trHeight w:val="20"/>
        </w:trPr>
        <w:tc>
          <w:tcPr>
            <w:tcW w:w="460" w:type="dxa"/>
            <w:vAlign w:val="bottom"/>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310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Leidos Holdings, Inc. common stock</w:t>
            </w:r>
          </w:p>
        </w:tc>
        <w:tc>
          <w:tcPr>
            <w:tcW w:w="19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Company stock</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332,362</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New SAIC common stock</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stock</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98,012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Inst Idx Inst Plus</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659,702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Dodge &amp; Cox Stock Fund</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442,316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PRIMECAP Adm</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371,275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Total Bond Mkt Inst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353,943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Prime MM Inst</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341,243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Ext Mkt Index Inst Pl</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335,307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LongLeaf Partne Small Cap</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176,578</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T Rw Prc Ins Md Cp Eqy Gr</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175,859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Int’l Growth Adm</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175,656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FTSE A-W ex-US Inst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150,399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Loomis Sayles Transition</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113,108</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S-T Bond Idx Inst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111,577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DFA Em Mkts Core Eq Inst</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Mutual fund</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Tgt Retire 2025 Tr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313,540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Tgt Retire 2020 Tr P</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286,372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Tgt Retire 2030 Tr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231,435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Tgt Retire 2015 Tr P</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192,545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Tgt Retire 2035 Tr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165,331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TRP US Md Cp Val Eq Tr D</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131,659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Tgt Retire 2040 Tr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119,801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Tgt Retire 2010 Tr P</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88,142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rPr>
                <w:sz w:val="20"/>
                <w:szCs w:val="20"/>
                <w:color w:val="auto"/>
              </w:rPr>
            </w:pPr>
            <w:r>
              <w:rPr>
                <w:rFonts w:ascii="Arial" w:cs="Arial" w:eastAsia="Arial" w:hAnsi="Arial"/>
                <w:sz w:val="18"/>
                <w:szCs w:val="18"/>
                <w:color w:val="auto"/>
              </w:rPr>
              <w:t>Vanguard Tgt Retire Inc Tr P</w:t>
            </w:r>
          </w:p>
        </w:tc>
        <w:tc>
          <w:tcPr>
            <w:tcW w:w="4400" w:type="dxa"/>
            <w:vAlign w:val="bottom"/>
            <w:gridSpan w:val="3"/>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87,696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Vanguard Tgt Retire 2045 Tr P</w:t>
            </w:r>
          </w:p>
        </w:tc>
        <w:tc>
          <w:tcPr>
            <w:tcW w:w="4400" w:type="dxa"/>
            <w:vAlign w:val="bottom"/>
            <w:gridSpan w:val="3"/>
            <w:shd w:val="clear" w:color="auto" w:fill="CCEEFF"/>
          </w:tcPr>
          <w:p>
            <w:pPr>
              <w:ind w:left="1940"/>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79,719</w:t>
            </w:r>
          </w:p>
        </w:tc>
        <w:tc>
          <w:tcPr>
            <w:tcW w:w="460" w:type="dxa"/>
            <w:vAlign w:val="bottom"/>
          </w:tcPr>
          <w:p>
            <w:pPr>
              <w:spacing w:after="0"/>
              <w:rPr>
                <w:sz w:val="18"/>
                <w:szCs w:val="18"/>
                <w:color w:val="auto"/>
              </w:rPr>
            </w:pPr>
          </w:p>
        </w:tc>
      </w:tr>
      <w:tr>
        <w:trPr>
          <w:trHeight w:val="202"/>
        </w:trPr>
        <w:tc>
          <w:tcPr>
            <w:tcW w:w="460" w:type="dxa"/>
            <w:vAlign w:val="bottom"/>
          </w:tcPr>
          <w:p>
            <w:pPr>
              <w:spacing w:after="0"/>
              <w:rPr>
                <w:sz w:val="17"/>
                <w:szCs w:val="17"/>
                <w:color w:val="auto"/>
              </w:rPr>
            </w:pPr>
          </w:p>
        </w:tc>
        <w:tc>
          <w:tcPr>
            <w:tcW w:w="38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62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Wellington Small Cap</w:t>
            </w:r>
          </w:p>
        </w:tc>
        <w:tc>
          <w:tcPr>
            <w:tcW w:w="4400" w:type="dxa"/>
            <w:vAlign w:val="bottom"/>
            <w:gridSpan w:val="3"/>
          </w:tcPr>
          <w:p>
            <w:pPr>
              <w:ind w:left="1940"/>
              <w:spacing w:after="0" w:line="201" w:lineRule="exact"/>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64,461</w:t>
            </w:r>
          </w:p>
        </w:tc>
        <w:tc>
          <w:tcPr>
            <w:tcW w:w="46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ind w:left="140"/>
              <w:spacing w:after="0"/>
              <w:rPr>
                <w:sz w:val="20"/>
                <w:szCs w:val="20"/>
                <w:color w:val="auto"/>
              </w:rPr>
            </w:pPr>
            <w:r>
              <w:rPr>
                <w:rFonts w:ascii="Arial" w:cs="Arial" w:eastAsia="Arial" w:hAnsi="Arial"/>
                <w:sz w:val="18"/>
                <w:szCs w:val="18"/>
                <w:color w:val="auto"/>
              </w:rPr>
              <w:t>(Continued)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2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applicable—participant-directed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34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15"/>
        </w:trPr>
        <w:tc>
          <w:tcPr>
            <w:tcW w:w="4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464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9"/>
              </w:rPr>
              <w:t>SUPPLEMENTAL SCHEDULE</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2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rPr>
              <w:t>LEIDOS, INC. RETIREMENT PLAN</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300" w:type="dxa"/>
            <w:vAlign w:val="bottom"/>
            <w:gridSpan w:val="6"/>
          </w:tcPr>
          <w:p>
            <w:pPr>
              <w:jc w:val="center"/>
              <w:ind w:left="330"/>
              <w:spacing w:after="0"/>
              <w:rPr>
                <w:sz w:val="20"/>
                <w:szCs w:val="20"/>
                <w:color w:val="auto"/>
              </w:rPr>
            </w:pPr>
            <w:r>
              <w:rPr>
                <w:rFonts w:ascii="Arial" w:cs="Arial" w:eastAsia="Arial" w:hAnsi="Arial"/>
                <w:sz w:val="18"/>
                <w:szCs w:val="18"/>
                <w:b w:val="1"/>
                <w:bCs w:val="1"/>
                <w:color w:val="auto"/>
                <w:w w:val="98"/>
              </w:rPr>
              <w:t>FORM 5500, SCHEDULE H, PART IV, LINE 4i—SCHEDULE OF ASSETS (HELD AT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20" w:type="dxa"/>
            <w:vAlign w:val="bottom"/>
            <w:gridSpan w:val="4"/>
          </w:tcPr>
          <w:p>
            <w:pPr>
              <w:jc w:val="center"/>
              <w:ind w:left="1010"/>
              <w:spacing w:after="0"/>
              <w:rPr>
                <w:sz w:val="20"/>
                <w:szCs w:val="20"/>
                <w:color w:val="auto"/>
              </w:rPr>
            </w:pPr>
            <w:r>
              <w:rPr>
                <w:rFonts w:ascii="Arial" w:cs="Arial" w:eastAsia="Arial" w:hAnsi="Arial"/>
                <w:sz w:val="18"/>
                <w:szCs w:val="18"/>
                <w:b w:val="1"/>
                <w:bCs w:val="1"/>
                <w:color w:val="auto"/>
                <w:w w:val="94"/>
              </w:rPr>
              <w:t>END OF YEAR) AS OF DECEMBER 31, 2014 (in thousands)</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160" w:type="dxa"/>
            <w:vAlign w:val="bottom"/>
            <w:gridSpan w:val="4"/>
          </w:tcPr>
          <w:p>
            <w:pPr>
              <w:ind w:left="1740"/>
              <w:spacing w:after="0"/>
              <w:rPr>
                <w:sz w:val="20"/>
                <w:szCs w:val="20"/>
                <w:color w:val="auto"/>
              </w:rPr>
            </w:pPr>
            <w:r>
              <w:rPr>
                <w:rFonts w:ascii="Arial" w:cs="Arial" w:eastAsia="Arial" w:hAnsi="Arial"/>
                <w:sz w:val="18"/>
                <w:szCs w:val="18"/>
                <w:b w:val="1"/>
                <w:bCs w:val="1"/>
                <w:color w:val="auto"/>
              </w:rPr>
              <w:t>EIN: 95-3630868</w:t>
            </w:r>
          </w:p>
        </w:tc>
        <w:tc>
          <w:tcPr>
            <w:tcW w:w="120" w:type="dxa"/>
            <w:vAlign w:val="bottom"/>
          </w:tcPr>
          <w:p>
            <w:pPr>
              <w:spacing w:after="0"/>
              <w:rPr>
                <w:sz w:val="24"/>
                <w:szCs w:val="24"/>
                <w:color w:val="auto"/>
              </w:rPr>
            </w:pPr>
          </w:p>
        </w:tc>
        <w:tc>
          <w:tcPr>
            <w:tcW w:w="16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Plan #004</w:t>
            </w:r>
          </w:p>
        </w:tc>
      </w:tr>
      <w:tr>
        <w:trPr>
          <w:trHeight w:val="95"/>
        </w:trPr>
        <w:tc>
          <w:tcPr>
            <w:tcW w:w="4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308"/>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 Description of Investment</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49"/>
        </w:trPr>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Including Maturity Date, Rate</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71"/>
        </w:trPr>
        <w:tc>
          <w:tcPr>
            <w:tcW w:w="46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rPr>
              <w:t>(a)</w:t>
            </w:r>
          </w:p>
        </w:tc>
        <w:tc>
          <w:tcPr>
            <w:tcW w:w="35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(b) Identity of Issue, Borrower, Lessor, or Similar Party</w:t>
            </w:r>
          </w:p>
        </w:tc>
        <w:tc>
          <w:tcPr>
            <w:tcW w:w="2160" w:type="dxa"/>
            <w:vAlign w:val="bottom"/>
          </w:tcPr>
          <w:p>
            <w:pPr>
              <w:spacing w:after="0"/>
              <w:rPr>
                <w:sz w:val="14"/>
                <w:szCs w:val="14"/>
                <w:color w:val="auto"/>
              </w:rPr>
            </w:pPr>
          </w:p>
        </w:tc>
        <w:tc>
          <w:tcPr>
            <w:tcW w:w="2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of Interest and Collateral</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(d) Cost</w:t>
            </w:r>
          </w:p>
        </w:tc>
        <w:tc>
          <w:tcPr>
            <w:tcW w:w="120" w:type="dxa"/>
            <w:vAlign w:val="bottom"/>
          </w:tcPr>
          <w:p>
            <w:pPr>
              <w:spacing w:after="0"/>
              <w:rPr>
                <w:sz w:val="14"/>
                <w:szCs w:val="14"/>
                <w:color w:val="auto"/>
              </w:rPr>
            </w:pPr>
          </w:p>
        </w:tc>
        <w:tc>
          <w:tcPr>
            <w:tcW w:w="16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(e) Current Value</w:t>
            </w:r>
          </w:p>
        </w:tc>
      </w:tr>
      <w:tr>
        <w:trPr>
          <w:trHeight w:val="20"/>
        </w:trPr>
        <w:tc>
          <w:tcPr>
            <w:tcW w:w="460" w:type="dxa"/>
            <w:vAlign w:val="bottom"/>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560" w:type="dxa"/>
            <w:vAlign w:val="bottom"/>
            <w:gridSpan w:val="3"/>
            <w:shd w:val="clear" w:color="auto" w:fill="CCEEFF"/>
          </w:tcPr>
          <w:p>
            <w:pPr>
              <w:ind w:left="140"/>
              <w:spacing w:after="0" w:line="203" w:lineRule="exact"/>
              <w:rPr>
                <w:sz w:val="20"/>
                <w:szCs w:val="20"/>
                <w:color w:val="auto"/>
              </w:rPr>
            </w:pPr>
            <w:r>
              <w:rPr>
                <w:rFonts w:ascii="Arial" w:cs="Arial" w:eastAsia="Arial" w:hAnsi="Arial"/>
                <w:sz w:val="18"/>
                <w:szCs w:val="18"/>
                <w:color w:val="auto"/>
              </w:rPr>
              <w:t>Vanguard Tgt Retire 2050 Tr P</w:t>
            </w:r>
          </w:p>
        </w:tc>
        <w:tc>
          <w:tcPr>
            <w:tcW w:w="216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Common collective trust</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36,742</w:t>
            </w:r>
          </w:p>
        </w:tc>
        <w:tc>
          <w:tcPr>
            <w:tcW w:w="10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gridSpan w:val="3"/>
          </w:tcPr>
          <w:p>
            <w:pPr>
              <w:ind w:left="140"/>
              <w:spacing w:after="0"/>
              <w:rPr>
                <w:sz w:val="20"/>
                <w:szCs w:val="20"/>
                <w:color w:val="auto"/>
              </w:rPr>
            </w:pPr>
            <w:r>
              <w:rPr>
                <w:rFonts w:ascii="Arial" w:cs="Arial" w:eastAsia="Arial" w:hAnsi="Arial"/>
                <w:sz w:val="18"/>
                <w:szCs w:val="18"/>
                <w:color w:val="auto"/>
              </w:rPr>
              <w:t>Wellington Trust TIPS</w:t>
            </w:r>
          </w:p>
        </w:tc>
        <w:tc>
          <w:tcPr>
            <w:tcW w:w="21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16,315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Vanguard Tgt Retire 2055 Tr P</w:t>
            </w:r>
          </w:p>
        </w:tc>
        <w:tc>
          <w:tcPr>
            <w:tcW w:w="21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3560" w:type="dxa"/>
            <w:vAlign w:val="bottom"/>
            <w:gridSpan w:val="3"/>
          </w:tcPr>
          <w:p>
            <w:pPr>
              <w:ind w:left="140"/>
              <w:spacing w:after="0"/>
              <w:rPr>
                <w:sz w:val="20"/>
                <w:szCs w:val="20"/>
                <w:color w:val="auto"/>
              </w:rPr>
            </w:pPr>
            <w:r>
              <w:rPr>
                <w:rFonts w:ascii="Arial" w:cs="Arial" w:eastAsia="Arial" w:hAnsi="Arial"/>
                <w:sz w:val="18"/>
                <w:szCs w:val="18"/>
                <w:color w:val="auto"/>
              </w:rPr>
              <w:t>Vanguard Tgt Retire 2060 Tr P</w:t>
            </w:r>
          </w:p>
        </w:tc>
        <w:tc>
          <w:tcPr>
            <w:tcW w:w="21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Common collective trust</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4,137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LS Core Plus Fixed Inc D</w:t>
            </w:r>
          </w:p>
        </w:tc>
        <w:tc>
          <w:tcPr>
            <w:tcW w:w="216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02"/>
        </w:trPr>
        <w:tc>
          <w:tcPr>
            <w:tcW w:w="460" w:type="dxa"/>
            <w:vAlign w:val="bottom"/>
          </w:tcPr>
          <w:p>
            <w:pPr>
              <w:spacing w:after="0"/>
              <w:rPr>
                <w:sz w:val="17"/>
                <w:szCs w:val="17"/>
                <w:color w:val="auto"/>
              </w:rPr>
            </w:pPr>
          </w:p>
        </w:tc>
        <w:tc>
          <w:tcPr>
            <w:tcW w:w="3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56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Notes Receivable from Participants</w:t>
            </w:r>
          </w:p>
        </w:tc>
        <w:tc>
          <w:tcPr>
            <w:tcW w:w="216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Loans/Interest rates from</w:t>
            </w: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7"/>
                <w:szCs w:val="17"/>
                <w:color w:val="auto"/>
              </w:rPr>
            </w:pPr>
          </w:p>
        </w:tc>
        <w:tc>
          <w:tcPr>
            <w:tcW w:w="130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52,028</w:t>
            </w:r>
          </w:p>
        </w:tc>
        <w:tc>
          <w:tcPr>
            <w:tcW w:w="46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3.25% to 10.0%; maturities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from January 2015 to</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7"/>
        </w:trPr>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November 2044</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5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16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5,802,553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applicable—participant-directed investment.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6"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Leidos, Inc. Retirement Plans Committee has duly caused this annual report to be signed on its behalf by the undersigned hereunto duly authorized.</w:t>
      </w:r>
    </w:p>
    <w:p>
      <w:pPr>
        <w:spacing w:after="0" w:line="19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LEIDOS, INC. RETIREMENT PLAN</w:t>
      </w:r>
    </w:p>
    <w:p>
      <w:pPr>
        <w:spacing w:after="0" w:line="225"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June 25, 2015</w:t>
      </w:r>
      <w:r>
        <w:rPr>
          <w:sz w:val="20"/>
          <w:szCs w:val="20"/>
          <w:color w:val="auto"/>
        </w:rPr>
        <w:tab/>
      </w:r>
      <w:r>
        <w:rPr>
          <w:rFonts w:ascii="Arial" w:cs="Arial" w:eastAsia="Arial" w:hAnsi="Arial"/>
          <w:sz w:val="15"/>
          <w:szCs w:val="15"/>
          <w:color w:val="auto"/>
        </w:rPr>
        <w:t>/s/ Taschia Tamakloe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Taschia L. Tamakloe</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Vice President, Corporate Benefits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jc w:val="center"/>
        <w:ind w:right="9759"/>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9759"/>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1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 333-138095 on Form S-8 and Post-Effective Amendment No. 1 to Registration Statement No. 333-138095 on Form S-8 of Leidos Holdings, Inc., of our report dated June 25, 2015, relating to the financial statements and supplemental schedule appearing in this Annual Report on Form 11-K of Leidos, Inc. Retirement Plan, for the year ended December 31,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sectPr>
      <w:pgSz w:w="11900" w:h="16838" w:orient="portrait"/>
      <w:cols w:equalWidth="0" w:num="1">
        <w:col w:w="11000"/>
      </w:cols>
      <w:pgMar w:left="240" w:top="12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2020-01-23T21:35:48Z</dcterms:created>
  <dcterms:modified xsi:type="dcterms:W3CDTF">2020-01-23T21:35:48Z</dcterms:modified>
</cp:coreProperties>
</file>