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0D442A3B41A58A7EDC7A2EBD0C56ACD9"/>
      <w:bookmarkStart w:id="1" w:name="a8-kpressrelease.htm"/>
      <w:bookmarkStart w:id="2" w:name="ksa8kpressrelease"/>
      <w:bookmarkStart w:id="3" w:name="s0D442A3B41A58A7EDC7A2EBD0C56ACD9"/>
      <w:bookmarkStart w:id="4" w:name="a8-kpressrelease.htm"/>
      <w:bookmarkStart w:id="5" w:name="ksa8kpressrelease"/>
      <w:bookmarkEnd w:id="3"/>
      <w:bookmarkEnd w:id="4"/>
      <w:bookmarkEnd w:id="5"/>
    </w:p>
    <w:p>
      <w:pPr>
        <w:pStyle w:val="TextBody"/>
        <w:spacing w:before="0" w:after="0"/>
        <w:rPr/>
      </w:pPr>
      <w:r>
        <w:rPr/>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Arial" w:hAnsi="Arial"/>
          <w:b/>
          <w:sz w:val="30"/>
        </w:rPr>
      </w:pPr>
      <w:r>
        <w:rPr>
          <w:rFonts w:ascii="Arial" w:hAnsi="Arial"/>
          <w:b/>
          <w:sz w:val="30"/>
        </w:rPr>
        <w:t>UNITED STATES</w:t>
      </w:r>
    </w:p>
    <w:p>
      <w:pPr>
        <w:pStyle w:val="TextBody"/>
        <w:spacing w:lineRule="auto" w:line="288" w:before="0" w:after="0"/>
        <w:jc w:val="center"/>
        <w:rPr>
          <w:rFonts w:ascii="Arial" w:hAnsi="Arial"/>
          <w:b/>
          <w:sz w:val="30"/>
        </w:rPr>
      </w:pPr>
      <w:r>
        <w:rPr>
          <w:rFonts w:ascii="Arial" w:hAnsi="Arial"/>
          <w:b/>
          <w:sz w:val="30"/>
        </w:rPr>
        <w:t>SECURITIES AND EXCHANGE COMMISSION</w:t>
      </w:r>
    </w:p>
    <w:p>
      <w:pPr>
        <w:pStyle w:val="TextBody"/>
        <w:spacing w:lineRule="auto" w:line="288" w:before="0" w:after="0"/>
        <w:jc w:val="center"/>
        <w:rPr>
          <w:rFonts w:ascii="Arial" w:hAnsi="Arial"/>
          <w:b/>
          <w:sz w:val="20"/>
        </w:rPr>
      </w:pPr>
      <w:r>
        <w:rPr>
          <w:rFonts w:ascii="Arial" w:hAnsi="Arial"/>
          <w:b/>
          <w:sz w:val="20"/>
        </w:rPr>
        <w:t>Washington, D.C. 20549</w:t>
      </w:r>
    </w:p>
    <w:p>
      <w:pPr>
        <w:pStyle w:val="TextBody"/>
        <w:spacing w:lineRule="auto" w:line="288" w:before="0" w:after="0"/>
        <w:rPr/>
      </w:pPr>
      <w:r>
        <w:rPr/>
        <w:t> </w:t>
      </w:r>
    </w:p>
    <w:p>
      <w:pPr>
        <w:pStyle w:val="TextBody"/>
        <w:spacing w:lineRule="auto" w:line="288" w:before="0" w:after="0"/>
        <w:jc w:val="center"/>
        <w:rPr/>
      </w:pPr>
      <w:r>
        <w:rPr/>
        <w:t> </w:t>
      </w:r>
      <w:r>
        <w:rPr>
          <w:rFonts w:ascii="Arial" w:hAnsi="Arial"/>
          <w:b/>
          <w:sz w:val="30"/>
        </w:rPr>
        <w:t>FORM 8-K</w:t>
      </w:r>
    </w:p>
    <w:p>
      <w:pPr>
        <w:pStyle w:val="TextBody"/>
        <w:spacing w:lineRule="auto" w:line="288" w:before="0" w:after="0"/>
        <w:rPr/>
      </w:pPr>
      <w:r>
        <w:rPr/>
        <w:t> </w:t>
      </w:r>
    </w:p>
    <w:p>
      <w:pPr>
        <w:pStyle w:val="TextBody"/>
        <w:spacing w:lineRule="auto" w:line="288" w:before="0" w:after="0"/>
        <w:jc w:val="center"/>
        <w:rPr/>
      </w:pPr>
      <w:r>
        <w:rPr/>
        <w:t> </w:t>
      </w:r>
      <w:r>
        <w:rPr>
          <w:rFonts w:ascii="Arial" w:hAnsi="Arial"/>
          <w:b/>
          <w:sz w:val="20"/>
        </w:rPr>
        <w:t>CURRENT REPORT</w:t>
      </w:r>
    </w:p>
    <w:p>
      <w:pPr>
        <w:pStyle w:val="TextBody"/>
        <w:spacing w:lineRule="auto" w:line="288" w:before="0" w:after="0"/>
        <w:jc w:val="center"/>
        <w:rPr>
          <w:rFonts w:ascii="Arial" w:hAnsi="Arial"/>
          <w:b/>
          <w:sz w:val="20"/>
        </w:rPr>
      </w:pPr>
      <w:r>
        <w:rPr>
          <w:rFonts w:ascii="Arial" w:hAnsi="Arial"/>
          <w:b/>
          <w:sz w:val="20"/>
        </w:rPr>
        <w:t>Pursuant to Section 13 or 15(d) of</w:t>
      </w:r>
    </w:p>
    <w:p>
      <w:pPr>
        <w:pStyle w:val="TextBody"/>
        <w:spacing w:lineRule="auto" w:line="288" w:before="0" w:after="0"/>
        <w:jc w:val="center"/>
        <w:rPr>
          <w:rFonts w:ascii="Arial" w:hAnsi="Arial"/>
          <w:b/>
          <w:sz w:val="20"/>
        </w:rPr>
      </w:pPr>
      <w:r>
        <w:rPr>
          <w:rFonts w:ascii="Arial" w:hAnsi="Arial"/>
          <w:b/>
          <w:sz w:val="20"/>
        </w:rPr>
        <w:t>The Securities Exchange Act of 1934</w:t>
      </w:r>
    </w:p>
    <w:p>
      <w:pPr>
        <w:pStyle w:val="TextBody"/>
        <w:spacing w:lineRule="auto" w:line="288" w:before="0" w:after="0"/>
        <w:jc w:val="center"/>
        <w:rPr>
          <w:rFonts w:ascii="Arial" w:hAnsi="Arial"/>
          <w:b/>
          <w:sz w:val="20"/>
        </w:rPr>
      </w:pPr>
      <w:r>
        <w:rPr>
          <w:rFonts w:ascii="Arial" w:hAnsi="Arial"/>
          <w:b/>
          <w:sz w:val="20"/>
        </w:rPr>
        <w:t>Date of Report (Date of Earliest Event Reported): December 10, 2013</w:t>
      </w:r>
    </w:p>
    <w:p>
      <w:pPr>
        <w:pStyle w:val="TextBody"/>
        <w:spacing w:lineRule="auto" w:line="288" w:before="0" w:after="0"/>
        <w:rPr/>
      </w:pPr>
      <w:r>
        <w:rPr/>
        <w:t> </w:t>
      </w:r>
    </w:p>
    <w:p>
      <w:pPr>
        <w:pStyle w:val="TextBody"/>
        <w:spacing w:lineRule="auto" w:line="288" w:before="0" w:after="0"/>
        <w:jc w:val="center"/>
        <w:rPr/>
      </w:pPr>
      <w:r>
        <w:rPr/>
        <w:t> </w:t>
      </w:r>
    </w:p>
    <w:tbl>
      <w:tblPr>
        <w:tblW w:w="8469" w:type="dxa"/>
        <w:jc w:val="center"/>
        <w:tblInd w:w="0" w:type="dxa"/>
        <w:tblCellMar>
          <w:top w:w="0" w:type="dxa"/>
          <w:left w:w="0" w:type="dxa"/>
          <w:bottom w:w="0" w:type="dxa"/>
          <w:right w:w="0" w:type="dxa"/>
        </w:tblCellMar>
      </w:tblPr>
      <w:tblGrid>
        <w:gridCol w:w="1101"/>
        <w:gridCol w:w="254"/>
        <w:gridCol w:w="4066"/>
        <w:gridCol w:w="254"/>
        <w:gridCol w:w="1270"/>
        <w:gridCol w:w="254"/>
        <w:gridCol w:w="1270"/>
      </w:tblGrid>
      <w:tr>
        <w:trPr/>
        <w:tc>
          <w:tcPr>
            <w:tcW w:w="8469" w:type="dxa"/>
            <w:gridSpan w:val="7"/>
            <w:tcBorders/>
            <w:shd w:fill="auto" w:val="clear"/>
            <w:vAlign w:val="center"/>
          </w:tcPr>
          <w:p>
            <w:pPr>
              <w:pStyle w:val="TableContents"/>
              <w:spacing w:before="0" w:after="283"/>
              <w:rPr>
                <w:sz w:val="4"/>
                <w:szCs w:val="4"/>
              </w:rPr>
            </w:pPr>
            <w:r>
              <w:rPr>
                <w:sz w:val="4"/>
                <w:szCs w:val="4"/>
              </w:rPr>
            </w:r>
          </w:p>
        </w:tc>
      </w:tr>
      <w:tr>
        <w:trPr/>
        <w:tc>
          <w:tcPr>
            <w:tcW w:w="110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01"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rPr/>
            </w:pPr>
            <w:r>
              <w:rPr/>
              <w:t> </w:t>
            </w:r>
          </w:p>
        </w:tc>
        <w:tc>
          <w:tcPr>
            <w:tcW w:w="4066"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rPr/>
            </w:pPr>
            <w:r>
              <w:rPr/>
              <w:t> </w:t>
            </w:r>
          </w:p>
        </w:tc>
        <w:tc>
          <w:tcPr>
            <w:tcW w:w="1270"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rPr/>
            </w:pPr>
            <w:r>
              <w:rPr/>
              <w:t> </w:t>
            </w:r>
          </w:p>
        </w:tc>
        <w:tc>
          <w:tcPr>
            <w:tcW w:w="1270" w:type="dxa"/>
            <w:tcBorders/>
            <w:shd w:fill="auto" w:val="clear"/>
            <w:vAlign w:val="center"/>
          </w:tcPr>
          <w:p>
            <w:pPr>
              <w:pStyle w:val="TableContents"/>
              <w:spacing w:before="0" w:after="0"/>
              <w:ind w:left="0" w:right="0" w:firstLine="30"/>
              <w:rPr/>
            </w:pPr>
            <w:r>
              <w:rPr/>
              <w:t> </w:t>
            </w:r>
          </w:p>
        </w:tc>
      </w:tr>
      <w:tr>
        <w:trPr/>
        <w:tc>
          <w:tcPr>
            <w:tcW w:w="1101" w:type="dxa"/>
            <w:tcBorders/>
            <w:shd w:fill="auto" w:val="clear"/>
            <w:vAlign w:val="center"/>
          </w:tcPr>
          <w:p>
            <w:pPr>
              <w:pStyle w:val="TableContents"/>
              <w:spacing w:before="0" w:after="0"/>
              <w:jc w:val="center"/>
              <w:rPr>
                <w:rFonts w:ascii="Arial" w:hAnsi="Arial"/>
                <w:b/>
                <w:sz w:val="13"/>
              </w:rPr>
            </w:pPr>
            <w:r>
              <w:rPr>
                <w:rFonts w:ascii="Arial" w:hAnsi="Arial"/>
                <w:b/>
                <w:sz w:val="13"/>
              </w:rPr>
              <w:t>Commission</w:t>
            </w:r>
          </w:p>
          <w:p>
            <w:pPr>
              <w:pStyle w:val="TableContents"/>
              <w:spacing w:before="0" w:after="0"/>
              <w:ind w:left="0" w:right="0" w:firstLine="30"/>
              <w:jc w:val="center"/>
              <w:rPr>
                <w:rFonts w:ascii="Arial" w:hAnsi="Arial"/>
                <w:b/>
                <w:sz w:val="13"/>
              </w:rPr>
            </w:pPr>
            <w:r>
              <w:rPr>
                <w:rFonts w:ascii="Arial" w:hAnsi="Arial"/>
                <w:b/>
                <w:sz w:val="13"/>
              </w:rPr>
              <w:t>File Number</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jc w:val="center"/>
              <w:rPr>
                <w:rFonts w:ascii="Arial" w:hAnsi="Arial"/>
                <w:b/>
                <w:sz w:val="13"/>
              </w:rPr>
            </w:pPr>
            <w:r>
              <w:rPr>
                <w:rFonts w:ascii="Arial" w:hAnsi="Arial"/>
                <w:b/>
                <w:sz w:val="13"/>
              </w:rPr>
              <w:t>Exact Name of Registrant as Specified in its Charter,</w:t>
            </w:r>
          </w:p>
          <w:p>
            <w:pPr>
              <w:pStyle w:val="TableContents"/>
              <w:spacing w:before="0" w:after="0"/>
              <w:ind w:left="0" w:right="0" w:firstLine="30"/>
              <w:jc w:val="center"/>
              <w:rPr>
                <w:rFonts w:ascii="Arial" w:hAnsi="Arial"/>
                <w:b/>
                <w:sz w:val="13"/>
              </w:rPr>
            </w:pPr>
            <w:r>
              <w:rPr>
                <w:rFonts w:ascii="Arial" w:hAnsi="Arial"/>
                <w:b/>
                <w:sz w:val="13"/>
              </w:rPr>
              <w:t>Address of Principal Executive Offices and Telephone Number</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jc w:val="center"/>
              <w:rPr>
                <w:rFonts w:ascii="Arial" w:hAnsi="Arial"/>
                <w:b/>
                <w:sz w:val="13"/>
              </w:rPr>
            </w:pPr>
            <w:r>
              <w:rPr>
                <w:rFonts w:ascii="Arial" w:hAnsi="Arial"/>
                <w:b/>
                <w:sz w:val="13"/>
              </w:rPr>
              <w:t>State of</w:t>
            </w:r>
          </w:p>
          <w:p>
            <w:pPr>
              <w:pStyle w:val="TableContents"/>
              <w:spacing w:before="0" w:after="0"/>
              <w:ind w:left="0" w:right="0" w:firstLine="30"/>
              <w:jc w:val="center"/>
              <w:rPr>
                <w:rFonts w:ascii="Arial" w:hAnsi="Arial"/>
                <w:b/>
                <w:sz w:val="13"/>
              </w:rPr>
            </w:pPr>
            <w:r>
              <w:rPr>
                <w:rFonts w:ascii="Arial" w:hAnsi="Arial"/>
                <w:b/>
                <w:sz w:val="13"/>
              </w:rPr>
              <w:t>Incorporation</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jc w:val="center"/>
              <w:rPr>
                <w:rFonts w:ascii="Arial" w:hAnsi="Arial"/>
                <w:b/>
                <w:sz w:val="13"/>
              </w:rPr>
            </w:pPr>
            <w:r>
              <w:rPr>
                <w:rFonts w:ascii="Arial" w:hAnsi="Arial"/>
                <w:b/>
                <w:sz w:val="13"/>
              </w:rPr>
              <w:t>I.R.S. Employer</w:t>
            </w:r>
          </w:p>
          <w:p>
            <w:pPr>
              <w:pStyle w:val="TableContents"/>
              <w:spacing w:before="0" w:after="0"/>
              <w:ind w:left="0" w:right="0" w:firstLine="30"/>
              <w:jc w:val="center"/>
              <w:rPr>
                <w:rFonts w:ascii="Arial" w:hAnsi="Arial"/>
                <w:b/>
                <w:sz w:val="13"/>
              </w:rPr>
            </w:pPr>
            <w:r>
              <w:rPr>
                <w:rFonts w:ascii="Arial" w:hAnsi="Arial"/>
                <w:b/>
                <w:sz w:val="13"/>
              </w:rPr>
              <w:t>Identification No</w:t>
            </w:r>
          </w:p>
        </w:tc>
      </w:tr>
      <w:tr>
        <w:trPr/>
        <w:tc>
          <w:tcPr>
            <w:tcW w:w="1101" w:type="dxa"/>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001-33072</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ind w:left="0" w:right="0" w:firstLine="30"/>
              <w:jc w:val="center"/>
              <w:rPr>
                <w:rFonts w:ascii="Arial" w:hAnsi="Arial"/>
                <w:b/>
                <w:sz w:val="23"/>
              </w:rPr>
            </w:pPr>
            <w:r>
              <w:rPr>
                <w:rFonts w:ascii="Arial" w:hAnsi="Arial"/>
                <w:b/>
                <w:sz w:val="23"/>
              </w:rPr>
              <w:t>LEIDOS HOLDINGS, Inc.</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Delaware</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20-3562868</w:t>
            </w:r>
          </w:p>
        </w:tc>
      </w:tr>
      <w:tr>
        <w:trPr/>
        <w:tc>
          <w:tcPr>
            <w:tcW w:w="1101"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ind w:left="0" w:right="0" w:firstLine="30"/>
              <w:jc w:val="center"/>
              <w:rPr>
                <w:rFonts w:ascii="Arial" w:hAnsi="Arial"/>
                <w:b/>
                <w:sz w:val="17"/>
              </w:rPr>
            </w:pPr>
            <w:r>
              <w:rPr>
                <w:rFonts w:ascii="Arial" w:hAnsi="Arial"/>
                <w:b/>
                <w:sz w:val="17"/>
              </w:rPr>
              <w:t>11951 Freedom Drive, Reston, Virginia 20190</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r>
      <w:tr>
        <w:trPr/>
        <w:tc>
          <w:tcPr>
            <w:tcW w:w="1101"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ind w:left="0" w:right="0" w:firstLine="30"/>
              <w:jc w:val="center"/>
              <w:rPr>
                <w:rFonts w:ascii="Arial" w:hAnsi="Arial"/>
                <w:b/>
                <w:sz w:val="17"/>
              </w:rPr>
            </w:pPr>
            <w:r>
              <w:rPr>
                <w:rFonts w:ascii="Arial" w:hAnsi="Arial"/>
                <w:b/>
                <w:sz w:val="17"/>
              </w:rPr>
              <w:t>(571) 526-6000</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r>
      <w:tr>
        <w:trPr/>
        <w:tc>
          <w:tcPr>
            <w:tcW w:w="1101" w:type="dxa"/>
            <w:tcBorders/>
            <w:shd w:fill="auto" w:val="clear"/>
            <w:vAlign w:val="center"/>
          </w:tcPr>
          <w:p>
            <w:pPr>
              <w:pStyle w:val="TableContents"/>
              <w:spacing w:before="0" w:after="0"/>
              <w:ind w:left="0" w:right="0" w:firstLine="30"/>
              <w:rPr/>
            </w:pPr>
            <w:r>
              <w:rPr/>
              <w:t> </w:t>
            </w:r>
          </w:p>
        </w:tc>
        <w:tc>
          <w:tcPr>
            <w:tcW w:w="4320" w:type="dxa"/>
            <w:gridSpan w:val="2"/>
            <w:tcBorders/>
            <w:shd w:fill="auto" w:val="clear"/>
            <w:vAlign w:val="center"/>
          </w:tcPr>
          <w:p>
            <w:pPr>
              <w:pStyle w:val="TableContents"/>
              <w:spacing w:before="0" w:after="0"/>
              <w:ind w:left="0" w:right="0" w:firstLine="30"/>
              <w:rPr/>
            </w:pPr>
            <w:r>
              <w:rPr/>
              <w:t> </w:t>
            </w:r>
          </w:p>
        </w:tc>
        <w:tc>
          <w:tcPr>
            <w:tcW w:w="1524" w:type="dxa"/>
            <w:gridSpan w:val="2"/>
            <w:tcBorders/>
            <w:shd w:fill="auto" w:val="clear"/>
            <w:vAlign w:val="center"/>
          </w:tcPr>
          <w:p>
            <w:pPr>
              <w:pStyle w:val="TableContents"/>
              <w:spacing w:before="0" w:after="0"/>
              <w:ind w:left="0" w:right="0" w:firstLine="30"/>
              <w:rPr/>
            </w:pPr>
            <w:r>
              <w:rPr/>
              <w:t> </w:t>
            </w:r>
          </w:p>
        </w:tc>
        <w:tc>
          <w:tcPr>
            <w:tcW w:w="1524" w:type="dxa"/>
            <w:gridSpan w:val="2"/>
            <w:tcBorders/>
            <w:shd w:fill="auto" w:val="clear"/>
            <w:vAlign w:val="center"/>
          </w:tcPr>
          <w:p>
            <w:pPr>
              <w:pStyle w:val="TableContents"/>
              <w:spacing w:before="0" w:after="0"/>
              <w:ind w:left="0" w:right="0" w:firstLine="30"/>
              <w:rPr/>
            </w:pPr>
            <w:r>
              <w:rPr/>
              <w:t> </w:t>
            </w:r>
          </w:p>
        </w:tc>
      </w:tr>
      <w:tr>
        <w:trPr/>
        <w:tc>
          <w:tcPr>
            <w:tcW w:w="1101" w:type="dxa"/>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000-12771</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ind w:left="0" w:right="0" w:firstLine="30"/>
              <w:jc w:val="center"/>
              <w:rPr>
                <w:rFonts w:ascii="Arial" w:hAnsi="Arial"/>
                <w:b/>
                <w:sz w:val="23"/>
              </w:rPr>
            </w:pPr>
            <w:r>
              <w:rPr>
                <w:rFonts w:ascii="Arial" w:hAnsi="Arial"/>
                <w:b/>
                <w:sz w:val="23"/>
              </w:rPr>
              <w:t>LEIDOS, INC.</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Delaware</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95-3630868</w:t>
            </w:r>
          </w:p>
        </w:tc>
      </w:tr>
      <w:tr>
        <w:trPr/>
        <w:tc>
          <w:tcPr>
            <w:tcW w:w="1101"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ind w:left="0" w:right="0" w:firstLine="30"/>
              <w:jc w:val="center"/>
              <w:rPr>
                <w:rFonts w:ascii="Arial" w:hAnsi="Arial"/>
                <w:b/>
                <w:sz w:val="17"/>
              </w:rPr>
            </w:pPr>
            <w:r>
              <w:rPr>
                <w:rFonts w:ascii="Arial" w:hAnsi="Arial"/>
                <w:b/>
                <w:sz w:val="17"/>
              </w:rPr>
              <w:t>11951 Freedom Drive, Reston, Virginia 20190</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r>
      <w:tr>
        <w:trPr/>
        <w:tc>
          <w:tcPr>
            <w:tcW w:w="1101"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4066" w:type="dxa"/>
            <w:tcBorders/>
            <w:shd w:fill="auto" w:val="clear"/>
            <w:vAlign w:val="center"/>
          </w:tcPr>
          <w:p>
            <w:pPr>
              <w:pStyle w:val="TableContents"/>
              <w:spacing w:before="0" w:after="0"/>
              <w:ind w:left="0" w:right="0" w:firstLine="30"/>
              <w:jc w:val="center"/>
              <w:rPr>
                <w:rFonts w:ascii="Arial" w:hAnsi="Arial"/>
                <w:b/>
                <w:sz w:val="17"/>
              </w:rPr>
            </w:pPr>
            <w:r>
              <w:rPr>
                <w:rFonts w:ascii="Arial" w:hAnsi="Arial"/>
                <w:b/>
                <w:sz w:val="17"/>
              </w:rPr>
              <w:t>(571) 526-6000</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jc w:val="left"/>
              <w:rPr/>
            </w:pPr>
            <w:r>
              <w:rPr/>
              <w:t>  </w:t>
            </w:r>
          </w:p>
        </w:tc>
        <w:tc>
          <w:tcPr>
            <w:tcW w:w="1270"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pPr>
      <w:r>
        <w:rPr/>
        <w:t> </w:t>
      </w:r>
      <w:r>
        <w:rPr>
          <w:rFonts w:ascii="Arial" w:hAnsi="Arial"/>
          <w:b/>
          <w:sz w:val="17"/>
        </w:rPr>
        <w:t>N/A</w:t>
      </w:r>
    </w:p>
    <w:p>
      <w:pPr>
        <w:pStyle w:val="TextBody"/>
        <w:spacing w:lineRule="auto" w:line="288" w:before="0" w:after="0"/>
        <w:jc w:val="center"/>
        <w:rPr>
          <w:rFonts w:ascii="Arial" w:hAnsi="Arial"/>
          <w:b/>
          <w:sz w:val="13"/>
        </w:rPr>
      </w:pPr>
      <w:r>
        <w:rPr>
          <w:rFonts w:ascii="Arial" w:hAnsi="Arial"/>
          <w:b/>
          <w:sz w:val="13"/>
        </w:rPr>
        <w:t>(Former Name or Former Address, If Changed Since Last Report)</w:t>
      </w:r>
    </w:p>
    <w:p>
      <w:pPr>
        <w:pStyle w:val="TextBody"/>
        <w:spacing w:lineRule="auto" w:line="288" w:before="0" w:after="0"/>
        <w:jc w:val="center"/>
        <w:rPr>
          <w:rFonts w:ascii="Arial" w:hAnsi="Arial"/>
          <w:sz w:val="13"/>
        </w:rPr>
      </w:pPr>
      <w:r>
        <w:rPr>
          <w:rFonts w:ascii="Arial" w:hAnsi="Arial"/>
          <w:sz w:val="13"/>
        </w:rPr>
      </w:r>
    </w:p>
    <w:p>
      <w:pPr>
        <w:pStyle w:val="TextBody"/>
        <w:spacing w:lineRule="auto" w:line="288" w:before="0" w:after="0"/>
        <w:rPr>
          <w:sz w:val="17"/>
        </w:rPr>
      </w:pPr>
      <w:r>
        <w:rPr>
          <w:rFonts w:ascii="Arial" w:hAnsi="Arial"/>
          <w:sz w:val="17"/>
        </w:rPr>
        <w:t>Check the appropriate box below if the Form 8-K filing is intended to simultaneously satisfy the filing obligation of the registrant under any of the following provisions:</w:t>
      </w:r>
      <w:r>
        <w:rPr>
          <w:sz w:val="17"/>
        </w:rPr>
        <w:t> </w:t>
      </w:r>
    </w:p>
    <w:tbl>
      <w:tblPr>
        <w:tblW w:w="6968" w:type="dxa"/>
        <w:jc w:val="left"/>
        <w:tblInd w:w="0" w:type="dxa"/>
        <w:tblCellMar>
          <w:top w:w="0" w:type="dxa"/>
          <w:left w:w="0" w:type="dxa"/>
          <w:bottom w:w="0" w:type="dxa"/>
          <w:right w:w="0" w:type="dxa"/>
        </w:tblCellMar>
      </w:tblPr>
      <w:tblGrid>
        <w:gridCol w:w="418"/>
        <w:gridCol w:w="6550"/>
      </w:tblGrid>
      <w:tr>
        <w:trPr/>
        <w:tc>
          <w:tcPr>
            <w:tcW w:w="6968" w:type="dxa"/>
            <w:gridSpan w:val="2"/>
            <w:tcBorders/>
            <w:shd w:fill="auto" w:val="clear"/>
            <w:vAlign w:val="center"/>
          </w:tcPr>
          <w:p>
            <w:pPr>
              <w:pStyle w:val="TableContents"/>
              <w:spacing w:before="0" w:after="283"/>
              <w:rPr>
                <w:sz w:val="4"/>
                <w:szCs w:val="4"/>
              </w:rPr>
            </w:pPr>
            <w:r>
              <w:rPr>
                <w:sz w:val="4"/>
                <w:szCs w:val="4"/>
              </w:rPr>
            </w:r>
          </w:p>
        </w:tc>
      </w:tr>
      <w:tr>
        <w:trPr/>
        <w:tc>
          <w:tcPr>
            <w:tcW w:w="418" w:type="dxa"/>
            <w:tcBorders/>
            <w:shd w:fill="auto" w:val="clear"/>
            <w:vAlign w:val="center"/>
          </w:tcPr>
          <w:p>
            <w:pPr>
              <w:pStyle w:val="TableContents"/>
              <w:spacing w:before="0" w:after="283"/>
              <w:rPr>
                <w:sz w:val="4"/>
                <w:szCs w:val="4"/>
              </w:rPr>
            </w:pPr>
            <w:r>
              <w:rPr>
                <w:sz w:val="4"/>
                <w:szCs w:val="4"/>
              </w:rPr>
            </w:r>
          </w:p>
        </w:tc>
        <w:tc>
          <w:tcPr>
            <w:tcW w:w="65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8" w:type="dxa"/>
            <w:tcBorders/>
            <w:shd w:fill="auto" w:val="clear"/>
            <w:vAlign w:val="center"/>
          </w:tcPr>
          <w:p>
            <w:pPr>
              <w:pStyle w:val="TableContents"/>
              <w:spacing w:before="0" w:after="0"/>
              <w:ind w:left="0" w:right="0" w:firstLine="30"/>
              <w:jc w:val="left"/>
              <w:rPr/>
            </w:pPr>
            <w:r>
              <w:rPr/>
              <w:t>☐</w:t>
            </w:r>
          </w:p>
        </w:tc>
        <w:tc>
          <w:tcPr>
            <w:tcW w:w="6550" w:type="dxa"/>
            <w:tcBorders/>
            <w:shd w:fill="auto" w:val="clear"/>
            <w:vAlign w:val="center"/>
          </w:tcPr>
          <w:p>
            <w:pPr>
              <w:pStyle w:val="TableContents"/>
              <w:spacing w:before="0" w:after="0"/>
              <w:jc w:val="left"/>
              <w:rPr>
                <w:rFonts w:ascii="Arial" w:hAnsi="Arial"/>
                <w:sz w:val="17"/>
              </w:rPr>
            </w:pPr>
            <w:r>
              <w:rPr>
                <w:rFonts w:ascii="Arial" w:hAnsi="Arial"/>
                <w:sz w:val="17"/>
              </w:rPr>
              <w:t>Written communications pursuant to Rule 425 under the Securities Act (17 CFR 230.425)</w:t>
            </w:r>
          </w:p>
        </w:tc>
      </w:tr>
    </w:tbl>
    <w:p>
      <w:pPr>
        <w:pStyle w:val="TextBody"/>
        <w:spacing w:lineRule="auto" w:line="288" w:before="0" w:after="0"/>
        <w:rPr/>
      </w:pPr>
      <w:r>
        <w:rPr/>
        <w:t> </w:t>
      </w:r>
    </w:p>
    <w:tbl>
      <w:tblPr>
        <w:tblW w:w="6968" w:type="dxa"/>
        <w:jc w:val="left"/>
        <w:tblInd w:w="0" w:type="dxa"/>
        <w:tblCellMar>
          <w:top w:w="0" w:type="dxa"/>
          <w:left w:w="0" w:type="dxa"/>
          <w:bottom w:w="0" w:type="dxa"/>
          <w:right w:w="0" w:type="dxa"/>
        </w:tblCellMar>
      </w:tblPr>
      <w:tblGrid>
        <w:gridCol w:w="418"/>
        <w:gridCol w:w="6550"/>
      </w:tblGrid>
      <w:tr>
        <w:trPr/>
        <w:tc>
          <w:tcPr>
            <w:tcW w:w="6968" w:type="dxa"/>
            <w:gridSpan w:val="2"/>
            <w:tcBorders/>
            <w:shd w:fill="auto" w:val="clear"/>
            <w:vAlign w:val="center"/>
          </w:tcPr>
          <w:p>
            <w:pPr>
              <w:pStyle w:val="TableContents"/>
              <w:spacing w:before="0" w:after="283"/>
              <w:rPr>
                <w:sz w:val="4"/>
                <w:szCs w:val="4"/>
              </w:rPr>
            </w:pPr>
            <w:r>
              <w:rPr>
                <w:sz w:val="4"/>
                <w:szCs w:val="4"/>
              </w:rPr>
            </w:r>
          </w:p>
        </w:tc>
      </w:tr>
      <w:tr>
        <w:trPr/>
        <w:tc>
          <w:tcPr>
            <w:tcW w:w="418" w:type="dxa"/>
            <w:tcBorders/>
            <w:shd w:fill="auto" w:val="clear"/>
            <w:vAlign w:val="center"/>
          </w:tcPr>
          <w:p>
            <w:pPr>
              <w:pStyle w:val="TableContents"/>
              <w:spacing w:before="0" w:after="283"/>
              <w:rPr>
                <w:sz w:val="4"/>
                <w:szCs w:val="4"/>
              </w:rPr>
            </w:pPr>
            <w:r>
              <w:rPr>
                <w:sz w:val="4"/>
                <w:szCs w:val="4"/>
              </w:rPr>
            </w:r>
          </w:p>
        </w:tc>
        <w:tc>
          <w:tcPr>
            <w:tcW w:w="65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8" w:type="dxa"/>
            <w:tcBorders/>
            <w:shd w:fill="auto" w:val="clear"/>
            <w:vAlign w:val="center"/>
          </w:tcPr>
          <w:p>
            <w:pPr>
              <w:pStyle w:val="TableContents"/>
              <w:spacing w:before="0" w:after="0"/>
              <w:ind w:left="0" w:right="0" w:firstLine="30"/>
              <w:jc w:val="left"/>
              <w:rPr/>
            </w:pPr>
            <w:r>
              <w:rPr/>
              <w:t>☐</w:t>
            </w:r>
          </w:p>
        </w:tc>
        <w:tc>
          <w:tcPr>
            <w:tcW w:w="6550" w:type="dxa"/>
            <w:tcBorders/>
            <w:shd w:fill="auto" w:val="clear"/>
            <w:vAlign w:val="center"/>
          </w:tcPr>
          <w:p>
            <w:pPr>
              <w:pStyle w:val="TableContents"/>
              <w:spacing w:before="0" w:after="0"/>
              <w:jc w:val="left"/>
              <w:rPr>
                <w:rFonts w:ascii="Arial" w:hAnsi="Arial"/>
                <w:sz w:val="17"/>
              </w:rPr>
            </w:pPr>
            <w:r>
              <w:rPr>
                <w:rFonts w:ascii="Arial" w:hAnsi="Arial"/>
                <w:sz w:val="17"/>
              </w:rPr>
              <w:t>Soliciting material pursuant to Rule 14a-12 under the Exchange Act (17 CFR 240.14a-12)</w:t>
            </w:r>
          </w:p>
        </w:tc>
      </w:tr>
    </w:tbl>
    <w:p>
      <w:pPr>
        <w:pStyle w:val="TextBody"/>
        <w:spacing w:lineRule="auto" w:line="288" w:before="0" w:after="0"/>
        <w:rPr/>
      </w:pPr>
      <w:r>
        <w:rPr/>
        <w:t> </w:t>
      </w:r>
    </w:p>
    <w:tbl>
      <w:tblPr>
        <w:tblW w:w="8731" w:type="dxa"/>
        <w:jc w:val="left"/>
        <w:tblInd w:w="0" w:type="dxa"/>
        <w:tblCellMar>
          <w:top w:w="0" w:type="dxa"/>
          <w:left w:w="0" w:type="dxa"/>
          <w:bottom w:w="0" w:type="dxa"/>
          <w:right w:w="0" w:type="dxa"/>
        </w:tblCellMar>
      </w:tblPr>
      <w:tblGrid>
        <w:gridCol w:w="523"/>
        <w:gridCol w:w="8208"/>
      </w:tblGrid>
      <w:tr>
        <w:trPr/>
        <w:tc>
          <w:tcPr>
            <w:tcW w:w="8731" w:type="dxa"/>
            <w:gridSpan w:val="2"/>
            <w:tcBorders/>
            <w:shd w:fill="auto" w:val="clear"/>
            <w:vAlign w:val="center"/>
          </w:tcPr>
          <w:p>
            <w:pPr>
              <w:pStyle w:val="TableContents"/>
              <w:spacing w:before="0" w:after="283"/>
              <w:rPr>
                <w:sz w:val="4"/>
                <w:szCs w:val="4"/>
              </w:rPr>
            </w:pPr>
            <w:r>
              <w:rPr>
                <w:sz w:val="4"/>
                <w:szCs w:val="4"/>
              </w:rPr>
            </w:r>
          </w:p>
        </w:tc>
      </w:tr>
      <w:tr>
        <w:trPr/>
        <w:tc>
          <w:tcPr>
            <w:tcW w:w="523" w:type="dxa"/>
            <w:tcBorders/>
            <w:shd w:fill="auto" w:val="clear"/>
            <w:vAlign w:val="center"/>
          </w:tcPr>
          <w:p>
            <w:pPr>
              <w:pStyle w:val="TableContents"/>
              <w:spacing w:before="0" w:after="283"/>
              <w:rPr>
                <w:sz w:val="4"/>
                <w:szCs w:val="4"/>
              </w:rPr>
            </w:pPr>
            <w:r>
              <w:rPr>
                <w:sz w:val="4"/>
                <w:szCs w:val="4"/>
              </w:rPr>
            </w:r>
          </w:p>
        </w:tc>
        <w:tc>
          <w:tcPr>
            <w:tcW w:w="82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3" w:type="dxa"/>
            <w:tcBorders/>
            <w:shd w:fill="auto" w:val="clear"/>
            <w:vAlign w:val="center"/>
          </w:tcPr>
          <w:p>
            <w:pPr>
              <w:pStyle w:val="TableContents"/>
              <w:spacing w:before="0" w:after="0"/>
              <w:ind w:left="0" w:right="0" w:firstLine="30"/>
              <w:jc w:val="left"/>
              <w:rPr/>
            </w:pPr>
            <w:r>
              <w:rPr/>
              <w:t>☐</w:t>
            </w:r>
          </w:p>
        </w:tc>
        <w:tc>
          <w:tcPr>
            <w:tcW w:w="8208" w:type="dxa"/>
            <w:tcBorders/>
            <w:shd w:fill="auto" w:val="clear"/>
            <w:vAlign w:val="center"/>
          </w:tcPr>
          <w:p>
            <w:pPr>
              <w:pStyle w:val="TableContents"/>
              <w:spacing w:before="0" w:after="0"/>
              <w:jc w:val="left"/>
              <w:rPr>
                <w:rFonts w:ascii="Arial" w:hAnsi="Arial"/>
                <w:sz w:val="17"/>
              </w:rPr>
            </w:pPr>
            <w:r>
              <w:rPr>
                <w:rFonts w:ascii="Arial" w:hAnsi="Arial"/>
                <w:sz w:val="17"/>
              </w:rPr>
              <w:t>Pre-commencement communications pursuant to Rule 14d-2(b) under the Exchange Act (17 CFR 240.14d-2(b))</w:t>
            </w:r>
          </w:p>
        </w:tc>
      </w:tr>
    </w:tbl>
    <w:p>
      <w:pPr>
        <w:pStyle w:val="TextBody"/>
        <w:spacing w:lineRule="auto" w:line="288" w:before="0" w:after="0"/>
        <w:rPr/>
      </w:pPr>
      <w:r>
        <w:rPr/>
        <w:t> </w:t>
      </w:r>
    </w:p>
    <w:tbl>
      <w:tblPr>
        <w:tblW w:w="8731" w:type="dxa"/>
        <w:jc w:val="left"/>
        <w:tblInd w:w="0" w:type="dxa"/>
        <w:tblCellMar>
          <w:top w:w="0" w:type="dxa"/>
          <w:left w:w="0" w:type="dxa"/>
          <w:bottom w:w="0" w:type="dxa"/>
          <w:right w:w="0" w:type="dxa"/>
        </w:tblCellMar>
      </w:tblPr>
      <w:tblGrid>
        <w:gridCol w:w="523"/>
        <w:gridCol w:w="8208"/>
      </w:tblGrid>
      <w:tr>
        <w:trPr/>
        <w:tc>
          <w:tcPr>
            <w:tcW w:w="8731" w:type="dxa"/>
            <w:gridSpan w:val="2"/>
            <w:tcBorders/>
            <w:shd w:fill="auto" w:val="clear"/>
            <w:vAlign w:val="center"/>
          </w:tcPr>
          <w:p>
            <w:pPr>
              <w:pStyle w:val="TableContents"/>
              <w:spacing w:before="0" w:after="283"/>
              <w:rPr>
                <w:sz w:val="4"/>
                <w:szCs w:val="4"/>
              </w:rPr>
            </w:pPr>
            <w:r>
              <w:rPr>
                <w:sz w:val="4"/>
                <w:szCs w:val="4"/>
              </w:rPr>
            </w:r>
          </w:p>
        </w:tc>
      </w:tr>
      <w:tr>
        <w:trPr/>
        <w:tc>
          <w:tcPr>
            <w:tcW w:w="523" w:type="dxa"/>
            <w:tcBorders/>
            <w:shd w:fill="auto" w:val="clear"/>
            <w:vAlign w:val="center"/>
          </w:tcPr>
          <w:p>
            <w:pPr>
              <w:pStyle w:val="TableContents"/>
              <w:spacing w:before="0" w:after="283"/>
              <w:rPr>
                <w:sz w:val="4"/>
                <w:szCs w:val="4"/>
              </w:rPr>
            </w:pPr>
            <w:r>
              <w:rPr>
                <w:sz w:val="4"/>
                <w:szCs w:val="4"/>
              </w:rPr>
            </w:r>
          </w:p>
        </w:tc>
        <w:tc>
          <w:tcPr>
            <w:tcW w:w="82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3" w:type="dxa"/>
            <w:tcBorders/>
            <w:shd w:fill="auto" w:val="clear"/>
            <w:vAlign w:val="center"/>
          </w:tcPr>
          <w:p>
            <w:pPr>
              <w:pStyle w:val="TableContents"/>
              <w:spacing w:before="0" w:after="0"/>
              <w:ind w:left="0" w:right="0" w:firstLine="30"/>
              <w:jc w:val="left"/>
              <w:rPr/>
            </w:pPr>
            <w:r>
              <w:rPr/>
              <w:t>☐</w:t>
            </w:r>
          </w:p>
        </w:tc>
        <w:tc>
          <w:tcPr>
            <w:tcW w:w="8208" w:type="dxa"/>
            <w:tcBorders/>
            <w:shd w:fill="auto" w:val="clear"/>
            <w:vAlign w:val="center"/>
          </w:tcPr>
          <w:p>
            <w:pPr>
              <w:pStyle w:val="TableContents"/>
              <w:spacing w:before="0" w:after="0"/>
              <w:jc w:val="left"/>
              <w:rPr>
                <w:rFonts w:ascii="Arial" w:hAnsi="Arial"/>
                <w:sz w:val="17"/>
              </w:rPr>
            </w:pPr>
            <w:r>
              <w:rPr>
                <w:rFonts w:ascii="Arial" w:hAnsi="Arial"/>
                <w:sz w:val="17"/>
              </w:rPr>
              <w:t>Pre-commencement communications pursuant to Rule 13e-4(c) under the Exchange Act (17 CFR 240.13e-4(c))</w:t>
            </w:r>
          </w:p>
        </w:tc>
      </w:tr>
    </w:tbl>
    <w:p>
      <w:pPr>
        <w:pStyle w:val="TextBody"/>
        <w:spacing w:lineRule="auto" w:line="288" w:before="0" w:after="0"/>
        <w:rPr>
          <w:rFonts w:ascii="inherit" w:hAnsi="inherit"/>
          <w:sz w:val="13"/>
        </w:rPr>
      </w:pPr>
      <w:r>
        <w:rPr>
          <w:rFonts w:ascii="inherit" w:hAnsi="inherit"/>
          <w:sz w:val="13"/>
        </w:rPr>
      </w:r>
    </w:p>
    <w:p>
      <w:pPr>
        <w:pStyle w:val="TextBody"/>
        <w:spacing w:lineRule="auto" w:line="288" w:before="0" w:after="0"/>
        <w:rPr>
          <w:rFonts w:ascii="inherit" w:hAnsi="inherit"/>
          <w:sz w:val="13"/>
        </w:rPr>
      </w:pPr>
      <w:r>
        <w:rPr>
          <w:rFonts w:ascii="inherit" w:hAnsi="inherit"/>
          <w:sz w:val="13"/>
        </w:rPr>
      </w:r>
    </w:p>
    <w:p>
      <w:pPr>
        <w:pStyle w:val="TextBody"/>
        <w:spacing w:lineRule="auto" w:line="288" w:before="0" w:after="0"/>
        <w:rPr>
          <w:rFonts w:ascii="inherit" w:hAnsi="inherit"/>
          <w:sz w:val="13"/>
        </w:rPr>
      </w:pPr>
      <w:r>
        <w:rPr>
          <w:rFonts w:ascii="inherit" w:hAnsi="inherit"/>
          <w:sz w:val="13"/>
        </w:rPr>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3"/>
        </w:rPr>
      </w:pPr>
      <w:r>
        <w:rPr>
          <w:rFonts w:ascii="inherit" w:hAnsi="inherit"/>
          <w:sz w:val="13"/>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e81db064267e416bb660e6805a28e5d9"/>
      <w:bookmarkStart w:id="7" w:name="se81db064267e416bb660e6805a28e5d9"/>
      <w:bookmarkEnd w:id="7"/>
    </w:p>
    <w:p>
      <w:pPr>
        <w:pStyle w:val="TextBody"/>
        <w:spacing w:before="0" w:after="0"/>
        <w:rPr/>
      </w:pPr>
      <w:r>
        <w:rPr/>
      </w:r>
    </w:p>
    <w:p>
      <w:pPr>
        <w:pStyle w:val="TextBody"/>
        <w:spacing w:lineRule="auto" w:line="288" w:before="0" w:after="0"/>
        <w:jc w:val="center"/>
        <w:rPr>
          <w:rFonts w:ascii="Arial" w:hAnsi="Arial"/>
          <w:b/>
          <w:sz w:val="17"/>
        </w:rPr>
      </w:pPr>
      <w:r>
        <w:rPr>
          <w:rFonts w:ascii="Arial" w:hAnsi="Arial"/>
          <w:b/>
          <w:sz w:val="17"/>
        </w:rPr>
        <w:t>FORM 8-K</w:t>
      </w:r>
    </w:p>
    <w:p>
      <w:pPr>
        <w:pStyle w:val="TextBody"/>
        <w:spacing w:lineRule="auto" w:line="288" w:before="0" w:after="0"/>
        <w:rPr/>
      </w:pPr>
      <w:r>
        <w:rPr/>
        <w:t> </w:t>
      </w:r>
    </w:p>
    <w:tbl>
      <w:tblPr>
        <w:tblW w:w="6843" w:type="dxa"/>
        <w:jc w:val="left"/>
        <w:tblInd w:w="0" w:type="dxa"/>
        <w:tblCellMar>
          <w:top w:w="0" w:type="dxa"/>
          <w:left w:w="0" w:type="dxa"/>
          <w:bottom w:w="0" w:type="dxa"/>
          <w:right w:w="0" w:type="dxa"/>
        </w:tblCellMar>
      </w:tblPr>
      <w:tblGrid>
        <w:gridCol w:w="821"/>
        <w:gridCol w:w="6022"/>
      </w:tblGrid>
      <w:tr>
        <w:trPr/>
        <w:tc>
          <w:tcPr>
            <w:tcW w:w="6843" w:type="dxa"/>
            <w:gridSpan w:val="2"/>
            <w:tcBorders/>
            <w:shd w:fill="auto" w:val="clear"/>
            <w:vAlign w:val="center"/>
          </w:tcPr>
          <w:p>
            <w:pPr>
              <w:pStyle w:val="TableContents"/>
              <w:spacing w:before="0" w:after="283"/>
              <w:rPr>
                <w:sz w:val="4"/>
                <w:szCs w:val="4"/>
              </w:rPr>
            </w:pPr>
            <w:r>
              <w:rPr>
                <w:sz w:val="4"/>
                <w:szCs w:val="4"/>
              </w:rPr>
            </w:r>
          </w:p>
        </w:tc>
      </w:tr>
      <w:tr>
        <w:trPr/>
        <w:tc>
          <w:tcPr>
            <w:tcW w:w="821" w:type="dxa"/>
            <w:tcBorders/>
            <w:shd w:fill="auto" w:val="clear"/>
            <w:vAlign w:val="center"/>
          </w:tcPr>
          <w:p>
            <w:pPr>
              <w:pStyle w:val="TableContents"/>
              <w:spacing w:before="0" w:after="283"/>
              <w:rPr>
                <w:sz w:val="4"/>
                <w:szCs w:val="4"/>
              </w:rPr>
            </w:pPr>
            <w:r>
              <w:rPr>
                <w:sz w:val="4"/>
                <w:szCs w:val="4"/>
              </w:rPr>
            </w:r>
          </w:p>
        </w:tc>
        <w:tc>
          <w:tcPr>
            <w:tcW w:w="60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21"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Item 2.02.</w:t>
            </w:r>
          </w:p>
        </w:tc>
        <w:tc>
          <w:tcPr>
            <w:tcW w:w="6022" w:type="dxa"/>
            <w:tcBorders/>
            <w:shd w:fill="auto" w:val="clear"/>
            <w:vAlign w:val="center"/>
          </w:tcPr>
          <w:p>
            <w:pPr>
              <w:pStyle w:val="TableContents"/>
              <w:spacing w:before="0" w:after="0"/>
              <w:jc w:val="left"/>
              <w:rPr>
                <w:rFonts w:ascii="Arial" w:hAnsi="Arial"/>
                <w:b/>
                <w:sz w:val="17"/>
              </w:rPr>
            </w:pPr>
            <w:r>
              <w:rPr>
                <w:rFonts w:ascii="Arial" w:hAnsi="Arial"/>
                <w:b/>
                <w:sz w:val="17"/>
              </w:rPr>
              <w:t>Results of Operations and Financial Condition.</w:t>
            </w:r>
          </w:p>
        </w:tc>
      </w:tr>
    </w:tbl>
    <w:p>
      <w:pPr>
        <w:pStyle w:val="TextBody"/>
        <w:spacing w:lineRule="auto" w:line="288" w:before="0" w:after="0"/>
        <w:ind w:left="0" w:right="0" w:firstLine="480"/>
        <w:rPr>
          <w:rFonts w:ascii="Arial" w:hAnsi="Arial"/>
          <w:sz w:val="17"/>
        </w:rPr>
      </w:pPr>
      <w:r>
        <w:rPr>
          <w:rFonts w:ascii="Arial" w:hAnsi="Arial"/>
          <w:sz w:val="17"/>
        </w:rPr>
        <w:t>On December 10, 2013, Leidos Holdings, Inc. issued a press release announcing its financial results for the third fiscal quarter ended November 1, 2013. A copy of the press release is furnished as Exhibit 99.1 to this report.</w:t>
      </w:r>
    </w:p>
    <w:p>
      <w:pPr>
        <w:pStyle w:val="TextBody"/>
        <w:spacing w:lineRule="auto" w:line="288" w:before="0" w:after="0"/>
        <w:ind w:left="0" w:right="0" w:firstLine="480"/>
        <w:rPr>
          <w:sz w:val="17"/>
        </w:rPr>
      </w:pPr>
      <w:r>
        <w:rPr>
          <w:rFonts w:ascii="Arial" w:hAnsi="Arial"/>
          <w:sz w:val="17"/>
        </w:rPr>
        <w:t>The Company’s management will discuss operations and financial results in an earnings conference call beginning at 8 a.m. eastern on December 10, 2013. A live audio broadcast of the conference call along with a supplemental presentation will be available to the public through links on the Investor Relations section of the Company’s web site</w:t>
      </w:r>
      <w:r>
        <w:rPr>
          <w:rFonts w:ascii="Arial" w:hAnsi="Arial"/>
          <w:b/>
          <w:sz w:val="17"/>
        </w:rPr>
        <w:t>(</w:t>
      </w:r>
      <w:r>
        <w:rPr>
          <w:rFonts w:ascii="Arial" w:hAnsi="Arial"/>
          <w:sz w:val="17"/>
          <w:u w:val="single"/>
        </w:rPr>
        <w:t>http://investors.leidos.com</w:t>
      </w:r>
      <w:r>
        <w:rPr>
          <w:rFonts w:ascii="Arial" w:hAnsi="Arial"/>
          <w:b/>
          <w:sz w:val="17"/>
        </w:rPr>
        <w:t>)</w:t>
      </w:r>
      <w:r>
        <w:rPr>
          <w:rFonts w:ascii="Arial" w:hAnsi="Arial"/>
          <w:sz w:val="17"/>
        </w:rPr>
        <w:t>.</w:t>
      </w:r>
    </w:p>
    <w:p>
      <w:pPr>
        <w:pStyle w:val="TextBody"/>
        <w:spacing w:lineRule="auto" w:line="288" w:before="0" w:after="0"/>
        <w:ind w:left="0" w:right="0" w:firstLine="480"/>
        <w:rPr>
          <w:rFonts w:ascii="Arial" w:hAnsi="Arial"/>
          <w:sz w:val="17"/>
        </w:rPr>
      </w:pPr>
      <w:r>
        <w:rPr>
          <w:rFonts w:ascii="Arial" w:hAnsi="Arial"/>
          <w:sz w:val="17"/>
        </w:rPr>
        <w:t>The information contained in this report, including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tbl>
      <w:tblPr>
        <w:tblW w:w="10205" w:type="dxa"/>
        <w:jc w:val="left"/>
        <w:tblInd w:w="0" w:type="dxa"/>
        <w:tblCellMar>
          <w:top w:w="0" w:type="dxa"/>
          <w:left w:w="0" w:type="dxa"/>
          <w:bottom w:w="0" w:type="dxa"/>
          <w:right w:w="0" w:type="dxa"/>
        </w:tblCellMar>
      </w:tblPr>
      <w:tblGrid>
        <w:gridCol w:w="1369"/>
        <w:gridCol w:w="8836"/>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369" w:type="dxa"/>
            <w:tcBorders/>
            <w:shd w:fill="auto" w:val="clear"/>
            <w:vAlign w:val="center"/>
          </w:tcPr>
          <w:p>
            <w:pPr>
              <w:pStyle w:val="TableContents"/>
              <w:spacing w:before="0" w:after="283"/>
              <w:rPr>
                <w:sz w:val="4"/>
                <w:szCs w:val="4"/>
              </w:rPr>
            </w:pPr>
            <w:r>
              <w:rPr>
                <w:sz w:val="4"/>
                <w:szCs w:val="4"/>
              </w:rPr>
            </w:r>
          </w:p>
        </w:tc>
        <w:tc>
          <w:tcPr>
            <w:tcW w:w="88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69"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Item 5.02.</w:t>
            </w:r>
          </w:p>
        </w:tc>
        <w:tc>
          <w:tcPr>
            <w:tcW w:w="8836" w:type="dxa"/>
            <w:tcBorders/>
            <w:shd w:fill="auto" w:val="clear"/>
            <w:vAlign w:val="center"/>
          </w:tcPr>
          <w:p>
            <w:pPr>
              <w:pStyle w:val="TableContents"/>
              <w:spacing w:before="0" w:after="0"/>
              <w:jc w:val="left"/>
              <w:rPr>
                <w:rFonts w:ascii="Arial" w:hAnsi="Arial"/>
                <w:b/>
                <w:sz w:val="17"/>
              </w:rPr>
            </w:pPr>
            <w:r>
              <w:rPr>
                <w:rFonts w:ascii="Arial" w:hAnsi="Arial"/>
                <w:b/>
                <w:sz w:val="17"/>
              </w:rPr>
              <w:t>Departure of Directors or Certain Officers; Election of Directors; Appointment of Certain Officers; Compensatory Arrangements of Certain Officers.</w:t>
            </w:r>
          </w:p>
        </w:tc>
      </w:tr>
    </w:tbl>
    <w:p>
      <w:pPr>
        <w:pStyle w:val="TextBody"/>
        <w:spacing w:lineRule="auto" w:line="288" w:before="0" w:after="0"/>
        <w:ind w:left="0" w:right="0" w:hanging="450"/>
        <w:rPr>
          <w:rFonts w:ascii="Arial" w:hAnsi="Arial"/>
          <w:sz w:val="17"/>
        </w:rPr>
      </w:pPr>
      <w:r>
        <w:rPr>
          <w:rFonts w:ascii="Arial" w:hAnsi="Arial"/>
          <w:sz w:val="17"/>
        </w:rPr>
        <w:t>(b) Effective December 6, 2013, Joseph W. Craver, III stepped aside as President of the Company's Health and Engineering sector.</w:t>
      </w:r>
    </w:p>
    <w:p>
      <w:pPr>
        <w:pStyle w:val="TextBody"/>
        <w:spacing w:lineRule="auto" w:line="288" w:before="0" w:after="0"/>
        <w:rPr/>
      </w:pPr>
      <w:r>
        <w:rPr/>
        <w:t> </w:t>
      </w:r>
    </w:p>
    <w:tbl>
      <w:tblPr>
        <w:tblW w:w="6912" w:type="dxa"/>
        <w:jc w:val="left"/>
        <w:tblInd w:w="0" w:type="dxa"/>
        <w:tblCellMar>
          <w:top w:w="0" w:type="dxa"/>
          <w:left w:w="0" w:type="dxa"/>
          <w:bottom w:w="0" w:type="dxa"/>
          <w:right w:w="0" w:type="dxa"/>
        </w:tblCellMar>
      </w:tblPr>
      <w:tblGrid>
        <w:gridCol w:w="829"/>
        <w:gridCol w:w="6083"/>
      </w:tblGrid>
      <w:tr>
        <w:trPr/>
        <w:tc>
          <w:tcPr>
            <w:tcW w:w="6912" w:type="dxa"/>
            <w:gridSpan w:val="2"/>
            <w:tcBorders/>
            <w:shd w:fill="auto" w:val="clear"/>
            <w:vAlign w:val="center"/>
          </w:tcPr>
          <w:p>
            <w:pPr>
              <w:pStyle w:val="TableContents"/>
              <w:spacing w:before="0" w:after="283"/>
              <w:rPr>
                <w:sz w:val="4"/>
                <w:szCs w:val="4"/>
              </w:rPr>
            </w:pPr>
            <w:r>
              <w:rPr>
                <w:sz w:val="4"/>
                <w:szCs w:val="4"/>
              </w:rPr>
            </w:r>
          </w:p>
        </w:tc>
      </w:tr>
      <w:tr>
        <w:trPr/>
        <w:tc>
          <w:tcPr>
            <w:tcW w:w="829" w:type="dxa"/>
            <w:tcBorders/>
            <w:shd w:fill="auto" w:val="clear"/>
            <w:vAlign w:val="center"/>
          </w:tcPr>
          <w:p>
            <w:pPr>
              <w:pStyle w:val="TableContents"/>
              <w:spacing w:before="0" w:after="283"/>
              <w:rPr>
                <w:sz w:val="4"/>
                <w:szCs w:val="4"/>
              </w:rPr>
            </w:pPr>
            <w:r>
              <w:rPr>
                <w:sz w:val="4"/>
                <w:szCs w:val="4"/>
              </w:rPr>
            </w:r>
          </w:p>
        </w:tc>
        <w:tc>
          <w:tcPr>
            <w:tcW w:w="60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29"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Item 9.01.</w:t>
            </w:r>
          </w:p>
        </w:tc>
        <w:tc>
          <w:tcPr>
            <w:tcW w:w="6083" w:type="dxa"/>
            <w:tcBorders/>
            <w:shd w:fill="auto" w:val="clear"/>
            <w:vAlign w:val="center"/>
          </w:tcPr>
          <w:p>
            <w:pPr>
              <w:pStyle w:val="TableContents"/>
              <w:spacing w:before="0" w:after="0"/>
              <w:jc w:val="left"/>
              <w:rPr>
                <w:rFonts w:ascii="Arial" w:hAnsi="Arial"/>
                <w:b/>
                <w:sz w:val="17"/>
              </w:rPr>
            </w:pPr>
            <w:r>
              <w:rPr>
                <w:rFonts w:ascii="Arial" w:hAnsi="Arial"/>
                <w:b/>
                <w:sz w:val="17"/>
              </w:rPr>
              <w:t>Financial Statements and Exhibits.</w:t>
            </w:r>
          </w:p>
        </w:tc>
      </w:tr>
    </w:tbl>
    <w:p>
      <w:pPr>
        <w:pStyle w:val="TextBody"/>
        <w:spacing w:lineRule="auto" w:line="288" w:before="0" w:after="0"/>
        <w:rPr/>
      </w:pPr>
      <w:r>
        <w:rPr/>
        <w:t> </w:t>
      </w:r>
    </w:p>
    <w:tbl>
      <w:tblPr>
        <w:tblW w:w="1150" w:type="dxa"/>
        <w:jc w:val="left"/>
        <w:tblInd w:w="0" w:type="dxa"/>
        <w:tblCellMar>
          <w:top w:w="0" w:type="dxa"/>
          <w:left w:w="0" w:type="dxa"/>
          <w:bottom w:w="0" w:type="dxa"/>
          <w:right w:w="0" w:type="dxa"/>
        </w:tblCellMar>
      </w:tblPr>
      <w:tblGrid>
        <w:gridCol w:w="485"/>
        <w:gridCol w:w="665"/>
      </w:tblGrid>
      <w:tr>
        <w:trPr/>
        <w:tc>
          <w:tcPr>
            <w:tcW w:w="48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240"/>
              <w:rPr>
                <w:rFonts w:ascii="Arial" w:hAnsi="Arial"/>
                <w:i/>
                <w:sz w:val="17"/>
              </w:rPr>
            </w:pPr>
            <w:r>
              <w:rPr>
                <w:rFonts w:ascii="Arial" w:hAnsi="Arial"/>
                <w:i/>
                <w:sz w:val="17"/>
              </w:rPr>
              <w:t>(d)</w:t>
            </w:r>
          </w:p>
        </w:tc>
        <w:tc>
          <w:tcPr>
            <w:tcW w:w="665" w:type="dxa"/>
            <w:tcBorders/>
            <w:shd w:fill="auto" w:val="clear"/>
            <w:vAlign w:val="center"/>
          </w:tcPr>
          <w:p>
            <w:pPr>
              <w:pStyle w:val="TableContents"/>
              <w:spacing w:lineRule="auto" w:line="288" w:before="0" w:after="0"/>
              <w:jc w:val="left"/>
              <w:rPr/>
            </w:pPr>
            <w:r>
              <w:rPr/>
              <w:t xml:space="preserve"> </w:t>
            </w:r>
            <w:r>
              <w:rPr>
                <w:rFonts w:ascii="Arial" w:hAnsi="Arial"/>
                <w:i/>
                <w:sz w:val="17"/>
              </w:rPr>
              <w:t>Exhibits</w:t>
            </w:r>
          </w:p>
        </w:tc>
      </w:tr>
    </w:tbl>
    <w:tbl>
      <w:tblPr>
        <w:tblW w:w="6823" w:type="dxa"/>
        <w:jc w:val="left"/>
        <w:tblInd w:w="0" w:type="dxa"/>
        <w:tblCellMar>
          <w:top w:w="0" w:type="dxa"/>
          <w:left w:w="0" w:type="dxa"/>
          <w:bottom w:w="0" w:type="dxa"/>
          <w:right w:w="0" w:type="dxa"/>
        </w:tblCellMar>
      </w:tblPr>
      <w:tblGrid>
        <w:gridCol w:w="1160"/>
        <w:gridCol w:w="272"/>
        <w:gridCol w:w="5391"/>
      </w:tblGrid>
      <w:tr>
        <w:trPr/>
        <w:tc>
          <w:tcPr>
            <w:tcW w:w="6823" w:type="dxa"/>
            <w:gridSpan w:val="3"/>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39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6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Exhibit 99.1</w:t>
            </w:r>
          </w:p>
        </w:tc>
        <w:tc>
          <w:tcPr>
            <w:tcW w:w="272" w:type="dxa"/>
            <w:tcBorders/>
            <w:shd w:fill="auto" w:val="clear"/>
            <w:vAlign w:val="center"/>
          </w:tcPr>
          <w:p>
            <w:pPr>
              <w:pStyle w:val="TableContents"/>
              <w:spacing w:before="0" w:after="0"/>
              <w:ind w:left="0" w:right="0" w:firstLine="30"/>
              <w:jc w:val="left"/>
              <w:rPr/>
            </w:pPr>
            <w:r>
              <w:rPr/>
              <w:t>  </w:t>
            </w:r>
          </w:p>
        </w:tc>
        <w:tc>
          <w:tcPr>
            <w:tcW w:w="5391" w:type="dxa"/>
            <w:tcBorders/>
            <w:shd w:fill="auto" w:val="clear"/>
            <w:vAlign w:val="center"/>
          </w:tcPr>
          <w:p>
            <w:pPr>
              <w:pStyle w:val="TableContents"/>
              <w:spacing w:before="0" w:after="0"/>
              <w:jc w:val="left"/>
              <w:rPr>
                <w:rFonts w:ascii="Arial" w:hAnsi="Arial"/>
                <w:sz w:val="17"/>
              </w:rPr>
            </w:pPr>
            <w:r>
              <w:rPr>
                <w:rFonts w:ascii="Arial" w:hAnsi="Arial"/>
                <w:sz w:val="17"/>
              </w:rPr>
              <w:t>Press Release dated December 10, 2013 issued by Leidos Holdings, Inc.</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Arial" w:hAnsi="Arial"/>
          <w:sz w:val="17"/>
        </w:rPr>
      </w:pPr>
      <w:r>
        <w:rPr>
          <w:rFonts w:ascii="Arial" w:hAnsi="Arial"/>
          <w:sz w:val="17"/>
        </w:rPr>
        <w:t>2</w:t>
      </w:r>
      <w:r>
        <w:br w:type="page"/>
      </w:r>
    </w:p>
    <w:p>
      <w:pPr>
        <w:pStyle w:val="TextBody"/>
        <w:spacing w:lineRule="auto" w:line="288" w:before="0" w:after="0"/>
        <w:rPr>
          <w:rFonts w:ascii="inherit" w:hAnsi="inherit"/>
          <w:sz w:val="17"/>
        </w:rPr>
      </w:pPr>
      <w:r>
        <w:rPr>
          <w:rFonts w:ascii="inherit" w:hAnsi="inherit"/>
          <w:sz w:val="17"/>
        </w:rPr>
      </w:r>
      <w:bookmarkStart w:id="8" w:name="s2b9bd2cf80964a0b9c8cb9610a059a9b"/>
      <w:bookmarkStart w:id="9" w:name="s2b9bd2cf80964a0b9c8cb9610a059a9b"/>
      <w:bookmarkEnd w:id="9"/>
    </w:p>
    <w:p>
      <w:pPr>
        <w:pStyle w:val="TextBody"/>
        <w:spacing w:before="0" w:after="0"/>
        <w:rPr/>
      </w:pPr>
      <w:r>
        <w:rPr/>
      </w:r>
    </w:p>
    <w:p>
      <w:pPr>
        <w:pStyle w:val="TextBody"/>
        <w:spacing w:lineRule="auto" w:line="288" w:before="0" w:after="0"/>
        <w:jc w:val="center"/>
        <w:rPr>
          <w:rFonts w:ascii="Arial" w:hAnsi="Arial"/>
          <w:b/>
          <w:sz w:val="17"/>
        </w:rPr>
      </w:pPr>
      <w:r>
        <w:rPr>
          <w:rFonts w:ascii="Arial" w:hAnsi="Arial"/>
          <w:b/>
          <w:sz w:val="17"/>
        </w:rPr>
        <w:t>SIGNATURE</w:t>
      </w:r>
    </w:p>
    <w:p>
      <w:pPr>
        <w:pStyle w:val="TextBody"/>
        <w:spacing w:lineRule="auto" w:line="288" w:before="0" w:after="0"/>
        <w:ind w:left="0" w:right="0" w:firstLine="480"/>
        <w:rPr>
          <w:rFonts w:ascii="Arial" w:hAnsi="Arial"/>
          <w:sz w:val="17"/>
        </w:rPr>
      </w:pPr>
      <w:r>
        <w:rPr>
          <w:rFonts w:ascii="Arial" w:hAnsi="Arial"/>
          <w:sz w:val="17"/>
        </w:rPr>
        <w:t>Pursuant to the requirements of the Securities Exchange Act of 1934, each Registrant has duly caused this report to be signed on its behalf by the undersigned hereunto duly authorized.</w:t>
      </w:r>
    </w:p>
    <w:p>
      <w:pPr>
        <w:pStyle w:val="TextBody"/>
        <w:spacing w:lineRule="auto" w:line="288" w:before="0" w:after="0"/>
        <w:rPr/>
      </w:pPr>
      <w:r>
        <w:rPr/>
        <w:t> </w:t>
      </w:r>
    </w:p>
    <w:tbl>
      <w:tblPr>
        <w:tblW w:w="9473" w:type="dxa"/>
        <w:jc w:val="left"/>
        <w:tblInd w:w="0" w:type="dxa"/>
        <w:tblCellMar>
          <w:top w:w="0" w:type="dxa"/>
          <w:left w:w="0" w:type="dxa"/>
          <w:bottom w:w="0" w:type="dxa"/>
          <w:right w:w="0" w:type="dxa"/>
        </w:tblCellMar>
      </w:tblPr>
      <w:tblGrid>
        <w:gridCol w:w="3695"/>
        <w:gridCol w:w="189"/>
        <w:gridCol w:w="1421"/>
        <w:gridCol w:w="473"/>
        <w:gridCol w:w="189"/>
        <w:gridCol w:w="3506"/>
      </w:tblGrid>
      <w:tr>
        <w:trPr/>
        <w:tc>
          <w:tcPr>
            <w:tcW w:w="9473" w:type="dxa"/>
            <w:gridSpan w:val="6"/>
            <w:tcBorders/>
            <w:shd w:fill="auto" w:val="clear"/>
            <w:vAlign w:val="center"/>
          </w:tcPr>
          <w:p>
            <w:pPr>
              <w:pStyle w:val="TableContents"/>
              <w:spacing w:before="0" w:after="283"/>
              <w:rPr>
                <w:sz w:val="4"/>
                <w:szCs w:val="4"/>
              </w:rPr>
            </w:pPr>
            <w:r>
              <w:rPr>
                <w:sz w:val="4"/>
                <w:szCs w:val="4"/>
              </w:rPr>
            </w:r>
          </w:p>
        </w:tc>
      </w:tr>
      <w:tr>
        <w:trPr/>
        <w:tc>
          <w:tcPr>
            <w:tcW w:w="36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5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rPr/>
            </w:pPr>
            <w:r>
              <w:rPr/>
              <w:t> </w:t>
            </w:r>
          </w:p>
        </w:tc>
        <w:tc>
          <w:tcPr>
            <w:tcW w:w="1421" w:type="dxa"/>
            <w:tcBorders/>
            <w:shd w:fill="auto" w:val="clear"/>
            <w:vAlign w:val="center"/>
          </w:tcPr>
          <w:p>
            <w:pPr>
              <w:pStyle w:val="TableContents"/>
              <w:spacing w:before="0" w:after="0"/>
              <w:ind w:left="0" w:right="0" w:firstLine="30"/>
              <w:rPr/>
            </w:pPr>
            <w:r>
              <w:rPr/>
              <w:t> </w:t>
            </w:r>
          </w:p>
        </w:tc>
        <w:tc>
          <w:tcPr>
            <w:tcW w:w="473"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rPr/>
            </w:pPr>
            <w:r>
              <w:rPr/>
              <w:t> </w:t>
            </w:r>
          </w:p>
        </w:tc>
        <w:tc>
          <w:tcPr>
            <w:tcW w:w="3506" w:type="dxa"/>
            <w:tcBorders/>
            <w:shd w:fill="auto" w:val="clear"/>
            <w:vAlign w:val="center"/>
          </w:tcPr>
          <w:p>
            <w:pPr>
              <w:pStyle w:val="TableContents"/>
              <w:spacing w:before="0" w:after="0"/>
              <w:ind w:left="0" w:right="0" w:firstLine="30"/>
              <w:rPr/>
            </w:pPr>
            <w:r>
              <w:rPr/>
              <w:t> </w:t>
            </w:r>
          </w:p>
        </w:tc>
      </w:tr>
      <w:tr>
        <w:trPr/>
        <w:tc>
          <w:tcPr>
            <w:tcW w:w="369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(Registrant)</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168" w:type="dxa"/>
            <w:gridSpan w:val="3"/>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LEIDOS HOLDINGS, INC.</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rPr/>
            </w:pPr>
            <w:r>
              <w:rPr/>
              <w:t> </w:t>
            </w:r>
          </w:p>
        </w:tc>
        <w:tc>
          <w:tcPr>
            <w:tcW w:w="1894" w:type="dxa"/>
            <w:gridSpan w:val="2"/>
            <w:tcBorders/>
            <w:shd w:fill="auto" w:val="clear"/>
            <w:vAlign w:val="center"/>
          </w:tcPr>
          <w:p>
            <w:pPr>
              <w:pStyle w:val="TableContents"/>
              <w:spacing w:before="0" w:after="0"/>
              <w:ind w:left="0" w:right="0" w:firstLine="30"/>
              <w:rPr/>
            </w:pPr>
            <w:r>
              <w:rPr/>
              <w:t> </w:t>
            </w:r>
          </w:p>
        </w:tc>
        <w:tc>
          <w:tcPr>
            <w:tcW w:w="3695" w:type="dxa"/>
            <w:gridSpan w:val="2"/>
            <w:tcBorders/>
            <w:shd w:fill="auto" w:val="clear"/>
            <w:vAlign w:val="center"/>
          </w:tcPr>
          <w:p>
            <w:pPr>
              <w:pStyle w:val="TableContents"/>
              <w:spacing w:before="0" w:after="0"/>
              <w:ind w:left="0" w:right="0" w:firstLine="30"/>
              <w:rPr/>
            </w:pPr>
            <w:r>
              <w:rPr/>
              <w:t> </w:t>
            </w:r>
          </w:p>
        </w:tc>
      </w:tr>
      <w:tr>
        <w:trPr/>
        <w:tc>
          <w:tcPr>
            <w:tcW w:w="369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Date: December 10, 2013</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7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By:</w:t>
            </w:r>
          </w:p>
        </w:tc>
        <w:tc>
          <w:tcPr>
            <w:tcW w:w="189" w:type="dxa"/>
            <w:tcBorders/>
            <w:shd w:fill="auto" w:val="clear"/>
            <w:vAlign w:val="center"/>
          </w:tcPr>
          <w:p>
            <w:pPr>
              <w:pStyle w:val="TableContents"/>
              <w:spacing w:before="0" w:after="0"/>
              <w:ind w:left="0" w:right="0" w:firstLine="30"/>
              <w:jc w:val="left"/>
              <w:rPr/>
            </w:pPr>
            <w:r>
              <w:rPr/>
              <w:t> </w:t>
            </w:r>
          </w:p>
        </w:tc>
        <w:tc>
          <w:tcPr>
            <w:tcW w:w="35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/s/ Vincent A. Maffeo</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73"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350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Vincent A. Maffeo</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7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Its:</w:t>
            </w:r>
          </w:p>
        </w:tc>
        <w:tc>
          <w:tcPr>
            <w:tcW w:w="189" w:type="dxa"/>
            <w:tcBorders/>
            <w:shd w:fill="auto" w:val="clear"/>
            <w:vAlign w:val="center"/>
          </w:tcPr>
          <w:p>
            <w:pPr>
              <w:pStyle w:val="TableContents"/>
              <w:spacing w:before="0" w:after="0"/>
              <w:ind w:left="0" w:right="0" w:firstLine="30"/>
              <w:jc w:val="left"/>
              <w:rPr/>
            </w:pPr>
            <w:r>
              <w:rPr/>
              <w:t> </w:t>
            </w:r>
          </w:p>
        </w:tc>
        <w:tc>
          <w:tcPr>
            <w:tcW w:w="350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Executive Vice President and General Counsel</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rPr/>
            </w:pPr>
            <w:r>
              <w:rPr/>
              <w:t> </w:t>
            </w:r>
          </w:p>
        </w:tc>
        <w:tc>
          <w:tcPr>
            <w:tcW w:w="5589" w:type="dxa"/>
            <w:gridSpan w:val="4"/>
            <w:tcBorders/>
            <w:shd w:fill="auto" w:val="clear"/>
            <w:vAlign w:val="center"/>
          </w:tcPr>
          <w:p>
            <w:pPr>
              <w:pStyle w:val="TableContents"/>
              <w:spacing w:before="0" w:after="0"/>
              <w:ind w:left="0" w:right="0" w:firstLine="30"/>
              <w:rPr/>
            </w:pPr>
            <w:r>
              <w:rPr/>
              <w:t> </w:t>
            </w:r>
          </w:p>
        </w:tc>
      </w:tr>
      <w:tr>
        <w:trPr/>
        <w:tc>
          <w:tcPr>
            <w:tcW w:w="369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(Registrant)</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168" w:type="dxa"/>
            <w:gridSpan w:val="3"/>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LEIDOS, INC.</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rPr/>
            </w:pPr>
            <w:r>
              <w:rPr/>
              <w:t> </w:t>
            </w:r>
          </w:p>
        </w:tc>
        <w:tc>
          <w:tcPr>
            <w:tcW w:w="1894" w:type="dxa"/>
            <w:gridSpan w:val="2"/>
            <w:tcBorders/>
            <w:shd w:fill="auto" w:val="clear"/>
            <w:vAlign w:val="center"/>
          </w:tcPr>
          <w:p>
            <w:pPr>
              <w:pStyle w:val="TableContents"/>
              <w:spacing w:before="0" w:after="0"/>
              <w:ind w:left="0" w:right="0" w:firstLine="30"/>
              <w:rPr/>
            </w:pPr>
            <w:r>
              <w:rPr/>
              <w:t> </w:t>
            </w:r>
          </w:p>
        </w:tc>
        <w:tc>
          <w:tcPr>
            <w:tcW w:w="3695" w:type="dxa"/>
            <w:gridSpan w:val="2"/>
            <w:tcBorders/>
            <w:shd w:fill="auto" w:val="clear"/>
            <w:vAlign w:val="center"/>
          </w:tcPr>
          <w:p>
            <w:pPr>
              <w:pStyle w:val="TableContents"/>
              <w:spacing w:before="0" w:after="0"/>
              <w:ind w:left="0" w:right="0" w:firstLine="30"/>
              <w:rPr/>
            </w:pPr>
            <w:r>
              <w:rPr/>
              <w:t> </w:t>
            </w:r>
          </w:p>
        </w:tc>
      </w:tr>
      <w:tr>
        <w:trPr/>
        <w:tc>
          <w:tcPr>
            <w:tcW w:w="369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Date: December 10, 2013</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7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By:</w:t>
            </w:r>
          </w:p>
        </w:tc>
        <w:tc>
          <w:tcPr>
            <w:tcW w:w="189" w:type="dxa"/>
            <w:tcBorders/>
            <w:shd w:fill="auto" w:val="clear"/>
            <w:vAlign w:val="center"/>
          </w:tcPr>
          <w:p>
            <w:pPr>
              <w:pStyle w:val="TableContents"/>
              <w:spacing w:before="0" w:after="0"/>
              <w:ind w:left="0" w:right="0" w:firstLine="30"/>
              <w:jc w:val="left"/>
              <w:rPr/>
            </w:pPr>
            <w:r>
              <w:rPr/>
              <w:t> </w:t>
            </w:r>
          </w:p>
        </w:tc>
        <w:tc>
          <w:tcPr>
            <w:tcW w:w="35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/s/ Vincent A. Maffeo</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73"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350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Vincent A. Maffeo</w:t>
            </w:r>
          </w:p>
        </w:tc>
      </w:tr>
      <w:tr>
        <w:trPr/>
        <w:tc>
          <w:tcPr>
            <w:tcW w:w="3695"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ind w:left="0" w:right="0" w:firstLine="30"/>
              <w:jc w:val="left"/>
              <w:rPr/>
            </w:pPr>
            <w:r>
              <w:rPr/>
              <w:t> </w:t>
            </w:r>
          </w:p>
        </w:tc>
        <w:tc>
          <w:tcPr>
            <w:tcW w:w="1421" w:type="dxa"/>
            <w:tcBorders/>
            <w:shd w:fill="auto" w:val="clear"/>
            <w:vAlign w:val="center"/>
          </w:tcPr>
          <w:p>
            <w:pPr>
              <w:pStyle w:val="TableContents"/>
              <w:spacing w:before="0" w:after="0"/>
              <w:ind w:left="0" w:right="0" w:firstLine="30"/>
              <w:jc w:val="left"/>
              <w:rPr/>
            </w:pPr>
            <w:r>
              <w:rPr/>
              <w:t> </w:t>
            </w:r>
          </w:p>
        </w:tc>
        <w:tc>
          <w:tcPr>
            <w:tcW w:w="47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Its:</w:t>
            </w:r>
          </w:p>
        </w:tc>
        <w:tc>
          <w:tcPr>
            <w:tcW w:w="189" w:type="dxa"/>
            <w:tcBorders/>
            <w:shd w:fill="auto" w:val="clear"/>
            <w:vAlign w:val="center"/>
          </w:tcPr>
          <w:p>
            <w:pPr>
              <w:pStyle w:val="TableContents"/>
              <w:spacing w:before="0" w:after="0"/>
              <w:ind w:left="0" w:right="0" w:firstLine="30"/>
              <w:jc w:val="left"/>
              <w:rPr/>
            </w:pPr>
            <w:r>
              <w:rPr/>
              <w:t> </w:t>
            </w:r>
          </w:p>
        </w:tc>
        <w:tc>
          <w:tcPr>
            <w:tcW w:w="3506" w:type="dxa"/>
            <w:tcBorders/>
            <w:shd w:fill="auto" w:val="clear"/>
            <w:vAlign w:val="center"/>
          </w:tcPr>
          <w:p>
            <w:pPr>
              <w:pStyle w:val="TableContents"/>
              <w:spacing w:before="0" w:after="0"/>
              <w:jc w:val="left"/>
              <w:rPr>
                <w:rFonts w:ascii="Arial" w:hAnsi="Arial"/>
                <w:sz w:val="17"/>
              </w:rPr>
            </w:pPr>
            <w:r>
              <w:rPr>
                <w:rFonts w:ascii="Arial" w:hAnsi="Arial"/>
                <w:sz w:val="17"/>
              </w:rPr>
              <w:t>Executive Vice President and General Counsel</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Arial" w:hAnsi="Arial"/>
          <w:sz w:val="17"/>
        </w:rPr>
      </w:pPr>
      <w:r>
        <w:rPr>
          <w:rFonts w:ascii="Arial" w:hAnsi="Arial"/>
          <w:sz w:val="17"/>
        </w:rPr>
        <w:t>3</w:t>
      </w:r>
      <w:r>
        <w:br w:type="page"/>
      </w:r>
    </w:p>
    <w:p>
      <w:pPr>
        <w:pStyle w:val="TextBody"/>
        <w:spacing w:before="0" w:after="0"/>
        <w:rPr/>
      </w:pPr>
      <w:r>
        <w:rPr/>
      </w:r>
      <w:bookmarkStart w:id="10" w:name="s88E8E9464D40B98CBD132EF88E6460C4"/>
      <w:bookmarkStart w:id="11" w:name="q3fy14pressreleaseexhibit9.htm"/>
      <w:bookmarkStart w:id="12" w:name="ksq3fy14pressreleaseexhibit9"/>
      <w:bookmarkStart w:id="13" w:name="s88E8E9464D40B98CBD132EF88E6460C4"/>
      <w:bookmarkStart w:id="14" w:name="q3fy14pressreleaseexhibit9.htm"/>
      <w:bookmarkStart w:id="15" w:name="ksq3fy14pressreleaseexhibit9"/>
      <w:bookmarkEnd w:id="13"/>
      <w:bookmarkEnd w:id="14"/>
      <w:bookmarkEnd w:id="15"/>
    </w:p>
    <w:p>
      <w:pPr>
        <w:pStyle w:val="TextBody"/>
        <w:spacing w:lineRule="auto" w:line="288" w:before="0" w:after="0"/>
        <w:jc w:val="right"/>
        <w:rPr>
          <w:rFonts w:ascii="Arial" w:hAnsi="Arial"/>
          <w:b/>
          <w:sz w:val="20"/>
        </w:rPr>
      </w:pPr>
      <w:r>
        <w:rPr>
          <w:rFonts w:ascii="Arial" w:hAnsi="Arial"/>
          <w:b/>
          <w:sz w:val="20"/>
        </w:rPr>
        <w:t>EXHIBIT 99.1</w:t>
      </w:r>
    </w:p>
    <w:p>
      <w:pPr>
        <w:pStyle w:val="TextBody"/>
        <w:spacing w:lineRule="auto" w:line="288" w:before="0" w:after="0"/>
        <w:jc w:val="right"/>
        <w:rPr>
          <w:rFonts w:ascii="Arial" w:hAnsi="Arial"/>
          <w:sz w:val="20"/>
        </w:rPr>
      </w:pPr>
      <w:r>
        <w:rPr>
          <w:rFonts w:ascii="Arial" w:hAnsi="Arial"/>
          <w:sz w:val="20"/>
        </w:rPr>
      </w:r>
    </w:p>
    <w:p>
      <w:pPr>
        <w:pStyle w:val="TextBody"/>
        <w:spacing w:lineRule="auto" w:line="288" w:before="0" w:after="0"/>
        <w:jc w:val="center"/>
        <w:rPr>
          <w:rFonts w:ascii="Arial" w:hAnsi="Arial"/>
          <w:b/>
          <w:sz w:val="20"/>
        </w:rPr>
      </w:pPr>
      <w:r>
        <w:rPr>
          <w:rFonts w:ascii="Arial" w:hAnsi="Arial"/>
          <w:b/>
          <w:sz w:val="20"/>
        </w:rPr>
        <w:t>Leidos Holdings, Inc. Announces Third Quarter Fiscal Year 2014 Results</w:t>
      </w:r>
    </w:p>
    <w:p>
      <w:pPr>
        <w:pStyle w:val="TextBody"/>
        <w:spacing w:lineRule="auto" w:line="288" w:before="0" w:after="0"/>
        <w:jc w:val="center"/>
        <w:rPr>
          <w:rFonts w:ascii="Arial" w:hAnsi="Arial"/>
          <w:sz w:val="20"/>
        </w:rPr>
      </w:pPr>
      <w:r>
        <w:rPr>
          <w:rFonts w:ascii="Arial" w:hAnsi="Arial"/>
          <w:sz w:val="20"/>
        </w:rPr>
      </w:r>
    </w:p>
    <w:p>
      <w:pPr>
        <w:pStyle w:val="TextBody"/>
        <w:spacing w:lineRule="auto" w:line="288" w:before="0" w:after="0"/>
        <w:jc w:val="left"/>
        <w:rPr>
          <w:rFonts w:ascii="Arial" w:hAnsi="Arial"/>
          <w:b/>
          <w:i/>
          <w:sz w:val="17"/>
        </w:rPr>
      </w:pPr>
      <w:r>
        <w:rPr>
          <w:rFonts w:ascii="Arial" w:hAnsi="Arial"/>
          <w:b/>
          <w:i/>
          <w:sz w:val="17"/>
        </w:rPr>
        <w:t>- Revenues: $1.42 billion</w:t>
      </w:r>
    </w:p>
    <w:p>
      <w:pPr>
        <w:pStyle w:val="TextBody"/>
        <w:spacing w:lineRule="auto" w:line="288" w:before="0" w:after="0"/>
        <w:jc w:val="left"/>
        <w:rPr>
          <w:rFonts w:ascii="Arial" w:hAnsi="Arial"/>
          <w:b/>
          <w:i/>
          <w:sz w:val="17"/>
        </w:rPr>
      </w:pPr>
      <w:r>
        <w:rPr>
          <w:rFonts w:ascii="Arial" w:hAnsi="Arial"/>
          <w:b/>
          <w:i/>
          <w:sz w:val="17"/>
        </w:rPr>
        <w:t>- Operating Loss from Continuing Operations: $7 million</w:t>
      </w:r>
    </w:p>
    <w:p>
      <w:pPr>
        <w:pStyle w:val="TextBody"/>
        <w:spacing w:lineRule="auto" w:line="288" w:before="0" w:after="0"/>
        <w:jc w:val="left"/>
        <w:rPr>
          <w:rFonts w:ascii="Arial" w:hAnsi="Arial"/>
          <w:b/>
          <w:i/>
          <w:sz w:val="17"/>
        </w:rPr>
      </w:pPr>
      <w:r>
        <w:rPr>
          <w:rFonts w:ascii="Arial" w:hAnsi="Arial"/>
          <w:b/>
          <w:i/>
          <w:sz w:val="17"/>
        </w:rPr>
        <w:t>- Diluted Loss per Share from Continuing Operations: $0.11</w:t>
      </w:r>
    </w:p>
    <w:p>
      <w:pPr>
        <w:pStyle w:val="TextBody"/>
        <w:spacing w:lineRule="auto" w:line="288" w:before="0" w:after="0"/>
        <w:jc w:val="left"/>
        <w:rPr>
          <w:rFonts w:ascii="Arial" w:hAnsi="Arial"/>
          <w:b/>
          <w:i/>
          <w:sz w:val="17"/>
        </w:rPr>
      </w:pPr>
      <w:r>
        <w:rPr>
          <w:rFonts w:ascii="Arial" w:hAnsi="Arial"/>
          <w:b/>
          <w:i/>
          <w:sz w:val="17"/>
        </w:rPr>
        <w:t>- Cash Flows Provided by Operating Activities from Continuing Operations: $49 million</w:t>
      </w:r>
    </w:p>
    <w:p>
      <w:pPr>
        <w:pStyle w:val="TextBody"/>
        <w:spacing w:lineRule="auto" w:line="288" w:before="0" w:after="0"/>
        <w:jc w:val="left"/>
        <w:rPr>
          <w:rFonts w:ascii="Arial" w:hAnsi="Arial"/>
          <w:b/>
          <w:i/>
          <w:sz w:val="17"/>
        </w:rPr>
      </w:pPr>
      <w:r>
        <w:rPr>
          <w:rFonts w:ascii="Arial" w:hAnsi="Arial"/>
          <w:b/>
          <w:i/>
          <w:sz w:val="17"/>
        </w:rPr>
        <w:t>- Net New Bookings: $2.39 billion (book-to-bill ratio of 1.7)</w:t>
      </w:r>
    </w:p>
    <w:p>
      <w:pPr>
        <w:pStyle w:val="TextBody"/>
        <w:spacing w:lineRule="auto" w:line="288" w:before="0" w:after="0"/>
        <w:jc w:val="left"/>
        <w:rPr>
          <w:rFonts w:ascii="Arial" w:hAnsi="Arial"/>
          <w:b/>
          <w:i/>
          <w:sz w:val="17"/>
        </w:rPr>
      </w:pPr>
      <w:r>
        <w:rPr>
          <w:rFonts w:ascii="Arial" w:hAnsi="Arial"/>
          <w:b/>
          <w:i/>
          <w:sz w:val="17"/>
        </w:rPr>
        <w:t>- Leidos Announces Repurchase Authorization for Up to 20 million Shares</w:t>
      </w:r>
    </w:p>
    <w:p>
      <w:pPr>
        <w:pStyle w:val="TextBody"/>
        <w:spacing w:lineRule="auto" w:line="288" w:before="0" w:after="0"/>
        <w:jc w:val="left"/>
        <w:rPr>
          <w:rFonts w:ascii="Arial" w:hAnsi="Arial"/>
          <w:b/>
          <w:i/>
          <w:sz w:val="17"/>
        </w:rPr>
      </w:pPr>
      <w:r>
        <w:rPr>
          <w:rFonts w:ascii="Arial" w:hAnsi="Arial"/>
          <w:b/>
          <w:i/>
          <w:sz w:val="17"/>
        </w:rPr>
        <w:t>- Leidos Declares a Quarterly Cash Dividend of $0.32 per Share Payable on January 30, 2014</w:t>
      </w:r>
    </w:p>
    <w:p>
      <w:pPr>
        <w:pStyle w:val="TextBody"/>
        <w:spacing w:lineRule="auto" w:line="288" w:before="0" w:after="0"/>
        <w:jc w:val="left"/>
        <w:rPr>
          <w:rFonts w:ascii="Arial" w:hAnsi="Arial"/>
          <w:sz w:val="17"/>
        </w:rPr>
      </w:pPr>
      <w:r>
        <w:rPr>
          <w:rFonts w:ascii="Arial" w:hAnsi="Arial"/>
          <w:sz w:val="17"/>
        </w:rPr>
        <w:t>MCLEAN, Va., December 10, 2013 - Leidos Holdings, Inc. (NYSE: LDOS), a national security, health and engineering solutions company, today announced financial results for the third quarter of fiscal year 2014, which ended November 1, 2013.  Today's release should be read in connection with the Company's press release issued on December 3, 2013 in which the Company lowered its guidance for fiscal year 2014.</w:t>
      </w:r>
    </w:p>
    <w:p>
      <w:pPr>
        <w:pStyle w:val="TextBody"/>
        <w:spacing w:lineRule="auto" w:line="288" w:before="0" w:after="0"/>
        <w:jc w:val="left"/>
        <w:rPr>
          <w:rFonts w:ascii="Arial" w:hAnsi="Arial"/>
          <w:sz w:val="17"/>
        </w:rPr>
      </w:pPr>
      <w:r>
        <w:rPr>
          <w:rFonts w:ascii="Arial" w:hAnsi="Arial"/>
          <w:sz w:val="17"/>
        </w:rPr>
        <w:t>On September 27, 2013, Leidos completed the previously announced separation of Science Applications International Corporation (New SAIC). The separation was effected through a tax-free distribution to Leidos shareholders for U.S. federal tax purposes in which Leidos shareholders of record as of September 19, 2013 received one share of New SAIC for every seven shares of Leidos common stock. In connection with the separation, Leidos received net cash of $269 million from New SAIC. Leidos intends to use the proceeds primarily for general corporate purposes, including share repurchases. Leidos results included herein present New SAIC as a discontinued operation.</w:t>
      </w:r>
    </w:p>
    <w:p>
      <w:pPr>
        <w:pStyle w:val="TextBody"/>
        <w:spacing w:lineRule="auto" w:line="288" w:before="0" w:after="0"/>
        <w:jc w:val="left"/>
        <w:rPr/>
      </w:pPr>
      <w:r>
        <w:rPr/>
        <w:t>“</w:t>
      </w:r>
      <w:r>
        <w:rPr>
          <w:rFonts w:ascii="Arial" w:hAnsi="Arial"/>
          <w:sz w:val="17"/>
        </w:rPr>
        <w:t>In the third quarter of Fiscal 2014, Leidos performance reflects the impact of several significant challenges we were not able to offset. Separation expenses and setup costs added to the headwinds of sequestration, the temporary government shutdown, discrete non-cash write-downs, continued delays in the timing of awards and unexpected turbulence in our commercial businesses.” said John Jumper, Leidos Chairman and Chief Executive Officer.  “Earlier today, we announced a share-repurchase authorization for up to 20 million shares, which underscores the confidence we have in our business and our firm commitment to drive shareholder value as we move forward. This adds to the $450 million in special and regular dividends already returned to shareholders in fiscal 2014 and continues our plan to return substantial value to our shareholders."</w:t>
      </w:r>
    </w:p>
    <w:p>
      <w:pPr>
        <w:pStyle w:val="TextBody"/>
        <w:spacing w:lineRule="auto" w:line="288" w:before="0" w:after="0"/>
        <w:jc w:val="left"/>
        <w:rPr>
          <w:rFonts w:ascii="Arial" w:hAnsi="Arial"/>
          <w:sz w:val="17"/>
        </w:rPr>
      </w:pPr>
      <w:r>
        <w:rPr>
          <w:rFonts w:ascii="Arial" w:hAnsi="Arial"/>
          <w:sz w:val="17"/>
        </w:rPr>
      </w:r>
      <w:bookmarkStart w:id="16" w:name="s2a271ca33c154ec79bfa8cec65368642"/>
      <w:bookmarkStart w:id="17" w:name="s2a271ca33c154ec79bfa8cec65368642"/>
      <w:bookmarkEnd w:id="17"/>
    </w:p>
    <w:p>
      <w:pPr>
        <w:pStyle w:val="TextBody"/>
        <w:spacing w:lineRule="auto" w:line="288" w:before="0" w:after="0"/>
        <w:jc w:val="left"/>
        <w:rPr>
          <w:rFonts w:ascii="Arial" w:hAnsi="Arial"/>
          <w:b/>
          <w:sz w:val="17"/>
        </w:rPr>
      </w:pPr>
      <w:r>
        <w:rPr>
          <w:rFonts w:ascii="Arial" w:hAnsi="Arial"/>
          <w:b/>
          <w:sz w:val="17"/>
        </w:rPr>
        <w:t>Summary Results</w:t>
      </w:r>
    </w:p>
    <w:p>
      <w:pPr>
        <w:pStyle w:val="TextBody"/>
        <w:spacing w:lineRule="auto" w:line="288" w:before="0" w:after="0"/>
        <w:jc w:val="left"/>
        <w:rPr>
          <w:rFonts w:ascii="Arial" w:hAnsi="Arial"/>
          <w:sz w:val="17"/>
        </w:rPr>
      </w:pPr>
      <w:r>
        <w:rPr>
          <w:rFonts w:ascii="Arial" w:hAnsi="Arial"/>
          <w:sz w:val="17"/>
        </w:rPr>
        <w:t>Revenues for the third quarter of fiscal year 2014 were $1.42 billion, compared to $1.67 billion in the third quarter of fiscal year 2013, reflecting a revenue contraction of 15 percent. Revenues were impacted by the ramp down of certain contracts, drawdowns of overseas U.S. military forces and the reduction of the U.S. Government budget, as well as a decline in our engineering and health business driven by program completions, lower new program starts and hospital budgets that have experienced reductions in reimbursements from U.S. Government funding, including reductions in Medicare reimbursements which in turn impact hospital IT spending trends. The ramp down of the Joint Logistics Integration (JLI) program accounted for 4 percent of the revenue contraction year over year. Revenue contraction for the quarter would have been 14 percent without the negative impact of $21 million in revenues for the one less working day as compared to the third quarter of fiscal year 2013.</w:t>
      </w:r>
    </w:p>
    <w:p>
      <w:pPr>
        <w:pStyle w:val="TextBody"/>
        <w:spacing w:lineRule="auto" w:line="288" w:before="0" w:after="0"/>
        <w:jc w:val="left"/>
        <w:rPr>
          <w:rFonts w:ascii="Arial" w:hAnsi="Arial"/>
          <w:sz w:val="17"/>
        </w:rPr>
      </w:pPr>
      <w:r>
        <w:rPr>
          <w:rFonts w:ascii="Arial" w:hAnsi="Arial"/>
          <w:sz w:val="17"/>
        </w:rPr>
        <w:t xml:space="preserve">Operating loss for the third quarter of fiscal year 2014 was $7 million, down from operating income of $100 million in the third quarter of fiscal year 2013. The reduction in operating income was primarily attributable to $43 million of bad debt expense primarily related to receivables for two energy design-build construction projects (Plainfield and Gradient), $25 million of separation transaction and restructuring expenses, $19 million intangible asset impairment charges related to our commercial health business, and $15 million related to the contraction in revenue. </w:t>
      </w:r>
    </w:p>
    <w:p>
      <w:pPr>
        <w:pStyle w:val="TextBody"/>
        <w:spacing w:before="0" w:after="0"/>
        <w:rPr/>
      </w:pPr>
      <w:r>
        <w:rPr/>
      </w:r>
    </w:p>
    <w:p>
      <w:pPr>
        <w:pStyle w:val="TextBody"/>
        <w:spacing w:lineRule="auto" w:line="288"/>
        <w:jc w:val="center"/>
        <w:rPr>
          <w:rFonts w:ascii="Arial" w:hAnsi="Arial"/>
          <w:sz w:val="17"/>
        </w:rPr>
      </w:pPr>
      <w:r>
        <w:rPr>
          <w:rFonts w:ascii="Arial" w:hAnsi="Arial"/>
          <w:sz w:val="17"/>
        </w:rPr>
        <w:t>1</w:t>
      </w:r>
      <w:r>
        <w:br w:type="page"/>
      </w:r>
    </w:p>
    <w:p>
      <w:pPr>
        <w:pStyle w:val="TextBody"/>
        <w:spacing w:before="0" w:after="0"/>
        <w:rPr/>
      </w:pPr>
      <w:r>
        <w:rPr/>
      </w:r>
    </w:p>
    <w:p>
      <w:pPr>
        <w:pStyle w:val="TextBody"/>
        <w:spacing w:lineRule="auto" w:line="288" w:before="0" w:after="0"/>
        <w:jc w:val="left"/>
        <w:rPr>
          <w:rFonts w:ascii="Arial" w:hAnsi="Arial"/>
          <w:sz w:val="17"/>
        </w:rPr>
      </w:pPr>
      <w:r>
        <w:rPr>
          <w:rFonts w:ascii="Arial" w:hAnsi="Arial"/>
          <w:sz w:val="17"/>
        </w:rPr>
        <w:t xml:space="preserve">Diluted loss per share from continuing operations for the quarter was $0.11 compared to diluted income per share of $0.66 in the third quarter of fiscal year 2013. This decline was primarily attributable to the aforementioned operating income reductions that translated to a reduction in income from continuing operations of $64 million. The diluted share count for the quarter was 84 million, up 1 percent from 83 million in the third quarter of fiscal year 2013. </w:t>
      </w:r>
    </w:p>
    <w:p>
      <w:pPr>
        <w:pStyle w:val="TextBody"/>
        <w:spacing w:lineRule="auto" w:line="288" w:before="0" w:after="0"/>
        <w:jc w:val="left"/>
        <w:rPr>
          <w:rFonts w:ascii="Arial" w:hAnsi="Arial"/>
          <w:b/>
          <w:sz w:val="17"/>
        </w:rPr>
      </w:pPr>
      <w:bookmarkStart w:id="18" w:name="s0bed12acf5f74ec3a2456df56f486836"/>
      <w:bookmarkEnd w:id="18"/>
      <w:r>
        <w:rPr>
          <w:rFonts w:ascii="Arial" w:hAnsi="Arial"/>
          <w:b/>
          <w:sz w:val="17"/>
        </w:rPr>
        <w:t>Segment Operating Results</w:t>
      </w:r>
    </w:p>
    <w:p>
      <w:pPr>
        <w:pStyle w:val="TextBody"/>
        <w:spacing w:lineRule="auto" w:line="288" w:before="0" w:after="0"/>
        <w:jc w:val="left"/>
        <w:rPr>
          <w:rFonts w:ascii="Arial" w:hAnsi="Arial"/>
          <w:sz w:val="17"/>
        </w:rPr>
      </w:pPr>
      <w:r>
        <w:rPr>
          <w:rFonts w:ascii="Arial" w:hAnsi="Arial"/>
          <w:sz w:val="17"/>
        </w:rPr>
        <w:t>In connection with the separation of New SAIC, the prior periods were recast to give effect to the changes in reportable segments as a result of New SAIC being reflected as a discontinued operation. The changes primarily represent the addition of certain general corporate overhead expenses that were previously allocated to, but not specifically related to New SAIC, and do not meet the requirements to be presented as a component of the discontinued operation. These costs were reallocated to the Health and Engineering and the National Security Solutions segments.</w:t>
      </w:r>
    </w:p>
    <w:tbl>
      <w:tblPr>
        <w:tblW w:w="10205" w:type="dxa"/>
        <w:jc w:val="center"/>
        <w:tblInd w:w="0" w:type="dxa"/>
        <w:tblCellMar>
          <w:top w:w="0" w:type="dxa"/>
          <w:left w:w="0" w:type="dxa"/>
          <w:bottom w:w="0" w:type="dxa"/>
          <w:right w:w="0" w:type="dxa"/>
        </w:tblCellMar>
      </w:tblPr>
      <w:tblGrid>
        <w:gridCol w:w="4393"/>
        <w:gridCol w:w="163"/>
        <w:gridCol w:w="1085"/>
        <w:gridCol w:w="165"/>
        <w:gridCol w:w="142"/>
        <w:gridCol w:w="157"/>
        <w:gridCol w:w="1061"/>
        <w:gridCol w:w="157"/>
        <w:gridCol w:w="142"/>
        <w:gridCol w:w="1008"/>
        <w:gridCol w:w="272"/>
        <w:gridCol w:w="142"/>
        <w:gridCol w:w="1028"/>
        <w:gridCol w:w="290"/>
      </w:tblGrid>
      <w:tr>
        <w:trPr/>
        <w:tc>
          <w:tcPr>
            <w:tcW w:w="10205" w:type="dxa"/>
            <w:gridSpan w:val="14"/>
            <w:tcBorders/>
            <w:shd w:fill="auto" w:val="clear"/>
            <w:vAlign w:val="center"/>
          </w:tcPr>
          <w:p>
            <w:pPr>
              <w:pStyle w:val="TableContents"/>
              <w:spacing w:before="0" w:after="283"/>
              <w:rPr>
                <w:sz w:val="4"/>
                <w:szCs w:val="4"/>
              </w:rPr>
            </w:pPr>
            <w:r>
              <w:rPr>
                <w:sz w:val="4"/>
                <w:szCs w:val="4"/>
              </w:rPr>
            </w:r>
          </w:p>
        </w:tc>
      </w:tr>
      <w:tr>
        <w:trPr/>
        <w:tc>
          <w:tcPr>
            <w:tcW w:w="439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9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Three Months Ended</w:t>
            </w:r>
          </w:p>
        </w:tc>
        <w:tc>
          <w:tcPr>
            <w:tcW w:w="142" w:type="dxa"/>
            <w:tcBorders/>
            <w:shd w:fill="auto" w:val="clear"/>
            <w:vAlign w:val="center"/>
          </w:tcPr>
          <w:p>
            <w:pPr>
              <w:pStyle w:val="TableContents"/>
              <w:spacing w:before="0" w:after="0"/>
              <w:ind w:left="0" w:right="0" w:firstLine="30"/>
              <w:rPr/>
            </w:pPr>
            <w:r>
              <w:rPr/>
              <w:t> </w:t>
            </w:r>
          </w:p>
        </w:tc>
        <w:tc>
          <w:tcPr>
            <w:tcW w:w="2740" w:type="dxa"/>
            <w:gridSpan w:val="5"/>
            <w:tcBorders/>
            <w:shd w:fill="auto" w:val="clear"/>
            <w:vAlign w:val="center"/>
          </w:tcPr>
          <w:p>
            <w:pPr>
              <w:pStyle w:val="TableContents"/>
              <w:spacing w:before="0" w:after="0"/>
              <w:ind w:left="0" w:right="0" w:firstLine="30"/>
              <w:rPr/>
            </w:pPr>
            <w:r>
              <w:rPr/>
              <w:t> </w:t>
            </w:r>
          </w:p>
        </w:tc>
      </w:tr>
      <w:tr>
        <w:trPr/>
        <w:tc>
          <w:tcPr>
            <w:tcW w:w="43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3" w:type="dxa"/>
            <w:gridSpan w:val="3"/>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November 1,</w:t>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October 31,</w:t>
            </w:r>
          </w:p>
        </w:tc>
        <w:tc>
          <w:tcPr>
            <w:tcW w:w="142" w:type="dxa"/>
            <w:tcBorders/>
            <w:shd w:fill="auto" w:val="clear"/>
            <w:vAlign w:val="center"/>
          </w:tcPr>
          <w:p>
            <w:pPr>
              <w:pStyle w:val="TableContents"/>
              <w:spacing w:before="0" w:after="0"/>
              <w:ind w:left="0" w:right="0" w:firstLine="30"/>
              <w:rPr/>
            </w:pPr>
            <w:r>
              <w:rPr/>
              <w:t> </w:t>
            </w:r>
          </w:p>
        </w:tc>
        <w:tc>
          <w:tcPr>
            <w:tcW w:w="2740" w:type="dxa"/>
            <w:gridSpan w:val="5"/>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Revenue Growth (%)</w:t>
            </w:r>
          </w:p>
        </w:tc>
      </w:tr>
      <w:tr>
        <w:trPr/>
        <w:tc>
          <w:tcPr>
            <w:tcW w:w="43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2013</w:t>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2012</w:t>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Total</w:t>
            </w:r>
          </w:p>
        </w:tc>
        <w:tc>
          <w:tcPr>
            <w:tcW w:w="14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1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Internal</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2930" w:type="dxa"/>
            <w:gridSpan w:val="7"/>
            <w:tcBorders/>
            <w:shd w:fill="auto" w:val="clear"/>
            <w:vAlign w:val="center"/>
          </w:tcPr>
          <w:p>
            <w:pPr>
              <w:pStyle w:val="TableContents"/>
              <w:spacing w:before="0" w:after="0"/>
              <w:ind w:left="0" w:right="0" w:firstLine="30"/>
              <w:jc w:val="center"/>
              <w:rPr>
                <w:rFonts w:ascii="Arial" w:hAnsi="Arial"/>
                <w:sz w:val="17"/>
              </w:rPr>
            </w:pPr>
            <w:r>
              <w:rPr>
                <w:rFonts w:ascii="Arial" w:hAnsi="Arial"/>
                <w:sz w:val="17"/>
              </w:rPr>
              <w:t>($ millions)</w:t>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Revenues:</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Health and Engineering</w:t>
            </w:r>
          </w:p>
        </w:tc>
        <w:tc>
          <w:tcPr>
            <w:tcW w:w="163"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85" w:type="dxa"/>
            <w:tcBorders/>
            <w:shd w:fill="auto" w:val="clear"/>
            <w:vAlign w:val="center"/>
          </w:tcPr>
          <w:p>
            <w:pPr>
              <w:pStyle w:val="TableContents"/>
              <w:spacing w:before="0" w:after="0"/>
              <w:jc w:val="right"/>
              <w:rPr>
                <w:rFonts w:ascii="Arial" w:hAnsi="Arial"/>
                <w:sz w:val="17"/>
              </w:rPr>
            </w:pPr>
            <w:r>
              <w:rPr>
                <w:rFonts w:ascii="Arial" w:hAnsi="Arial"/>
                <w:sz w:val="17"/>
              </w:rPr>
              <w:t>408</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1" w:type="dxa"/>
            <w:tcBorders/>
            <w:shd w:fill="auto" w:val="clear"/>
            <w:vAlign w:val="center"/>
          </w:tcPr>
          <w:p>
            <w:pPr>
              <w:pStyle w:val="TableContents"/>
              <w:spacing w:before="0" w:after="0"/>
              <w:jc w:val="right"/>
              <w:rPr>
                <w:rFonts w:ascii="Arial" w:hAnsi="Arial"/>
                <w:sz w:val="17"/>
              </w:rPr>
            </w:pPr>
            <w:r>
              <w:rPr>
                <w:rFonts w:ascii="Arial" w:hAnsi="Arial"/>
                <w:sz w:val="17"/>
              </w:rPr>
              <w:t>508</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(20</w:t>
            </w:r>
          </w:p>
        </w:tc>
        <w:tc>
          <w:tcPr>
            <w:tcW w:w="2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(21</w:t>
            </w:r>
          </w:p>
        </w:tc>
        <w:tc>
          <w:tcPr>
            <w:tcW w:w="29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National Security Solutions</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1,014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1,166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9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Corporate and other</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pPr>
            <w:r>
              <w:rPr/>
              <w:t>—</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Intersegment Elimination</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57"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1,420</w:t>
            </w:r>
          </w:p>
        </w:tc>
        <w:tc>
          <w:tcPr>
            <w:tcW w:w="1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1,673</w:t>
            </w:r>
          </w:p>
        </w:tc>
        <w:tc>
          <w:tcPr>
            <w:tcW w:w="15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(15</w:t>
            </w:r>
          </w:p>
        </w:tc>
        <w:tc>
          <w:tcPr>
            <w:tcW w:w="2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(16</w:t>
            </w:r>
          </w:p>
        </w:tc>
        <w:tc>
          <w:tcPr>
            <w:tcW w:w="29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2740" w:type="dxa"/>
            <w:gridSpan w:val="5"/>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Operating Margin</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2013</w:t>
            </w:r>
          </w:p>
        </w:tc>
        <w:tc>
          <w:tcPr>
            <w:tcW w:w="14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1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2012</w:t>
            </w:r>
          </w:p>
        </w:tc>
      </w:tr>
      <w:tr>
        <w:trPr/>
        <w:tc>
          <w:tcPr>
            <w:tcW w:w="4393"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Operating Income (Loss):</w:t>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Health and Engineering</w:t>
            </w:r>
          </w:p>
        </w:tc>
        <w:tc>
          <w:tcPr>
            <w:tcW w:w="163"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85" w:type="dxa"/>
            <w:tcBorders/>
            <w:shd w:fill="auto" w:val="clear"/>
            <w:vAlign w:val="center"/>
          </w:tcPr>
          <w:p>
            <w:pPr>
              <w:pStyle w:val="TableContents"/>
              <w:spacing w:before="0" w:after="0"/>
              <w:jc w:val="right"/>
              <w:rPr>
                <w:rFonts w:ascii="Arial" w:hAnsi="Arial"/>
                <w:sz w:val="17"/>
              </w:rPr>
            </w:pPr>
            <w:r>
              <w:rPr>
                <w:rFonts w:ascii="Arial" w:hAnsi="Arial"/>
                <w:sz w:val="17"/>
              </w:rPr>
              <w:t>(30</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1" w:type="dxa"/>
            <w:tcBorders/>
            <w:shd w:fill="auto" w:val="clear"/>
            <w:vAlign w:val="center"/>
          </w:tcPr>
          <w:p>
            <w:pPr>
              <w:pStyle w:val="TableContents"/>
              <w:spacing w:before="0" w:after="0"/>
              <w:jc w:val="right"/>
              <w:rPr>
                <w:rFonts w:ascii="Arial" w:hAnsi="Arial"/>
                <w:sz w:val="17"/>
              </w:rPr>
            </w:pPr>
            <w:r>
              <w:rPr>
                <w:rFonts w:ascii="Arial" w:hAnsi="Arial"/>
                <w:sz w:val="17"/>
              </w:rPr>
              <w:t>46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(7</w:t>
            </w:r>
          </w:p>
        </w:tc>
        <w:tc>
          <w:tcPr>
            <w:tcW w:w="2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9</w:t>
            </w:r>
          </w:p>
        </w:tc>
        <w:tc>
          <w:tcPr>
            <w:tcW w:w="290" w:type="dxa"/>
            <w:tcBorders/>
            <w:shd w:fill="auto" w:val="clear"/>
            <w:vAlign w:val="center"/>
          </w:tcPr>
          <w:p>
            <w:pPr>
              <w:pStyle w:val="TableContents"/>
              <w:spacing w:before="0" w:after="0"/>
              <w:ind w:left="0" w:right="0" w:firstLine="30"/>
              <w:jc w:val="left"/>
              <w:rPr/>
            </w:pPr>
            <w:r>
              <w:rPr/>
              <w:t> </w:t>
            </w: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National Security Solutions</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63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79</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72" w:type="dxa"/>
            <w:tcBorders/>
            <w:shd w:fill="auto" w:val="clear"/>
            <w:vAlign w:val="center"/>
          </w:tcPr>
          <w:p>
            <w:pPr>
              <w:pStyle w:val="TableContents"/>
              <w:spacing w:before="0" w:after="0"/>
              <w:ind w:left="0" w:right="0" w:firstLine="30"/>
              <w:jc w:val="left"/>
              <w:rPr/>
            </w:pPr>
            <w:r>
              <w:rPr/>
              <w:t> </w:t>
            </w: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7</w:t>
            </w:r>
          </w:p>
        </w:tc>
        <w:tc>
          <w:tcPr>
            <w:tcW w:w="290" w:type="dxa"/>
            <w:tcBorders/>
            <w:shd w:fill="auto" w:val="clear"/>
            <w:vAlign w:val="center"/>
          </w:tcPr>
          <w:p>
            <w:pPr>
              <w:pStyle w:val="TableContents"/>
              <w:spacing w:before="0" w:after="0"/>
              <w:ind w:left="0" w:right="0" w:firstLine="30"/>
              <w:jc w:val="left"/>
              <w:rPr/>
            </w:pPr>
            <w:r>
              <w:rPr/>
              <w:t> </w:t>
            </w: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Corporate and Other</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(40</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(25</w:t>
            </w:r>
          </w:p>
        </w:tc>
        <w:tc>
          <w:tcPr>
            <w:tcW w:w="157"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(7</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100</w:t>
            </w:r>
          </w:p>
        </w:tc>
        <w:tc>
          <w:tcPr>
            <w:tcW w:w="15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pPr>
            <w:r>
              <w:rPr/>
              <w:t>—</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90" w:type="dxa"/>
            <w:tcBorders/>
            <w:shd w:fill="auto" w:val="clear"/>
            <w:vAlign w:val="center"/>
          </w:tcPr>
          <w:p>
            <w:pPr>
              <w:pStyle w:val="TableContents"/>
              <w:spacing w:before="0" w:after="0"/>
              <w:ind w:left="0" w:right="0" w:firstLine="30"/>
              <w:jc w:val="left"/>
              <w:rPr/>
            </w:pPr>
            <w:r>
              <w:rPr/>
              <w:t> </w:t>
            </w: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29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Nine Months Ended</w:t>
            </w:r>
          </w:p>
        </w:tc>
        <w:tc>
          <w:tcPr>
            <w:tcW w:w="142" w:type="dxa"/>
            <w:tcBorders/>
            <w:shd w:fill="auto" w:val="clear"/>
            <w:vAlign w:val="center"/>
          </w:tcPr>
          <w:p>
            <w:pPr>
              <w:pStyle w:val="TableContents"/>
              <w:spacing w:before="0" w:after="0"/>
              <w:ind w:left="0" w:right="0" w:firstLine="30"/>
              <w:rPr/>
            </w:pPr>
            <w:r>
              <w:rPr/>
              <w:t> </w:t>
            </w:r>
          </w:p>
        </w:tc>
        <w:tc>
          <w:tcPr>
            <w:tcW w:w="2740" w:type="dxa"/>
            <w:gridSpan w:val="5"/>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November 1,</w:t>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October 31,</w:t>
            </w:r>
          </w:p>
        </w:tc>
        <w:tc>
          <w:tcPr>
            <w:tcW w:w="142" w:type="dxa"/>
            <w:tcBorders/>
            <w:shd w:fill="auto" w:val="clear"/>
            <w:vAlign w:val="center"/>
          </w:tcPr>
          <w:p>
            <w:pPr>
              <w:pStyle w:val="TableContents"/>
              <w:spacing w:before="0" w:after="0"/>
              <w:ind w:left="0" w:right="0" w:firstLine="30"/>
              <w:rPr/>
            </w:pPr>
            <w:r>
              <w:rPr/>
              <w:t> </w:t>
            </w:r>
          </w:p>
        </w:tc>
        <w:tc>
          <w:tcPr>
            <w:tcW w:w="2740" w:type="dxa"/>
            <w:gridSpan w:val="5"/>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Revenue Growth (%)</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2013</w:t>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2012</w:t>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Total</w:t>
            </w:r>
          </w:p>
        </w:tc>
        <w:tc>
          <w:tcPr>
            <w:tcW w:w="14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1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Internal</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2930" w:type="dxa"/>
            <w:gridSpan w:val="7"/>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t>($ millions)</w:t>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Revenues:</w:t>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Health and Engineering</w:t>
            </w:r>
          </w:p>
        </w:tc>
        <w:tc>
          <w:tcPr>
            <w:tcW w:w="163"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85" w:type="dxa"/>
            <w:tcBorders/>
            <w:shd w:fill="auto" w:val="clear"/>
            <w:vAlign w:val="center"/>
          </w:tcPr>
          <w:p>
            <w:pPr>
              <w:pStyle w:val="TableContents"/>
              <w:spacing w:before="0" w:after="0"/>
              <w:jc w:val="right"/>
              <w:rPr>
                <w:rFonts w:ascii="Arial" w:hAnsi="Arial"/>
                <w:sz w:val="17"/>
              </w:rPr>
            </w:pPr>
            <w:r>
              <w:rPr>
                <w:rFonts w:ascii="Arial" w:hAnsi="Arial"/>
                <w:sz w:val="17"/>
              </w:rPr>
              <w:t>1,380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1" w:type="dxa"/>
            <w:tcBorders/>
            <w:shd w:fill="auto" w:val="clear"/>
            <w:vAlign w:val="center"/>
          </w:tcPr>
          <w:p>
            <w:pPr>
              <w:pStyle w:val="TableContents"/>
              <w:spacing w:before="0" w:after="0"/>
              <w:jc w:val="right"/>
              <w:rPr>
                <w:rFonts w:ascii="Arial" w:hAnsi="Arial"/>
                <w:sz w:val="17"/>
              </w:rPr>
            </w:pPr>
            <w:r>
              <w:rPr>
                <w:rFonts w:ascii="Arial" w:hAnsi="Arial"/>
                <w:sz w:val="17"/>
              </w:rPr>
              <w:t>1,341</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272" w:type="dxa"/>
            <w:tcBorders/>
            <w:shd w:fill="auto" w:val="clear"/>
            <w:vAlign w:val="center"/>
          </w:tcPr>
          <w:p>
            <w:pPr>
              <w:pStyle w:val="TableContents"/>
              <w:spacing w:before="0" w:after="0"/>
              <w:ind w:left="0" w:right="0" w:firstLine="30"/>
              <w:jc w:val="left"/>
              <w:rPr/>
            </w:pPr>
            <w:r>
              <w:rPr/>
              <w:t> </w:t>
            </w: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(7</w:t>
            </w:r>
          </w:p>
        </w:tc>
        <w:tc>
          <w:tcPr>
            <w:tcW w:w="29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National Security Solutions</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3,117</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3,563</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9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Corporate and Other</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(8</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57"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Intersegment Elimination</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(4</w:t>
            </w:r>
          </w:p>
        </w:tc>
        <w:tc>
          <w:tcPr>
            <w:tcW w:w="157"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4,486</w:t>
            </w:r>
          </w:p>
        </w:tc>
        <w:tc>
          <w:tcPr>
            <w:tcW w:w="1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4,899</w:t>
            </w:r>
          </w:p>
        </w:tc>
        <w:tc>
          <w:tcPr>
            <w:tcW w:w="15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(8</w:t>
            </w:r>
          </w:p>
        </w:tc>
        <w:tc>
          <w:tcPr>
            <w:tcW w:w="2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(11</w:t>
            </w:r>
          </w:p>
        </w:tc>
        <w:tc>
          <w:tcPr>
            <w:tcW w:w="29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2740" w:type="dxa"/>
            <w:gridSpan w:val="5"/>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Operating Margin</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2013</w:t>
            </w:r>
          </w:p>
        </w:tc>
        <w:tc>
          <w:tcPr>
            <w:tcW w:w="14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1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2012</w:t>
            </w:r>
          </w:p>
        </w:tc>
      </w:tr>
      <w:tr>
        <w:trPr/>
        <w:tc>
          <w:tcPr>
            <w:tcW w:w="4393"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Operating Income (Loss):</w:t>
            </w:r>
          </w:p>
        </w:tc>
        <w:tc>
          <w:tcPr>
            <w:tcW w:w="1413"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7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280"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42"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Health and Engineering</w:t>
            </w:r>
          </w:p>
        </w:tc>
        <w:tc>
          <w:tcPr>
            <w:tcW w:w="163"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85" w:type="dxa"/>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1" w:type="dxa"/>
            <w:tcBorders/>
            <w:shd w:fill="auto" w:val="clear"/>
            <w:vAlign w:val="center"/>
          </w:tcPr>
          <w:p>
            <w:pPr>
              <w:pStyle w:val="TableContents"/>
              <w:spacing w:before="0" w:after="0"/>
              <w:jc w:val="right"/>
              <w:rPr>
                <w:rFonts w:ascii="Arial" w:hAnsi="Arial"/>
                <w:sz w:val="17"/>
              </w:rPr>
            </w:pPr>
            <w:r>
              <w:rPr>
                <w:rFonts w:ascii="Arial" w:hAnsi="Arial"/>
                <w:sz w:val="17"/>
              </w:rPr>
              <w:t>107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pPr>
            <w:r>
              <w:rPr/>
              <w:t>—</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8</w:t>
            </w:r>
          </w:p>
        </w:tc>
        <w:tc>
          <w:tcPr>
            <w:tcW w:w="290" w:type="dxa"/>
            <w:tcBorders/>
            <w:shd w:fill="auto" w:val="clear"/>
            <w:vAlign w:val="center"/>
          </w:tcPr>
          <w:p>
            <w:pPr>
              <w:pStyle w:val="TableContents"/>
              <w:spacing w:before="0" w:after="0"/>
              <w:ind w:left="0" w:right="0" w:firstLine="30"/>
              <w:jc w:val="left"/>
              <w:rPr/>
            </w:pPr>
            <w:r>
              <w:rPr/>
              <w:t> </w:t>
            </w: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National Security Solutions</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195</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260</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72" w:type="dxa"/>
            <w:tcBorders/>
            <w:shd w:fill="auto" w:val="clear"/>
            <w:vAlign w:val="center"/>
          </w:tcPr>
          <w:p>
            <w:pPr>
              <w:pStyle w:val="TableContents"/>
              <w:spacing w:before="0" w:after="0"/>
              <w:ind w:left="0" w:right="0" w:firstLine="30"/>
              <w:jc w:val="left"/>
              <w:rPr/>
            </w:pPr>
            <w:r>
              <w:rPr/>
              <w:t> </w:t>
            </w: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7</w:t>
            </w:r>
          </w:p>
        </w:tc>
        <w:tc>
          <w:tcPr>
            <w:tcW w:w="290" w:type="dxa"/>
            <w:tcBorders/>
            <w:shd w:fill="auto" w:val="clear"/>
            <w:vAlign w:val="center"/>
          </w:tcPr>
          <w:p>
            <w:pPr>
              <w:pStyle w:val="TableContents"/>
              <w:spacing w:before="0" w:after="0"/>
              <w:ind w:left="0" w:right="0" w:firstLine="30"/>
              <w:jc w:val="left"/>
              <w:rPr/>
            </w:pPr>
            <w:r>
              <w:rPr/>
              <w:t> </w:t>
            </w:r>
            <w:r>
              <w:rPr>
                <w:rFonts w:ascii="Arial" w:hAnsi="Arial"/>
                <w:sz w:val="17"/>
              </w:rPr>
              <w:t>%</w:t>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Corporate and Other</w:t>
            </w:r>
          </w:p>
        </w:tc>
        <w:tc>
          <w:tcPr>
            <w:tcW w:w="1248" w:type="dxa"/>
            <w:gridSpan w:val="2"/>
            <w:tcBorders/>
            <w:shd w:fill="auto" w:val="clear"/>
            <w:vAlign w:val="center"/>
          </w:tcPr>
          <w:p>
            <w:pPr>
              <w:pStyle w:val="TableContents"/>
              <w:spacing w:before="0" w:after="0"/>
              <w:jc w:val="right"/>
              <w:rPr>
                <w:rFonts w:ascii="Arial" w:hAnsi="Arial"/>
                <w:sz w:val="17"/>
              </w:rPr>
            </w:pPr>
            <w:r>
              <w:rPr>
                <w:rFonts w:ascii="Arial" w:hAnsi="Arial"/>
                <w:sz w:val="17"/>
              </w:rPr>
              <w:t>(128</w:t>
            </w:r>
          </w:p>
        </w:tc>
        <w:tc>
          <w:tcPr>
            <w:tcW w:w="1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Arial" w:hAnsi="Arial"/>
                <w:sz w:val="17"/>
              </w:rPr>
            </w:pPr>
            <w:r>
              <w:rPr>
                <w:rFonts w:ascii="Arial" w:hAnsi="Arial"/>
                <w:sz w:val="17"/>
              </w:rPr>
              <w:t>(53</w:t>
            </w:r>
          </w:p>
        </w:tc>
        <w:tc>
          <w:tcPr>
            <w:tcW w:w="157"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N/A</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69</w:t>
            </w:r>
          </w:p>
        </w:tc>
        <w:tc>
          <w:tcPr>
            <w:tcW w:w="1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314</w:t>
            </w:r>
          </w:p>
        </w:tc>
        <w:tc>
          <w:tcPr>
            <w:tcW w:w="15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008" w:type="dxa"/>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272" w:type="dxa"/>
            <w:tcBorders/>
            <w:shd w:fill="auto" w:val="clear"/>
            <w:vAlign w:val="center"/>
          </w:tcPr>
          <w:p>
            <w:pPr>
              <w:pStyle w:val="TableContents"/>
              <w:spacing w:before="0" w:after="0"/>
              <w:ind w:left="0" w:right="0" w:firstLine="30"/>
              <w:jc w:val="left"/>
              <w:rPr/>
            </w:pPr>
            <w:r>
              <w:rPr/>
              <w:t> </w:t>
            </w:r>
            <w:r>
              <w:rPr>
                <w:rFonts w:ascii="Arial" w:hAnsi="Arial"/>
                <w:sz w:val="17"/>
              </w:rPr>
              <w:t>%</w:t>
            </w:r>
          </w:p>
        </w:tc>
        <w:tc>
          <w:tcPr>
            <w:tcW w:w="142" w:type="dxa"/>
            <w:tcBorders/>
            <w:shd w:fill="auto" w:val="clear"/>
            <w:vAlign w:val="center"/>
          </w:tcPr>
          <w:p>
            <w:pPr>
              <w:pStyle w:val="TableContents"/>
              <w:spacing w:before="0" w:after="0"/>
              <w:ind w:left="0" w:right="0" w:firstLine="30"/>
              <w:rPr/>
            </w:pPr>
            <w:r>
              <w:rPr/>
              <w:t> </w:t>
            </w:r>
          </w:p>
        </w:tc>
        <w:tc>
          <w:tcPr>
            <w:tcW w:w="1028" w:type="dxa"/>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90" w:type="dxa"/>
            <w:tcBorders/>
            <w:shd w:fill="auto" w:val="clear"/>
            <w:vAlign w:val="center"/>
          </w:tcPr>
          <w:p>
            <w:pPr>
              <w:pStyle w:val="TableContents"/>
              <w:spacing w:before="0" w:after="0"/>
              <w:jc w:val="left"/>
              <w:rPr/>
            </w:pPr>
            <w:r>
              <w:rPr/>
              <w:t> </w:t>
            </w:r>
            <w:r>
              <w:rPr>
                <w:rFonts w:ascii="Arial" w:hAnsi="Arial"/>
                <w:sz w:val="17"/>
              </w:rPr>
              <w:t>%</w:t>
            </w:r>
          </w:p>
        </w:tc>
      </w:tr>
    </w:tbl>
    <w:p>
      <w:pPr>
        <w:pStyle w:val="TextBody"/>
        <w:spacing w:lineRule="auto" w:line="288" w:before="0" w:after="0"/>
        <w:rPr>
          <w:rFonts w:ascii="Arial" w:hAnsi="Arial"/>
          <w:sz w:val="17"/>
        </w:rPr>
      </w:pPr>
      <w:r>
        <w:rPr>
          <w:rFonts w:ascii="Arial" w:hAnsi="Arial"/>
          <w:sz w:val="17"/>
        </w:rPr>
      </w:r>
    </w:p>
    <w:p>
      <w:pPr>
        <w:pStyle w:val="TextBody"/>
        <w:spacing w:before="0" w:after="0"/>
        <w:rPr/>
      </w:pPr>
      <w:r>
        <w:rPr/>
      </w:r>
    </w:p>
    <w:p>
      <w:pPr>
        <w:pStyle w:val="TextBody"/>
        <w:spacing w:lineRule="auto" w:line="288"/>
        <w:jc w:val="center"/>
        <w:rPr>
          <w:rFonts w:ascii="Arial" w:hAnsi="Arial"/>
          <w:sz w:val="17"/>
        </w:rPr>
      </w:pPr>
      <w:r>
        <w:rPr>
          <w:rFonts w:ascii="Arial" w:hAnsi="Arial"/>
          <w:sz w:val="17"/>
        </w:rPr>
        <w:t>2</w:t>
      </w:r>
      <w:r>
        <w:br w:type="page"/>
      </w:r>
    </w:p>
    <w:p>
      <w:pPr>
        <w:pStyle w:val="TextBody"/>
        <w:spacing w:before="0" w:after="0"/>
        <w:rPr/>
      </w:pPr>
      <w:r>
        <w:rPr/>
      </w:r>
      <w:bookmarkStart w:id="19" w:name="s71a18c39de6e4034b32129526ea75a2b"/>
      <w:bookmarkStart w:id="20" w:name="s71a18c39de6e4034b32129526ea75a2b"/>
      <w:bookmarkEnd w:id="20"/>
    </w:p>
    <w:p>
      <w:pPr>
        <w:pStyle w:val="TextBody"/>
        <w:spacing w:lineRule="auto" w:line="288" w:before="0" w:after="0"/>
        <w:jc w:val="left"/>
        <w:rPr>
          <w:rFonts w:ascii="Arial" w:hAnsi="Arial"/>
          <w:sz w:val="17"/>
          <w:u w:val="single"/>
        </w:rPr>
      </w:pPr>
      <w:r>
        <w:rPr>
          <w:rFonts w:ascii="Arial" w:hAnsi="Arial"/>
          <w:sz w:val="17"/>
          <w:u w:val="single"/>
        </w:rPr>
        <w:t>Health and Engineering</w:t>
      </w:r>
    </w:p>
    <w:p>
      <w:pPr>
        <w:pStyle w:val="TextBody"/>
        <w:spacing w:lineRule="auto" w:line="288" w:before="0" w:after="0"/>
        <w:jc w:val="left"/>
        <w:rPr>
          <w:rFonts w:ascii="Arial" w:hAnsi="Arial"/>
          <w:sz w:val="17"/>
        </w:rPr>
      </w:pPr>
      <w:r>
        <w:rPr>
          <w:rFonts w:ascii="Arial" w:hAnsi="Arial"/>
          <w:sz w:val="17"/>
        </w:rPr>
        <w:t xml:space="preserve">Health and Engineering revenues decreased $100 million, or 20 percent, for the third quarter of fiscal year 2014 as compared to the third quarter of fiscal year 2013. Revenue contraction would have been 19 percent without the negative impact of $5 million in revenues for the one less working day as compared to the third quarter of fiscal year 2013. Revenue contraction reflects a decline in our health business driven by program completions, lower new program starts and hospital budgets that have experienced reductions in reimbursements from U.S. Government funding, including reductions in Medicare reimbursements which in turn impact hospital IT spending trends, a decline in engineering services primarily related to energy design-build construction programs nearing completion and decreased unit deliveries and related maintenance of our non-intrusive inspection engineering products. </w:t>
      </w:r>
    </w:p>
    <w:p>
      <w:pPr>
        <w:pStyle w:val="TextBody"/>
        <w:spacing w:lineRule="auto" w:line="288" w:before="0" w:after="0"/>
        <w:jc w:val="left"/>
        <w:rPr>
          <w:rFonts w:ascii="Arial" w:hAnsi="Arial"/>
          <w:sz w:val="17"/>
        </w:rPr>
      </w:pPr>
      <w:r>
        <w:rPr>
          <w:rFonts w:ascii="Arial" w:hAnsi="Arial"/>
          <w:sz w:val="17"/>
        </w:rPr>
        <w:t xml:space="preserve">Health and Engineering operating income decreased $76 million, or 165 percent, for the third quarter of fiscal year 2014 as compared to the third quarter of fiscal year 2013. The decrease was primarily attributable to bad debt expense for receivables related to two energy design-build construction projects (Plainfield and Gradient), intangible asset impairment charges associated with two commercial health acquisitions and lower revenues. </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Health and Engineering Sector President Joe Craver is stepping aside as head of the business segment. The Board of Directors and Leidos executive management agree this segment will benefit from new leadership. Jumper will step in immediately as acting head of the Health and Engineering Sector while a search is launched for a new leader.</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pPr>
      <w:r>
        <w:rPr/>
        <w:t>“</w:t>
      </w:r>
      <w:r>
        <w:rPr>
          <w:rFonts w:ascii="Arial" w:hAnsi="Arial"/>
          <w:sz w:val="17"/>
        </w:rPr>
        <w:t xml:space="preserve">We thank Joe for his 24 years of dedicated service to the company and wish him the best as he moves forward,” said Jumper. </w:t>
      </w:r>
    </w:p>
    <w:p>
      <w:pPr>
        <w:pStyle w:val="TextBody"/>
        <w:spacing w:lineRule="auto" w:line="288" w:before="0" w:after="0"/>
        <w:jc w:val="left"/>
        <w:rPr>
          <w:rFonts w:ascii="Arial" w:hAnsi="Arial"/>
          <w:sz w:val="17"/>
          <w:u w:val="single"/>
        </w:rPr>
      </w:pPr>
      <w:bookmarkStart w:id="21" w:name="sfad7a0f4b7cf462bac1119bc4f751023"/>
      <w:bookmarkEnd w:id="21"/>
      <w:r>
        <w:rPr>
          <w:rFonts w:ascii="Arial" w:hAnsi="Arial"/>
          <w:sz w:val="17"/>
          <w:u w:val="single"/>
        </w:rPr>
        <w:t>National Security Solutions</w:t>
      </w:r>
    </w:p>
    <w:p>
      <w:pPr>
        <w:pStyle w:val="TextBody"/>
        <w:spacing w:lineRule="auto" w:line="288" w:before="0" w:after="0"/>
        <w:jc w:val="left"/>
        <w:rPr>
          <w:rFonts w:ascii="Arial" w:hAnsi="Arial"/>
          <w:sz w:val="17"/>
        </w:rPr>
      </w:pPr>
      <w:r>
        <w:rPr>
          <w:rFonts w:ascii="Arial" w:hAnsi="Arial"/>
          <w:sz w:val="17"/>
        </w:rPr>
        <w:t xml:space="preserve">National Security Solutions revenues decreased $152 million, or 13 percent, for the third quarter of fiscal year 2014 as compared to the third quarter of fiscal year 2013. Revenue contraction for the quarter would have been 12 percent without the negative impact of $16 million in revenues for the one less working day as compared to the third quarter of fiscal year 2013. Revenue contraction was primarily attributable to the ramp down of the JLI program for tactical mine resistant ambush protected vehicles and the completion of several intelligence programs, with the remainder of the decline driven by the reduction of the U.S. Government budget resulting from sequestration and drawdowns of overseas U.S. military forces. This contraction was partially offset by increased revenues related to several new intelligence contracts for classified customers and two new intelligence information processing, exploitation and dissemination contracts. </w:t>
      </w:r>
    </w:p>
    <w:p>
      <w:pPr>
        <w:pStyle w:val="TextBody"/>
        <w:spacing w:lineRule="auto" w:line="288" w:before="0" w:after="0"/>
        <w:jc w:val="left"/>
        <w:rPr>
          <w:rFonts w:ascii="Arial" w:hAnsi="Arial"/>
          <w:sz w:val="17"/>
        </w:rPr>
      </w:pPr>
      <w:r>
        <w:rPr>
          <w:rFonts w:ascii="Arial" w:hAnsi="Arial"/>
          <w:sz w:val="17"/>
        </w:rPr>
        <w:t xml:space="preserve">National Security Solutions operating income decreased $16 million, or 20 percent, for the third quarter of fiscal year 2014 as compared to the third quarter of fiscal year 2013. This decrease was primarily attributable to lower revenues and additional direct costs for work assumed to be at risk. </w:t>
      </w:r>
    </w:p>
    <w:p>
      <w:pPr>
        <w:pStyle w:val="TextBody"/>
        <w:spacing w:lineRule="auto" w:line="288" w:before="0" w:after="0"/>
        <w:jc w:val="left"/>
        <w:rPr>
          <w:rFonts w:ascii="Arial" w:hAnsi="Arial"/>
          <w:sz w:val="17"/>
          <w:u w:val="single"/>
        </w:rPr>
      </w:pPr>
      <w:bookmarkStart w:id="22" w:name="sdaa151a5549d4859a84fa4d743defdae"/>
      <w:bookmarkEnd w:id="22"/>
      <w:r>
        <w:rPr>
          <w:rFonts w:ascii="Arial" w:hAnsi="Arial"/>
          <w:sz w:val="17"/>
          <w:u w:val="single"/>
        </w:rPr>
        <w:t>Corporate and Other</w:t>
      </w:r>
    </w:p>
    <w:p>
      <w:pPr>
        <w:pStyle w:val="TextBody"/>
        <w:spacing w:lineRule="auto" w:line="288" w:before="0" w:after="0"/>
        <w:jc w:val="left"/>
        <w:rPr>
          <w:rFonts w:ascii="Arial" w:hAnsi="Arial"/>
          <w:sz w:val="17"/>
        </w:rPr>
      </w:pPr>
      <w:r>
        <w:rPr>
          <w:rFonts w:ascii="Arial" w:hAnsi="Arial"/>
          <w:sz w:val="17"/>
        </w:rPr>
        <w:t>Corporate and Other segment operating loss for the quarter increased $15 million or 60 percent, from the third quarter of fiscal year 2014 as compared to the third quarter of fiscal year 2013. The increase was primarily due to expenses incurred in connection with the planned separation transaction and restructuring expenses of $25 million which was primarily comprised of lease termination and facility consolidation expenses of $17 million and strategic advisory services of $5 million. There were also costs to establish infrastructures for Leidos and New SAIC as separate stand-alone companies of $11 million which were partially offset by costs allocated to the other reporting segments of $9 million as well as a reduction in other unallocable corporate costs.</w:t>
      </w:r>
    </w:p>
    <w:p>
      <w:pPr>
        <w:pStyle w:val="TextBody"/>
        <w:spacing w:lineRule="auto" w:line="288" w:before="0" w:after="0"/>
        <w:jc w:val="left"/>
        <w:rPr>
          <w:rFonts w:ascii="Arial" w:hAnsi="Arial"/>
          <w:b/>
          <w:sz w:val="17"/>
        </w:rPr>
      </w:pPr>
      <w:bookmarkStart w:id="23" w:name="s9290c116eaee4ef5866f641594159845"/>
      <w:bookmarkEnd w:id="23"/>
      <w:r>
        <w:rPr>
          <w:rFonts w:ascii="Arial" w:hAnsi="Arial"/>
          <w:b/>
          <w:sz w:val="17"/>
        </w:rPr>
        <w:t>Cash Generation and Capital Deployment</w:t>
      </w:r>
    </w:p>
    <w:p>
      <w:pPr>
        <w:pStyle w:val="TextBody"/>
        <w:spacing w:lineRule="auto" w:line="288" w:before="0" w:after="0"/>
        <w:jc w:val="left"/>
        <w:rPr>
          <w:rFonts w:ascii="Arial" w:hAnsi="Arial"/>
          <w:sz w:val="17"/>
        </w:rPr>
      </w:pPr>
      <w:r>
        <w:rPr>
          <w:rFonts w:ascii="Arial" w:hAnsi="Arial"/>
          <w:sz w:val="17"/>
        </w:rPr>
        <w:t>Cash flow provided by continuing operations for the quarter was $49 million, down $137 million from the third quarter of fiscal year 2013, primarily due to an increase in days sales outstanding to 74 days this quarter compared to 64 days in the prior year quarter as a result of a slowdown in payments from the U.S. Government impacted by the discontinuance of the U.S. Government's accelerated payment initiative that encouraged agencies to more timely pay contractors, our system shutdown to effect the spin-off of New SAIC which caused delays in our customer invoicing, and our name change which was further impacted by the U.S. Government shutdown in October 2013.</w:t>
      </w:r>
    </w:p>
    <w:p>
      <w:pPr>
        <w:pStyle w:val="TextBody"/>
        <w:spacing w:before="0" w:after="0"/>
        <w:rPr/>
      </w:pPr>
      <w:r>
        <w:rPr/>
      </w:r>
    </w:p>
    <w:p>
      <w:pPr>
        <w:pStyle w:val="TextBody"/>
        <w:spacing w:lineRule="auto" w:line="288"/>
        <w:jc w:val="center"/>
        <w:rPr>
          <w:rFonts w:ascii="Arial" w:hAnsi="Arial"/>
          <w:sz w:val="17"/>
        </w:rPr>
      </w:pPr>
      <w:r>
        <w:rPr>
          <w:rFonts w:ascii="Arial" w:hAnsi="Arial"/>
          <w:sz w:val="17"/>
        </w:rPr>
        <w:t>3</w:t>
      </w:r>
      <w:r>
        <w:br w:type="page"/>
      </w:r>
    </w:p>
    <w:p>
      <w:pPr>
        <w:pStyle w:val="TextBody"/>
        <w:spacing w:before="0" w:after="0"/>
        <w:rPr/>
      </w:pPr>
      <w:r>
        <w:rPr/>
      </w:r>
    </w:p>
    <w:p>
      <w:pPr>
        <w:pStyle w:val="TextBody"/>
        <w:spacing w:lineRule="auto" w:line="288" w:before="0" w:after="0"/>
        <w:jc w:val="left"/>
        <w:rPr>
          <w:rFonts w:ascii="Arial" w:hAnsi="Arial"/>
          <w:sz w:val="17"/>
        </w:rPr>
      </w:pPr>
      <w:r>
        <w:rPr>
          <w:rFonts w:ascii="Arial" w:hAnsi="Arial"/>
          <w:sz w:val="17"/>
        </w:rPr>
        <w:t xml:space="preserve">During the quarter, the Company paid a cash dividend of $0.32 per share. On December 6, 2013, the Company's Board of Directors declared a quarterly cash dividend of $0.32 per share payable on January 30, 2014 to stockholders of record as of the close of business on January 15, 2014. The Company intends to continue paying dividends on a quarterly basis, although the declaration of any future dividends will be determined by the Company’s Board of Directors each quarter and will depend on earnings, financial condition, capital requirements and other factors. </w:t>
      </w:r>
    </w:p>
    <w:p>
      <w:pPr>
        <w:pStyle w:val="TextBody"/>
        <w:spacing w:lineRule="auto" w:line="288" w:before="0" w:after="0"/>
        <w:jc w:val="left"/>
        <w:rPr>
          <w:rFonts w:ascii="Arial" w:hAnsi="Arial"/>
          <w:sz w:val="17"/>
        </w:rPr>
      </w:pPr>
      <w:r>
        <w:rPr>
          <w:rFonts w:ascii="Arial" w:hAnsi="Arial"/>
          <w:sz w:val="17"/>
        </w:rPr>
        <w:t>On December 6, 2013, the Company's Board of Directors authorized the repurchase of up to 20 million shares of the Company's outstanding common stock through one or more open market repurchases or privately negotiated transactions. This share repurchase authorization replaces the Board's previous share repurchase authorization in March 2012.</w:t>
      </w:r>
    </w:p>
    <w:p>
      <w:pPr>
        <w:pStyle w:val="TextBody"/>
        <w:spacing w:lineRule="auto" w:line="288" w:before="0" w:after="0"/>
        <w:rPr>
          <w:rFonts w:ascii="Arial" w:hAnsi="Arial"/>
          <w:sz w:val="17"/>
        </w:rPr>
      </w:pPr>
      <w:r>
        <w:rPr>
          <w:rFonts w:ascii="Arial" w:hAnsi="Arial"/>
          <w:sz w:val="17"/>
        </w:rPr>
        <w:t>As of November 1, 2013, the Company had $814 million in cash and cash equivalents and $1.3 billion in long-term debt. As part of the acquisition of Plainfield Renewable Energy Holdings, LLC, the Company assumed two secured notes payable aggregating $149 million. On December 6, 2013, the Company agreed to pay off both notes in December 2013 for $165 million.</w:t>
      </w:r>
    </w:p>
    <w:p>
      <w:pPr>
        <w:pStyle w:val="TextBody"/>
        <w:spacing w:lineRule="auto" w:line="288" w:before="0" w:after="0"/>
        <w:jc w:val="left"/>
        <w:rPr>
          <w:rFonts w:ascii="Arial" w:hAnsi="Arial"/>
          <w:b/>
          <w:sz w:val="17"/>
        </w:rPr>
      </w:pPr>
      <w:bookmarkStart w:id="24" w:name="sd81d1957e9e14139bf3285ad879ddf1f"/>
      <w:bookmarkEnd w:id="24"/>
      <w:r>
        <w:rPr>
          <w:rFonts w:ascii="Arial" w:hAnsi="Arial"/>
          <w:b/>
          <w:sz w:val="17"/>
        </w:rPr>
        <w:t>New Business Awards</w:t>
      </w:r>
    </w:p>
    <w:p>
      <w:pPr>
        <w:pStyle w:val="TextBody"/>
        <w:spacing w:lineRule="auto" w:line="288" w:before="0" w:after="0"/>
        <w:jc w:val="left"/>
        <w:rPr>
          <w:rFonts w:ascii="Arial" w:hAnsi="Arial"/>
          <w:sz w:val="17"/>
        </w:rPr>
      </w:pPr>
      <w:r>
        <w:rPr>
          <w:rFonts w:ascii="Arial" w:hAnsi="Arial"/>
          <w:sz w:val="17"/>
        </w:rPr>
        <w:t>Net business bookings totaled $2.39 billion in the third quarter of fiscal year 2014, representing a book-to-bill ratio of 1.7.  Notable recent awards received include: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Arial" w:hAnsi="Arial"/>
                <w:b/>
                <w:sz w:val="17"/>
              </w:rPr>
              <w:t xml:space="preserve">Department of Homeland Security. </w:t>
            </w:r>
            <w:r>
              <w:rPr>
                <w:rFonts w:ascii="Arial" w:hAnsi="Arial"/>
                <w:sz w:val="17"/>
              </w:rPr>
              <w:t>The Company was awarded a prime contract by the Department of Homeland Security to provide tools and services to implement continuous monitoring through the Continuous Diagnostics and Mitigation (CDM) Tools and Continuous Monitoring as a Service contract. The multiple-award blanket purchase agreement administered by the General Services Administration, Federal Systems Integration and Management Center, has a one-year base period of performance, four one-year options, and a total contract value of up to $6 billion, if all options are exercised.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Arial" w:hAnsi="Arial"/>
                <w:b/>
                <w:sz w:val="17"/>
              </w:rPr>
              <w:t>U.S. Federal Government.</w:t>
            </w:r>
            <w:r>
              <w:rPr>
                <w:sz w:val="17"/>
              </w:rPr>
              <w:t xml:space="preserve"> </w:t>
            </w:r>
            <w:r>
              <w:rPr>
                <w:rFonts w:ascii="Arial" w:hAnsi="Arial"/>
                <w:sz w:val="17"/>
              </w:rPr>
              <w:t>The Company was awarded $1.1 billion, if all options are exercised, in 152 separate awards by U.S. Federal Government clients in the national security and intelligence communities. Though the specific nature of these contracts is classified, they all encompass mission-critical services that help to counter global threats and strengthen national security.</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Arial" w:hAnsi="Arial"/>
                <w:b/>
                <w:sz w:val="17"/>
              </w:rPr>
              <w:t xml:space="preserve">Transportation Security Administration. </w:t>
            </w:r>
            <w:r>
              <w:rPr>
                <w:rFonts w:ascii="Arial" w:hAnsi="Arial"/>
                <w:sz w:val="17"/>
              </w:rPr>
              <w:t>The Company was awarded a prime contract by the Transportation Security Administration (TSA) to sustain Government Transportation Security Equipment, which account for more than 11,250 pieces of passenger screening equipment. The contract was awarded under the TSA Integrated Logistics Support program. The single-award, fixed-price contract has a four-month base period of performance, four one-year options, and a total contract value of approximately $442 million, if all options are exercised.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Arial" w:hAnsi="Arial"/>
                <w:b/>
                <w:sz w:val="17"/>
              </w:rPr>
              <w:t xml:space="preserve">Defense Health Agency. </w:t>
            </w:r>
            <w:r>
              <w:rPr>
                <w:rFonts w:ascii="Arial" w:hAnsi="Arial"/>
                <w:sz w:val="17"/>
              </w:rPr>
              <w:t>The Company was awarded a prime contract by the Defense Health Agency to provide consultative, analytical, decision making, managerial, and implementation support services for a Nurse Advice Line that will support the Military Health System. The single-award firm fixed-price contract has a one-year base period of performance, four one-year options, and a total contract value of approximately $178 million, if all options are exercised.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Arial" w:hAnsi="Arial"/>
                <w:b/>
                <w:sz w:val="17"/>
              </w:rPr>
              <w:t xml:space="preserve">LSB Industries, Inc. </w:t>
            </w:r>
            <w:r>
              <w:rPr>
                <w:rFonts w:ascii="Arial" w:hAnsi="Arial"/>
                <w:sz w:val="17"/>
              </w:rPr>
              <w:t>The Company was awarded a prime contract by LSB Industries, Inc. to provide engineering, procurement, and construction services, managing the design and construction of an ammonia plant and associated facilities. The single-award cost-plus fixed-fee contract has a two year period of performance with no financing obligations and a total contract value of approximately $118 million. </w:t>
            </w:r>
          </w:p>
        </w:tc>
      </w:tr>
    </w:tbl>
    <w:p>
      <w:pPr>
        <w:pStyle w:val="TextBody"/>
        <w:spacing w:lineRule="auto" w:line="288" w:before="0" w:after="0"/>
        <w:jc w:val="left"/>
        <w:rPr>
          <w:rFonts w:ascii="Arial" w:hAnsi="Arial"/>
          <w:sz w:val="17"/>
        </w:rPr>
      </w:pPr>
      <w:r>
        <w:rPr>
          <w:rFonts w:ascii="Arial" w:hAnsi="Arial"/>
          <w:sz w:val="17"/>
        </w:rPr>
        <w:t>The Company’s backlog of signed business orders at the end of the third quarter of fiscal year 2014 was $9.98 billion, of which $3.00 billion was funded.  As compared to the end of the third quarter of fiscal year 2013, total backlog decreased 6 percent and funded backlog decreased 15 percent. Negotiated backlog does not include any estimate of future task orders expected to be awarded under IDIQ, GSA Schedule or other master agreement contract vehicles.</w:t>
      </w:r>
    </w:p>
    <w:p>
      <w:pPr>
        <w:pStyle w:val="TextBody"/>
        <w:spacing w:before="0" w:after="0"/>
        <w:rPr/>
      </w:pPr>
      <w:r>
        <w:rPr/>
      </w:r>
    </w:p>
    <w:p>
      <w:pPr>
        <w:pStyle w:val="TextBody"/>
        <w:spacing w:lineRule="auto" w:line="288"/>
        <w:jc w:val="center"/>
        <w:rPr>
          <w:rFonts w:ascii="Arial" w:hAnsi="Arial"/>
          <w:sz w:val="17"/>
        </w:rPr>
      </w:pPr>
      <w:r>
        <w:rPr>
          <w:rFonts w:ascii="Arial" w:hAnsi="Arial"/>
          <w:sz w:val="17"/>
        </w:rPr>
        <w:t>4</w:t>
      </w:r>
      <w:r>
        <w:br w:type="page"/>
      </w:r>
    </w:p>
    <w:p>
      <w:pPr>
        <w:pStyle w:val="TextBody"/>
        <w:spacing w:before="0" w:after="0"/>
        <w:rPr/>
      </w:pPr>
      <w:r>
        <w:rPr/>
      </w:r>
      <w:bookmarkStart w:id="25" w:name="sb3955b22d16f492b9d95f0f873ba25da"/>
      <w:bookmarkStart w:id="26" w:name="sb3955b22d16f492b9d95f0f873ba25da"/>
      <w:bookmarkEnd w:id="26"/>
    </w:p>
    <w:p>
      <w:pPr>
        <w:pStyle w:val="TextBody"/>
        <w:spacing w:lineRule="auto" w:line="288" w:before="0" w:after="0"/>
        <w:jc w:val="left"/>
        <w:rPr>
          <w:rFonts w:ascii="Arial" w:hAnsi="Arial"/>
          <w:b/>
          <w:sz w:val="17"/>
        </w:rPr>
      </w:pPr>
      <w:r>
        <w:rPr>
          <w:rFonts w:ascii="Arial" w:hAnsi="Arial"/>
          <w:b/>
          <w:sz w:val="17"/>
        </w:rPr>
        <w:t>Forward Guidance</w:t>
      </w:r>
    </w:p>
    <w:p>
      <w:pPr>
        <w:pStyle w:val="TextBody"/>
        <w:spacing w:lineRule="auto" w:line="288" w:before="0" w:after="0"/>
        <w:jc w:val="left"/>
        <w:rPr>
          <w:rFonts w:ascii="Arial" w:hAnsi="Arial"/>
          <w:sz w:val="17"/>
        </w:rPr>
      </w:pPr>
      <w:r>
        <w:rPr>
          <w:rFonts w:ascii="Arial" w:hAnsi="Arial"/>
          <w:sz w:val="17"/>
        </w:rPr>
        <w:t>As a result of the Company's third quarter financial performance and market conditions being more challenging than previously expected, the Company lowered guidance for fiscal year 2014 as provided in the Company's press release issued on December 3, 2013. The revised fiscal year 2014 guidance is:</w:t>
      </w:r>
    </w:p>
    <w:tbl>
      <w:tblPr>
        <w:tblW w:w="7495" w:type="dxa"/>
        <w:jc w:val="left"/>
        <w:tblInd w:w="0" w:type="dxa"/>
        <w:tblCellMar>
          <w:top w:w="0" w:type="dxa"/>
          <w:left w:w="0" w:type="dxa"/>
          <w:bottom w:w="0" w:type="dxa"/>
          <w:right w:w="0" w:type="dxa"/>
        </w:tblCellMar>
      </w:tblPr>
      <w:tblGrid>
        <w:gridCol w:w="575"/>
        <w:gridCol w:w="6920"/>
      </w:tblGrid>
      <w:tr>
        <w:trPr/>
        <w:tc>
          <w:tcPr>
            <w:tcW w:w="575" w:type="dxa"/>
            <w:tcBorders/>
            <w:shd w:fill="auto" w:val="clear"/>
            <w:vAlign w:val="center"/>
          </w:tcPr>
          <w:p>
            <w:pPr>
              <w:pStyle w:val="TableContents"/>
              <w:spacing w:before="0" w:after="283"/>
              <w:rPr>
                <w:sz w:val="4"/>
                <w:szCs w:val="4"/>
              </w:rPr>
            </w:pPr>
            <w:r>
              <w:rPr>
                <w:sz w:val="4"/>
                <w:szCs w:val="4"/>
              </w:rPr>
            </w:r>
          </w:p>
        </w:tc>
        <w:tc>
          <w:tcPr>
            <w:tcW w:w="692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6920" w:type="dxa"/>
            <w:tcBorders/>
            <w:shd w:fill="auto" w:val="clear"/>
            <w:vAlign w:val="center"/>
          </w:tcPr>
          <w:p>
            <w:pPr>
              <w:pStyle w:val="TableContents"/>
              <w:spacing w:lineRule="auto" w:line="288" w:before="0" w:after="0"/>
              <w:jc w:val="left"/>
              <w:rPr>
                <w:rFonts w:ascii="Arial" w:hAnsi="Arial"/>
                <w:sz w:val="17"/>
              </w:rPr>
            </w:pPr>
            <w:r>
              <w:rPr>
                <w:rFonts w:ascii="Arial" w:hAnsi="Arial"/>
                <w:sz w:val="17"/>
              </w:rPr>
              <w:t>Revenues of $5.65 billion to $5.80 billion, down from the previous range of $5.85 to $6.10 billion;</w:t>
            </w:r>
          </w:p>
        </w:tc>
      </w:tr>
    </w:tbl>
    <w:tbl>
      <w:tblPr>
        <w:tblW w:w="10205" w:type="dxa"/>
        <w:jc w:val="left"/>
        <w:tblInd w:w="0" w:type="dxa"/>
        <w:tblCellMar>
          <w:top w:w="0" w:type="dxa"/>
          <w:left w:w="0" w:type="dxa"/>
          <w:bottom w:w="0" w:type="dxa"/>
          <w:right w:w="0" w:type="dxa"/>
        </w:tblCellMar>
      </w:tblPr>
      <w:tblGrid>
        <w:gridCol w:w="575"/>
        <w:gridCol w:w="9630"/>
      </w:tblGrid>
      <w:tr>
        <w:trPr/>
        <w:tc>
          <w:tcPr>
            <w:tcW w:w="575"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9630" w:type="dxa"/>
            <w:tcBorders/>
            <w:shd w:fill="auto" w:val="clear"/>
            <w:vAlign w:val="center"/>
          </w:tcPr>
          <w:p>
            <w:pPr>
              <w:pStyle w:val="TableContents"/>
              <w:spacing w:lineRule="auto" w:line="288" w:before="0" w:after="0"/>
              <w:jc w:val="left"/>
              <w:rPr>
                <w:rFonts w:ascii="Arial" w:hAnsi="Arial"/>
                <w:sz w:val="17"/>
              </w:rPr>
            </w:pPr>
            <w:r>
              <w:rPr>
                <w:rFonts w:ascii="Arial" w:hAnsi="Arial"/>
                <w:sz w:val="17"/>
              </w:rPr>
              <w:t>Diluted earnings per share from continuing operations of $0.85 to $1.10, inclusive of a $0.16 positive net income impact for discontinued operations accounting treatment for planned divestitures, down from the previous range of $1.80 to $2.04; and</w:t>
            </w:r>
          </w:p>
        </w:tc>
      </w:tr>
    </w:tbl>
    <w:tbl>
      <w:tblPr>
        <w:tblW w:w="8980" w:type="dxa"/>
        <w:jc w:val="left"/>
        <w:tblInd w:w="0" w:type="dxa"/>
        <w:tblCellMar>
          <w:top w:w="0" w:type="dxa"/>
          <w:left w:w="0" w:type="dxa"/>
          <w:bottom w:w="0" w:type="dxa"/>
          <w:right w:w="0" w:type="dxa"/>
        </w:tblCellMar>
      </w:tblPr>
      <w:tblGrid>
        <w:gridCol w:w="575"/>
        <w:gridCol w:w="8405"/>
      </w:tblGrid>
      <w:tr>
        <w:trPr/>
        <w:tc>
          <w:tcPr>
            <w:tcW w:w="575" w:type="dxa"/>
            <w:tcBorders/>
            <w:shd w:fill="auto" w:val="clear"/>
            <w:vAlign w:val="center"/>
          </w:tcPr>
          <w:p>
            <w:pPr>
              <w:pStyle w:val="TableContents"/>
              <w:spacing w:before="0" w:after="283"/>
              <w:rPr>
                <w:sz w:val="4"/>
                <w:szCs w:val="4"/>
              </w:rPr>
            </w:pPr>
            <w:r>
              <w:rPr>
                <w:sz w:val="4"/>
                <w:szCs w:val="4"/>
              </w:rPr>
            </w:r>
          </w:p>
        </w:tc>
        <w:tc>
          <w:tcPr>
            <w:tcW w:w="8405"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8405" w:type="dxa"/>
            <w:tcBorders/>
            <w:shd w:fill="auto" w:val="clear"/>
            <w:vAlign w:val="center"/>
          </w:tcPr>
          <w:p>
            <w:pPr>
              <w:pStyle w:val="TableContents"/>
              <w:spacing w:lineRule="auto" w:line="288" w:before="0" w:after="0"/>
              <w:jc w:val="left"/>
              <w:rPr>
                <w:rFonts w:ascii="Arial" w:hAnsi="Arial"/>
                <w:sz w:val="17"/>
              </w:rPr>
            </w:pPr>
            <w:r>
              <w:rPr>
                <w:rFonts w:ascii="Arial" w:hAnsi="Arial"/>
                <w:sz w:val="17"/>
              </w:rPr>
              <w:t xml:space="preserve">Cash flows from continuing operations of at least $150 million, down from previous guidance of at least $325 million. </w:t>
            </w:r>
          </w:p>
        </w:tc>
      </w:tr>
    </w:tbl>
    <w:p>
      <w:pPr>
        <w:pStyle w:val="TextBody"/>
        <w:spacing w:lineRule="auto" w:line="288" w:before="0" w:after="0"/>
        <w:jc w:val="left"/>
        <w:rPr>
          <w:rFonts w:ascii="Arial" w:hAnsi="Arial"/>
          <w:sz w:val="17"/>
        </w:rPr>
      </w:pPr>
      <w:r>
        <w:rPr>
          <w:rFonts w:ascii="Arial" w:hAnsi="Arial"/>
          <w:sz w:val="17"/>
        </w:rPr>
        <w:t>Fiscal year 2014 guidance excludes the impact of potential future acquisitions and other non-ordinary course items. </w:t>
      </w:r>
    </w:p>
    <w:p>
      <w:pPr>
        <w:pStyle w:val="TextBody"/>
        <w:spacing w:lineRule="auto" w:line="288" w:before="0" w:after="0"/>
        <w:jc w:val="left"/>
        <w:rPr>
          <w:rFonts w:ascii="Arial" w:hAnsi="Arial"/>
          <w:b/>
          <w:sz w:val="17"/>
        </w:rPr>
      </w:pPr>
      <w:bookmarkStart w:id="27" w:name="s66c994b33deb4dad8d8477f627fe03e5"/>
      <w:bookmarkEnd w:id="27"/>
      <w:r>
        <w:rPr>
          <w:rFonts w:ascii="Arial" w:hAnsi="Arial"/>
          <w:b/>
          <w:sz w:val="17"/>
        </w:rPr>
        <w:t xml:space="preserve">About Leidos </w:t>
      </w:r>
    </w:p>
    <w:p>
      <w:pPr>
        <w:pStyle w:val="TextBody"/>
        <w:spacing w:lineRule="auto" w:line="288" w:before="0" w:after="0"/>
        <w:jc w:val="left"/>
        <w:rPr>
          <w:sz w:val="17"/>
        </w:rPr>
      </w:pPr>
      <w:r>
        <w:rPr>
          <w:rFonts w:ascii="Arial" w:hAnsi="Arial"/>
          <w:sz w:val="17"/>
        </w:rPr>
        <w:t>Leidos management will discuss operations and financial results in an earnings conference call beginning at 8 a.m. eastern on December 10, 2013.  A live audio broadcast of the conference call along with a supplemental presentation will be available to the public through links on the Investor Relations section of the Leidos web site (</w:t>
      </w:r>
      <w:r>
        <w:rPr>
          <w:rFonts w:ascii="Arial" w:hAnsi="Arial"/>
          <w:color w:val="0000FF"/>
          <w:sz w:val="17"/>
          <w:u w:val="single"/>
        </w:rPr>
        <w:t>http://investors.leidos.com</w:t>
      </w:r>
      <w:r>
        <w:rPr>
          <w:rFonts w:ascii="Arial" w:hAnsi="Arial"/>
          <w:sz w:val="17"/>
        </w:rPr>
        <w:t xml:space="preserve">).  </w:t>
      </w:r>
    </w:p>
    <w:p>
      <w:pPr>
        <w:pStyle w:val="TextBody"/>
        <w:spacing w:lineRule="auto" w:line="288" w:before="0" w:after="0"/>
        <w:jc w:val="left"/>
        <w:rPr>
          <w:sz w:val="17"/>
        </w:rPr>
      </w:pPr>
      <w:r>
        <w:rPr>
          <w:rFonts w:ascii="Arial" w:hAnsi="Arial"/>
          <w:sz w:val="17"/>
        </w:rPr>
        <w:t xml:space="preserve">Leidos is a science and technology solutions leader working to address some of the world's toughest challenges in national security, health, and engineering. The Company's approximately 23,000 employees support vital missions for our government and the commercial sector, develop innovative solutions to drive better outcomes, and defend our Nation's digital and physical infrastructure from 'new world' threats. Headquartered in Reston, Virginia and with employees worldwide, Leidos reports approximately $6 billion in revenues for fiscal year 2013, on a pro forma basis, following the spin-off of the Company's technical, engineering and enterprise IT business on September 27, 2013.  For more information, visit </w:t>
      </w:r>
      <w:r>
        <w:rPr>
          <w:rFonts w:ascii="Arial" w:hAnsi="Arial"/>
          <w:color w:val="0000FF"/>
          <w:sz w:val="17"/>
          <w:u w:val="single"/>
        </w:rPr>
        <w:t>www.Leidos.com</w:t>
      </w:r>
      <w:r>
        <w:rPr>
          <w:rFonts w:ascii="Arial" w:hAnsi="Arial"/>
          <w:sz w:val="17"/>
        </w:rPr>
        <w:t>. </w:t>
      </w:r>
    </w:p>
    <w:p>
      <w:pPr>
        <w:pStyle w:val="TextBody"/>
        <w:spacing w:lineRule="auto" w:line="288" w:before="0" w:after="0"/>
        <w:jc w:val="left"/>
        <w:rPr>
          <w:rFonts w:ascii="Arial" w:hAnsi="Arial"/>
          <w:b/>
          <w:sz w:val="17"/>
        </w:rPr>
      </w:pPr>
      <w:bookmarkStart w:id="28" w:name="s513449de164047c6b988d21841848520"/>
      <w:bookmarkEnd w:id="28"/>
      <w:r>
        <w:rPr>
          <w:rFonts w:ascii="Arial" w:hAnsi="Arial"/>
          <w:b/>
          <w:sz w:val="17"/>
        </w:rPr>
        <w:t>Forward-Looking Statements</w:t>
      </w:r>
    </w:p>
    <w:p>
      <w:pPr>
        <w:pStyle w:val="TextBody"/>
        <w:spacing w:lineRule="auto" w:line="288" w:before="0" w:after="0"/>
        <w:jc w:val="left"/>
        <w:rPr>
          <w:rFonts w:ascii="Arial" w:hAnsi="Arial"/>
          <w:sz w:val="17"/>
        </w:rPr>
      </w:pPr>
      <w:r>
        <w:rPr>
          <w:rFonts w:ascii="Arial" w:hAnsi="Arial"/>
          <w:sz w:val="17"/>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include, among others, estimates of future revenues, operating income, earnings, earnings per share, charges, backlog, outstanding shares and cash flows, as well as statements about future dividends, share repurchases and acquisitions. These statements reflect our belief and assumptions as to future events that may not prove to be accurate. Actual performance and results may differ materially from the guidance and other forward-looking statements made in this release depending on a variety of factors, including: developments in the U.S. Government defense budget, including budget reductions, implementation of spending cuts (sequestration) or changes in budgetary priorities; delays in the U.S. Government budget process or approval to raise the U.S. debt ceiling; delays in the U.S. Government contract procurement process or the award of contracts; delays or loss of contracts as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attract, train and retain skilled employees, including our management team, and to obtain security clearances for our employees; our ability to accurately estimate costs associated with our firm-fixed-price and other contracts; our ability to comply with certain agreements entered into in connection with the CityTime matter; cybersecurity, data security or other security threats, systems failures or other disruptions of our business; resolution of legal and other disputes with our customers and others or legal or regulatory compliance issues; our ability to effectively acquire businesses and make investments; our ability to maintain relationships with prime contractors, subcontractors and joint venture partners; our ability to manage performance and other risks related to customer contracts, including complex engineering or design build projects; our ability to profitably operate and recover our investment in the Plainfield Renewable Energy project; the failure of our inspection or detection systems to detect threats; the adequacy of our insurance programs designed to protect us from significant product or other liability claims; our ability to manage risks associated with our international business; our ability to declare future dividends based on our earnings, </w:t>
      </w:r>
    </w:p>
    <w:p>
      <w:pPr>
        <w:pStyle w:val="TextBody"/>
        <w:spacing w:before="0" w:after="0"/>
        <w:rPr/>
      </w:pPr>
      <w:r>
        <w:rPr/>
      </w:r>
    </w:p>
    <w:p>
      <w:pPr>
        <w:pStyle w:val="TextBody"/>
        <w:spacing w:lineRule="auto" w:line="288"/>
        <w:jc w:val="center"/>
        <w:rPr>
          <w:rFonts w:ascii="Arial" w:hAnsi="Arial"/>
          <w:sz w:val="17"/>
        </w:rPr>
      </w:pPr>
      <w:r>
        <w:rPr>
          <w:rFonts w:ascii="Arial" w:hAnsi="Arial"/>
          <w:sz w:val="17"/>
        </w:rPr>
        <w:t>5</w:t>
      </w:r>
      <w:r>
        <w:br w:type="page"/>
      </w:r>
    </w:p>
    <w:p>
      <w:pPr>
        <w:pStyle w:val="TextBody"/>
        <w:spacing w:before="0" w:after="0"/>
        <w:rPr/>
      </w:pPr>
      <w:r>
        <w:rPr/>
      </w:r>
    </w:p>
    <w:p>
      <w:pPr>
        <w:pStyle w:val="TextBody"/>
        <w:spacing w:lineRule="auto" w:line="288" w:before="0" w:after="0"/>
        <w:jc w:val="left"/>
        <w:rPr>
          <w:sz w:val="17"/>
        </w:rPr>
      </w:pPr>
      <w:r>
        <w:rPr>
          <w:rFonts w:ascii="Arial" w:hAnsi="Arial"/>
          <w:sz w:val="17"/>
        </w:rPr>
        <w:t xml:space="preserve">financial condition, capital requirements and other factors, including compliance with applicable laws and contractual agreements; risks associated with the recently-completed spin-off of our technical, engineering and enterprise information technology services business, such as disruption to business operations, or a failure to realize the expected benefits of the proposed spin-off; and our ability to execute our business plan and long-term management initiatives effectively and to overcome these and other known and unknown risks that we face. These are only some of the factors that may affect the forward-looking statements contained in this release. For further information concerning risks and uncertainties associated with our business, please refer to the filings we make from time to time with the U.S. Securities and Exchange Commission, including the “Risk Factors,” “Management’s Discussion and Analysis of Financial Condition and Results of Operations” and “Legal Proceedings” sections of our latest annual report on Form 10-K and quarterly reports on Form 10-Q, all of which may be viewed or obtained through the Investor Relations section of our web site at </w:t>
      </w:r>
      <w:r>
        <w:rPr>
          <w:rFonts w:ascii="Arial" w:hAnsi="Arial"/>
          <w:color w:val="0000FF"/>
          <w:sz w:val="17"/>
          <w:u w:val="single"/>
        </w:rPr>
        <w:t>www.leidos.com</w:t>
      </w:r>
      <w:r>
        <w:rPr>
          <w:rFonts w:ascii="Arial" w:hAnsi="Arial"/>
          <w:sz w:val="17"/>
        </w:rPr>
        <w:t>.</w:t>
      </w:r>
    </w:p>
    <w:p>
      <w:pPr>
        <w:pStyle w:val="TextBody"/>
        <w:spacing w:lineRule="auto" w:line="288" w:before="0" w:after="0"/>
        <w:jc w:val="left"/>
        <w:rPr>
          <w:rFonts w:ascii="Arial" w:hAnsi="Arial"/>
          <w:sz w:val="17"/>
        </w:rPr>
      </w:pPr>
      <w:r>
        <w:rPr>
          <w:rFonts w:ascii="Arial" w:hAnsi="Arial"/>
          <w:sz w:val="17"/>
        </w:rPr>
        <w:t>All information in this release is as of December 10, 2013. The Company expressly disclaims any duty to update the guidance or any other forward-looking statement provided in this release to reflect subsequent events, actual results or changes in the Company’s expectations. The Company also disclaims any duty to comment upon or correct information that may be contained in reports published by investment analysts or others.</w:t>
      </w:r>
    </w:p>
    <w:tbl>
      <w:tblPr>
        <w:tblW w:w="2480" w:type="dxa"/>
        <w:jc w:val="center"/>
        <w:tblInd w:w="0" w:type="dxa"/>
        <w:tblCellMar>
          <w:top w:w="0" w:type="dxa"/>
          <w:left w:w="0" w:type="dxa"/>
          <w:bottom w:w="0" w:type="dxa"/>
          <w:right w:w="0" w:type="dxa"/>
        </w:tblCellMar>
      </w:tblPr>
      <w:tblGrid>
        <w:gridCol w:w="2480"/>
      </w:tblGrid>
      <w:tr>
        <w:trPr/>
        <w:tc>
          <w:tcPr>
            <w:tcW w:w="2480"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CONTACTS:</w:t>
            </w:r>
          </w:p>
        </w:tc>
      </w:tr>
      <w:tr>
        <w:trPr/>
        <w:tc>
          <w:tcPr>
            <w:tcW w:w="2480" w:type="dxa"/>
            <w:tcBorders/>
            <w:shd w:fill="auto" w:val="clear"/>
            <w:vAlign w:val="center"/>
          </w:tcPr>
          <w:p>
            <w:pPr>
              <w:pStyle w:val="TableContents"/>
              <w:spacing w:before="0" w:after="0"/>
              <w:ind w:left="0" w:right="0" w:firstLine="30"/>
              <w:rPr/>
            </w:pPr>
            <w:r>
              <w:rPr/>
              <w:t> </w:t>
            </w:r>
          </w:p>
        </w:tc>
      </w:tr>
      <w:tr>
        <w:trPr/>
        <w:tc>
          <w:tcPr>
            <w:tcW w:w="2480" w:type="dxa"/>
            <w:tcBorders/>
            <w:shd w:fill="auto" w:val="clear"/>
            <w:vAlign w:val="center"/>
          </w:tcPr>
          <w:p>
            <w:pPr>
              <w:pStyle w:val="TableContents"/>
              <w:spacing w:before="0" w:after="0"/>
              <w:ind w:left="0" w:right="0" w:firstLine="30"/>
              <w:jc w:val="left"/>
              <w:rPr>
                <w:rFonts w:ascii="Arial" w:hAnsi="Arial"/>
                <w:sz w:val="17"/>
                <w:u w:val="single"/>
              </w:rPr>
            </w:pPr>
            <w:r>
              <w:rPr>
                <w:rFonts w:ascii="Arial" w:hAnsi="Arial"/>
                <w:sz w:val="17"/>
                <w:u w:val="single"/>
              </w:rPr>
              <w:t>Investor Relations:</w:t>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John P. Sweeney</w:t>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571.526.6402</w:t>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John.P.Sweeney@leidos.com</w:t>
            </w:r>
          </w:p>
        </w:tc>
      </w:tr>
      <w:tr>
        <w:trPr/>
        <w:tc>
          <w:tcPr>
            <w:tcW w:w="2480" w:type="dxa"/>
            <w:tcBorders/>
            <w:shd w:fill="auto" w:val="clear"/>
            <w:vAlign w:val="center"/>
          </w:tcPr>
          <w:p>
            <w:pPr>
              <w:pStyle w:val="TableContents"/>
              <w:spacing w:before="0" w:after="0"/>
              <w:ind w:left="0" w:right="0" w:firstLine="30"/>
              <w:rPr/>
            </w:pPr>
            <w:r>
              <w:rPr/>
              <w:t> </w:t>
            </w:r>
          </w:p>
        </w:tc>
      </w:tr>
      <w:tr>
        <w:trPr/>
        <w:tc>
          <w:tcPr>
            <w:tcW w:w="2480" w:type="dxa"/>
            <w:tcBorders/>
            <w:shd w:fill="auto" w:val="clear"/>
            <w:vAlign w:val="center"/>
          </w:tcPr>
          <w:p>
            <w:pPr>
              <w:pStyle w:val="TableContents"/>
              <w:spacing w:before="0" w:after="0"/>
              <w:ind w:left="0" w:right="0" w:firstLine="30"/>
              <w:jc w:val="left"/>
              <w:rPr>
                <w:rFonts w:ascii="Arial" w:hAnsi="Arial"/>
                <w:sz w:val="17"/>
                <w:u w:val="single"/>
              </w:rPr>
            </w:pPr>
            <w:r>
              <w:rPr>
                <w:rFonts w:ascii="Arial" w:hAnsi="Arial"/>
                <w:sz w:val="17"/>
                <w:u w:val="single"/>
              </w:rPr>
              <w:t>Media Relations:</w:t>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Melissa Koskovich</w:t>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571.526.6851</w:t>
            </w:r>
          </w:p>
        </w:tc>
      </w:tr>
      <w:tr>
        <w:trPr/>
        <w:tc>
          <w:tcPr>
            <w:tcW w:w="24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Melissa.I.Koskovich@leidos.com</w:t>
            </w:r>
          </w:p>
        </w:tc>
      </w:tr>
      <w:tr>
        <w:trPr/>
        <w:tc>
          <w:tcPr>
            <w:tcW w:w="2480" w:type="dxa"/>
            <w:tcBorders/>
            <w:shd w:fill="auto" w:val="clear"/>
            <w:vAlign w:val="center"/>
          </w:tcPr>
          <w:p>
            <w:pPr>
              <w:pStyle w:val="TableContents"/>
              <w:spacing w:before="0" w:after="0"/>
              <w:ind w:left="0" w:right="0" w:firstLine="30"/>
              <w:rPr/>
            </w:pPr>
            <w:r>
              <w:rPr/>
              <w:t> </w:t>
            </w:r>
          </w:p>
        </w:tc>
      </w:tr>
      <w:tr>
        <w:trPr/>
        <w:tc>
          <w:tcPr>
            <w:tcW w:w="2480" w:type="dxa"/>
            <w:tcBorders/>
            <w:shd w:fill="auto" w:val="clear"/>
            <w:vAlign w:val="center"/>
          </w:tcPr>
          <w:p>
            <w:pPr>
              <w:pStyle w:val="TableContents"/>
              <w:spacing w:before="0" w:after="0"/>
              <w:rPr/>
            </w:pPr>
            <w:r>
              <w:rPr/>
              <w:t> </w:t>
            </w:r>
          </w:p>
        </w:tc>
      </w:tr>
    </w:tbl>
    <w:p>
      <w:pPr>
        <w:pStyle w:val="TextBody"/>
        <w:spacing w:lineRule="auto" w:line="288" w:before="0" w:after="0"/>
        <w:rPr>
          <w:rFonts w:ascii="Arial" w:hAnsi="Arial"/>
          <w:sz w:val="17"/>
        </w:rPr>
      </w:pPr>
      <w:r>
        <w:rPr>
          <w:rFonts w:ascii="Arial" w:hAnsi="Arial"/>
          <w:sz w:val="17"/>
        </w:rPr>
      </w:r>
    </w:p>
    <w:p>
      <w:pPr>
        <w:pStyle w:val="TextBody"/>
        <w:spacing w:before="0" w:after="0"/>
        <w:rPr/>
      </w:pPr>
      <w:r>
        <w:rPr/>
      </w:r>
    </w:p>
    <w:p>
      <w:pPr>
        <w:pStyle w:val="TextBody"/>
        <w:spacing w:lineRule="auto" w:line="288"/>
        <w:jc w:val="center"/>
        <w:rPr>
          <w:rFonts w:ascii="Arial" w:hAnsi="Arial"/>
          <w:sz w:val="17"/>
        </w:rPr>
      </w:pPr>
      <w:r>
        <w:rPr>
          <w:rFonts w:ascii="Arial" w:hAnsi="Arial"/>
          <w:sz w:val="17"/>
        </w:rPr>
        <w:t>6</w:t>
      </w:r>
      <w:r>
        <w:br w:type="page"/>
      </w:r>
    </w:p>
    <w:p>
      <w:pPr>
        <w:pStyle w:val="TextBody"/>
        <w:spacing w:before="0" w:after="0"/>
        <w:rPr/>
      </w:pPr>
      <w:r>
        <w:rPr/>
      </w:r>
      <w:bookmarkStart w:id="29" w:name="s93e806aa1aee4e1ca05d8c614177157a"/>
      <w:bookmarkStart w:id="30" w:name="s93e806aa1aee4e1ca05d8c614177157a"/>
      <w:bookmarkEnd w:id="30"/>
    </w:p>
    <w:p>
      <w:pPr>
        <w:pStyle w:val="TextBody"/>
        <w:spacing w:lineRule="auto" w:line="288" w:before="0" w:after="0"/>
        <w:jc w:val="center"/>
        <w:rPr>
          <w:rFonts w:ascii="Arial" w:hAnsi="Arial"/>
          <w:b/>
          <w:sz w:val="17"/>
        </w:rPr>
      </w:pPr>
      <w:r>
        <w:rPr>
          <w:rFonts w:ascii="Arial" w:hAnsi="Arial"/>
          <w:b/>
          <w:sz w:val="17"/>
        </w:rPr>
        <w:t>LEIDOS HOLDINGS, INC.</w:t>
      </w:r>
    </w:p>
    <w:p>
      <w:pPr>
        <w:pStyle w:val="TextBody"/>
        <w:spacing w:lineRule="auto" w:line="288" w:before="0" w:after="0"/>
        <w:jc w:val="center"/>
        <w:rPr>
          <w:rFonts w:ascii="Arial" w:hAnsi="Arial"/>
          <w:b/>
          <w:sz w:val="17"/>
        </w:rPr>
      </w:pPr>
      <w:r>
        <w:rPr>
          <w:rFonts w:ascii="Arial" w:hAnsi="Arial"/>
          <w:b/>
          <w:sz w:val="17"/>
        </w:rPr>
        <w:t>CONDENSED CONSOLIDATED STATEMENTS OF INCOME</w:t>
      </w:r>
    </w:p>
    <w:p>
      <w:pPr>
        <w:pStyle w:val="TextBody"/>
        <w:spacing w:lineRule="auto" w:line="288" w:before="0" w:after="0"/>
        <w:jc w:val="center"/>
        <w:rPr>
          <w:rFonts w:ascii="Arial" w:hAnsi="Arial"/>
          <w:b/>
          <w:sz w:val="17"/>
        </w:rPr>
      </w:pPr>
      <w:r>
        <w:rPr>
          <w:rFonts w:ascii="Arial" w:hAnsi="Arial"/>
          <w:b/>
          <w:sz w:val="17"/>
        </w:rPr>
        <w:t>(UNAUDITED)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058"/>
        <w:gridCol w:w="179"/>
        <w:gridCol w:w="1095"/>
        <w:gridCol w:w="180"/>
        <w:gridCol w:w="135"/>
        <w:gridCol w:w="171"/>
        <w:gridCol w:w="1064"/>
        <w:gridCol w:w="172"/>
        <w:gridCol w:w="135"/>
        <w:gridCol w:w="179"/>
        <w:gridCol w:w="1095"/>
        <w:gridCol w:w="180"/>
        <w:gridCol w:w="135"/>
        <w:gridCol w:w="151"/>
        <w:gridCol w:w="986"/>
        <w:gridCol w:w="290"/>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05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58" w:type="dxa"/>
            <w:tcBorders/>
            <w:shd w:fill="auto" w:val="clear"/>
            <w:vAlign w:val="center"/>
          </w:tcPr>
          <w:p>
            <w:pPr>
              <w:pStyle w:val="TableContents"/>
              <w:spacing w:before="0" w:after="0"/>
              <w:ind w:left="0" w:right="0" w:firstLine="30"/>
              <w:rPr/>
            </w:pPr>
            <w:r>
              <w:rPr/>
              <w:t> </w:t>
            </w:r>
          </w:p>
        </w:tc>
        <w:tc>
          <w:tcPr>
            <w:tcW w:w="29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Three Months Ended</w:t>
            </w:r>
          </w:p>
        </w:tc>
        <w:tc>
          <w:tcPr>
            <w:tcW w:w="135" w:type="dxa"/>
            <w:tcBorders/>
            <w:shd w:fill="auto" w:val="clear"/>
            <w:vAlign w:val="center"/>
          </w:tcPr>
          <w:p>
            <w:pPr>
              <w:pStyle w:val="TableContents"/>
              <w:spacing w:before="0" w:after="0"/>
              <w:ind w:left="0" w:right="0" w:firstLine="30"/>
              <w:rPr/>
            </w:pPr>
            <w:r>
              <w:rPr/>
              <w:t> </w:t>
            </w:r>
          </w:p>
        </w:tc>
        <w:tc>
          <w:tcPr>
            <w:tcW w:w="301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Nine Months Ended</w:t>
            </w:r>
          </w:p>
        </w:tc>
      </w:tr>
      <w:tr>
        <w:trPr/>
        <w:tc>
          <w:tcPr>
            <w:tcW w:w="4058" w:type="dxa"/>
            <w:tcBorders/>
            <w:shd w:fill="auto" w:val="clear"/>
            <w:vAlign w:val="center"/>
          </w:tcPr>
          <w:p>
            <w:pPr>
              <w:pStyle w:val="TableContents"/>
              <w:spacing w:before="0" w:after="0"/>
              <w:ind w:left="0" w:right="0" w:firstLine="30"/>
              <w:jc w:val="left"/>
              <w:rPr/>
            </w:pPr>
            <w:r>
              <w:rPr/>
              <w:t> </w:t>
            </w:r>
          </w:p>
        </w:tc>
        <w:tc>
          <w:tcPr>
            <w:tcW w:w="14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November 1, </w:t>
              <w:br/>
              <w:t>2013</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October 31, </w:t>
              <w:br/>
              <w:t>2012</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November 1, </w:t>
              <w:br/>
              <w:t>2013</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October 31, </w:t>
              <w:br/>
              <w:t>2012</w:t>
            </w:r>
          </w:p>
        </w:tc>
      </w:tr>
      <w:tr>
        <w:trPr/>
        <w:tc>
          <w:tcPr>
            <w:tcW w:w="4058" w:type="dxa"/>
            <w:tcBorders/>
            <w:shd w:fill="auto" w:val="clear"/>
            <w:vAlign w:val="center"/>
          </w:tcPr>
          <w:p>
            <w:pPr>
              <w:pStyle w:val="TableContents"/>
              <w:spacing w:before="0" w:after="0"/>
              <w:ind w:left="0" w:right="0" w:firstLine="30"/>
              <w:jc w:val="left"/>
              <w:rPr/>
            </w:pPr>
            <w:r>
              <w:rPr/>
              <w:t> </w:t>
            </w:r>
          </w:p>
        </w:tc>
        <w:tc>
          <w:tcPr>
            <w:tcW w:w="6147" w:type="dxa"/>
            <w:gridSpan w:val="15"/>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t>(in millions, except per share amounts)</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Revenues</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1,420</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4" w:type="dxa"/>
            <w:tcBorders/>
            <w:shd w:fill="auto" w:val="clear"/>
            <w:vAlign w:val="center"/>
          </w:tcPr>
          <w:p>
            <w:pPr>
              <w:pStyle w:val="TableContents"/>
              <w:spacing w:before="0" w:after="0"/>
              <w:jc w:val="right"/>
              <w:rPr>
                <w:rFonts w:ascii="Arial" w:hAnsi="Arial"/>
                <w:sz w:val="17"/>
              </w:rPr>
            </w:pPr>
            <w:r>
              <w:rPr>
                <w:rFonts w:ascii="Arial" w:hAnsi="Arial"/>
                <w:sz w:val="17"/>
              </w:rPr>
              <w:t>1,673</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4,486</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986" w:type="dxa"/>
            <w:tcBorders/>
            <w:shd w:fill="auto" w:val="clear"/>
            <w:vAlign w:val="center"/>
          </w:tcPr>
          <w:p>
            <w:pPr>
              <w:pStyle w:val="TableContents"/>
              <w:spacing w:before="0" w:after="0"/>
              <w:jc w:val="right"/>
              <w:rPr>
                <w:rFonts w:ascii="Arial" w:hAnsi="Arial"/>
                <w:sz w:val="17"/>
              </w:rPr>
            </w:pPr>
            <w:r>
              <w:rPr>
                <w:rFonts w:ascii="Arial" w:hAnsi="Arial"/>
                <w:sz w:val="17"/>
              </w:rPr>
              <w:t>4,899</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Costs and expenses:</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shd w:fill="auto" w:val="clear"/>
            <w:vAlign w:val="center"/>
          </w:tcPr>
          <w:p>
            <w:pPr>
              <w:pStyle w:val="TableContents"/>
              <w:spacing w:before="0" w:after="0"/>
              <w:ind w:left="0" w:right="0" w:firstLine="180"/>
              <w:jc w:val="left"/>
              <w:rPr/>
            </w:pPr>
            <w:r>
              <w:rPr/>
              <w:t> </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Cost of revenues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1,224</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1,434</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3,903</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4,218</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Selling, general and administrative expenses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116</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139</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360</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367</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Bad debt expense</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43</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45</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pPr>
            <w:r>
              <w:rPr/>
              <w:t>—</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Intangible asset impairment losses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19</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51</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pPr>
            <w:r>
              <w:rPr/>
              <w:t>—</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Separation transaction and restructuring expenses</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25</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58</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Operating (loss) income</w:t>
            </w:r>
          </w:p>
        </w:tc>
        <w:tc>
          <w:tcPr>
            <w:tcW w:w="1274"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(7</w:t>
            </w:r>
          </w:p>
        </w:tc>
        <w:tc>
          <w:tcPr>
            <w:tcW w:w="18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100</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69</w:t>
            </w:r>
          </w:p>
        </w:tc>
        <w:tc>
          <w:tcPr>
            <w:tcW w:w="18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314</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Non-operating income (expense):</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shd w:fill="auto" w:val="clear"/>
            <w:vAlign w:val="center"/>
          </w:tcPr>
          <w:p>
            <w:pPr>
              <w:pStyle w:val="TableContents"/>
              <w:spacing w:before="0" w:after="0"/>
              <w:ind w:left="0" w:right="0" w:firstLine="180"/>
              <w:jc w:val="left"/>
              <w:rPr/>
            </w:pPr>
            <w:r>
              <w:rPr/>
              <w:t> </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Interest income</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15</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Interest expense</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(21</w:t>
            </w:r>
          </w:p>
        </w:tc>
        <w:tc>
          <w:tcPr>
            <w:tcW w:w="1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(20</w:t>
            </w:r>
          </w:p>
        </w:tc>
        <w:tc>
          <w:tcPr>
            <w:tcW w:w="17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(59</w:t>
            </w:r>
          </w:p>
        </w:tc>
        <w:tc>
          <w:tcPr>
            <w:tcW w:w="1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(73</w:t>
            </w:r>
          </w:p>
        </w:tc>
        <w:tc>
          <w:tcPr>
            <w:tcW w:w="290"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 income, net</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8</w:t>
            </w:r>
          </w:p>
        </w:tc>
        <w:tc>
          <w:tcPr>
            <w:tcW w:w="2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(Loss) income from continuing operations before income taxes</w:t>
            </w:r>
          </w:p>
        </w:tc>
        <w:tc>
          <w:tcPr>
            <w:tcW w:w="1274"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(21</w:t>
            </w:r>
          </w:p>
        </w:tc>
        <w:tc>
          <w:tcPr>
            <w:tcW w:w="18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83</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28</w:t>
            </w:r>
          </w:p>
        </w:tc>
        <w:tc>
          <w:tcPr>
            <w:tcW w:w="18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254</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tax benefit (expense)</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12</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(28</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(89</w:t>
            </w:r>
          </w:p>
        </w:tc>
        <w:tc>
          <w:tcPr>
            <w:tcW w:w="2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(Loss) income from continuing operations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(9</w:t>
            </w:r>
          </w:p>
        </w:tc>
        <w:tc>
          <w:tcPr>
            <w:tcW w:w="1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55</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29</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165</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Discontinued operations:</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shd w:fill="auto" w:val="clear"/>
            <w:vAlign w:val="center"/>
          </w:tcPr>
          <w:p>
            <w:pPr>
              <w:pStyle w:val="TableContents"/>
              <w:spacing w:before="0" w:after="0"/>
              <w:ind w:left="0" w:right="0" w:firstLine="180"/>
              <w:jc w:val="left"/>
              <w:rPr/>
            </w:pPr>
            <w:r>
              <w:rPr/>
              <w:t> </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from discontinued operations before income taxes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21</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94</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158</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279</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tax expense</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(15</w:t>
            </w:r>
          </w:p>
        </w:tc>
        <w:tc>
          <w:tcPr>
            <w:tcW w:w="1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(37</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(67</w:t>
            </w:r>
          </w:p>
        </w:tc>
        <w:tc>
          <w:tcPr>
            <w:tcW w:w="1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(105</w:t>
            </w:r>
          </w:p>
        </w:tc>
        <w:tc>
          <w:tcPr>
            <w:tcW w:w="2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from discontinued operations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57</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91</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174</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Net (loss) income</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(3</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112</w:t>
            </w:r>
          </w:p>
        </w:tc>
        <w:tc>
          <w:tcPr>
            <w:tcW w:w="1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120</w:t>
            </w:r>
          </w:p>
        </w:tc>
        <w:tc>
          <w:tcPr>
            <w:tcW w:w="1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9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339</w:t>
            </w:r>
          </w:p>
        </w:tc>
        <w:tc>
          <w:tcPr>
            <w:tcW w:w="29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Earnings per share:</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shd w:fill="auto" w:val="clear"/>
            <w:vAlign w:val="center"/>
          </w:tcPr>
          <w:p>
            <w:pPr>
              <w:pStyle w:val="TableContents"/>
              <w:spacing w:before="0" w:after="0"/>
              <w:ind w:left="0" w:right="0" w:firstLine="30"/>
              <w:jc w:val="left"/>
              <w:rPr/>
            </w:pPr>
            <w:r>
              <w:rPr/>
              <w:t> </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Basic:</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shd w:fill="auto" w:val="clear"/>
            <w:vAlign w:val="center"/>
          </w:tcPr>
          <w:p>
            <w:pPr>
              <w:pStyle w:val="TableContents"/>
              <w:spacing w:before="0" w:after="0"/>
              <w:ind w:left="0" w:right="0" w:firstLine="180"/>
              <w:jc w:val="left"/>
              <w:rPr/>
            </w:pPr>
            <w:r>
              <w:rPr/>
              <w:t> </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(Loss) income from continuing operations</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(0.11</w:t>
            </w:r>
          </w:p>
        </w:tc>
        <w:tc>
          <w:tcPr>
            <w:tcW w:w="1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4" w:type="dxa"/>
            <w:tcBorders/>
            <w:shd w:fill="auto" w:val="clear"/>
            <w:vAlign w:val="center"/>
          </w:tcPr>
          <w:p>
            <w:pPr>
              <w:pStyle w:val="TableContents"/>
              <w:spacing w:before="0" w:after="0"/>
              <w:jc w:val="right"/>
              <w:rPr>
                <w:rFonts w:ascii="Arial" w:hAnsi="Arial"/>
                <w:sz w:val="17"/>
              </w:rPr>
            </w:pPr>
            <w:r>
              <w:rPr>
                <w:rFonts w:ascii="Arial" w:hAnsi="Arial"/>
                <w:sz w:val="17"/>
              </w:rPr>
              <w:t>0.66</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0.31</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986" w:type="dxa"/>
            <w:tcBorders/>
            <w:shd w:fill="auto" w:val="clear"/>
            <w:vAlign w:val="center"/>
          </w:tcPr>
          <w:p>
            <w:pPr>
              <w:pStyle w:val="TableContents"/>
              <w:spacing w:before="0" w:after="0"/>
              <w:jc w:val="right"/>
              <w:rPr>
                <w:rFonts w:ascii="Arial" w:hAnsi="Arial"/>
                <w:sz w:val="17"/>
              </w:rPr>
            </w:pPr>
            <w:r>
              <w:rPr>
                <w:rFonts w:ascii="Arial" w:hAnsi="Arial"/>
                <w:sz w:val="17"/>
              </w:rPr>
              <w:t>1.95</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from discontinued operations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0.07</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0.66</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1.08</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2.05</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(0.04</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1.32</w:t>
            </w:r>
          </w:p>
        </w:tc>
        <w:tc>
          <w:tcPr>
            <w:tcW w:w="1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1.39</w:t>
            </w:r>
          </w:p>
        </w:tc>
        <w:tc>
          <w:tcPr>
            <w:tcW w:w="1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9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4.00</w:t>
            </w:r>
          </w:p>
        </w:tc>
        <w:tc>
          <w:tcPr>
            <w:tcW w:w="29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Diluted:</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7" w:type="dxa"/>
            <w:gridSpan w:val="3"/>
            <w:tcBorders/>
            <w:shd w:fill="auto" w:val="clear"/>
            <w:vAlign w:val="center"/>
          </w:tcPr>
          <w:p>
            <w:pPr>
              <w:pStyle w:val="TableContents"/>
              <w:spacing w:before="0" w:after="0"/>
              <w:ind w:left="0" w:right="0" w:firstLine="180"/>
              <w:jc w:val="left"/>
              <w:rPr/>
            </w:pPr>
            <w:r>
              <w:rPr/>
              <w:t> </w:t>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(Loss) income from continuing operations</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(0.11</w:t>
            </w:r>
          </w:p>
        </w:tc>
        <w:tc>
          <w:tcPr>
            <w:tcW w:w="18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4" w:type="dxa"/>
            <w:tcBorders/>
            <w:shd w:fill="auto" w:val="clear"/>
            <w:vAlign w:val="center"/>
          </w:tcPr>
          <w:p>
            <w:pPr>
              <w:pStyle w:val="TableContents"/>
              <w:spacing w:before="0" w:after="0"/>
              <w:jc w:val="right"/>
              <w:rPr>
                <w:rFonts w:ascii="Arial" w:hAnsi="Arial"/>
                <w:sz w:val="17"/>
              </w:rPr>
            </w:pPr>
            <w:r>
              <w:rPr>
                <w:rFonts w:ascii="Arial" w:hAnsi="Arial"/>
                <w:sz w:val="17"/>
              </w:rPr>
              <w:t>0.66</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0.31</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986" w:type="dxa"/>
            <w:tcBorders/>
            <w:shd w:fill="auto" w:val="clear"/>
            <w:vAlign w:val="center"/>
          </w:tcPr>
          <w:p>
            <w:pPr>
              <w:pStyle w:val="TableContents"/>
              <w:spacing w:before="0" w:after="0"/>
              <w:jc w:val="right"/>
              <w:rPr>
                <w:rFonts w:ascii="Arial" w:hAnsi="Arial"/>
                <w:sz w:val="17"/>
              </w:rPr>
            </w:pPr>
            <w:r>
              <w:rPr>
                <w:rFonts w:ascii="Arial" w:hAnsi="Arial"/>
                <w:sz w:val="17"/>
              </w:rPr>
              <w:t>1.95</w:t>
            </w:r>
          </w:p>
        </w:tc>
        <w:tc>
          <w:tcPr>
            <w:tcW w:w="29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from discontinued operations</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0.07</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35" w:type="dxa"/>
            <w:gridSpan w:val="2"/>
            <w:tcBorders/>
            <w:shd w:fill="auto" w:val="clear"/>
            <w:vAlign w:val="center"/>
          </w:tcPr>
          <w:p>
            <w:pPr>
              <w:pStyle w:val="TableContents"/>
              <w:spacing w:before="0" w:after="0"/>
              <w:jc w:val="right"/>
              <w:rPr>
                <w:rFonts w:ascii="Arial" w:hAnsi="Arial"/>
                <w:sz w:val="17"/>
              </w:rPr>
            </w:pPr>
            <w:r>
              <w:rPr>
                <w:rFonts w:ascii="Arial" w:hAnsi="Arial"/>
                <w:sz w:val="17"/>
              </w:rPr>
              <w:t>0.66</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Arial" w:hAnsi="Arial"/>
                <w:sz w:val="17"/>
              </w:rPr>
            </w:pPr>
            <w:r>
              <w:rPr>
                <w:rFonts w:ascii="Arial" w:hAnsi="Arial"/>
                <w:sz w:val="17"/>
              </w:rPr>
              <w:t>1.08</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37" w:type="dxa"/>
            <w:gridSpan w:val="2"/>
            <w:tcBorders/>
            <w:shd w:fill="auto" w:val="clear"/>
            <w:vAlign w:val="center"/>
          </w:tcPr>
          <w:p>
            <w:pPr>
              <w:pStyle w:val="TableContents"/>
              <w:spacing w:before="0" w:after="0"/>
              <w:jc w:val="right"/>
              <w:rPr>
                <w:rFonts w:ascii="Arial" w:hAnsi="Arial"/>
                <w:sz w:val="17"/>
              </w:rPr>
            </w:pPr>
            <w:r>
              <w:rPr>
                <w:rFonts w:ascii="Arial" w:hAnsi="Arial"/>
                <w:sz w:val="17"/>
              </w:rPr>
              <w:t>2.05</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(0.04</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5" w:type="dxa"/>
            <w:tcBorders/>
            <w:shd w:fill="auto"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1.32</w:t>
            </w:r>
          </w:p>
        </w:tc>
        <w:tc>
          <w:tcPr>
            <w:tcW w:w="1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1.39</w:t>
            </w:r>
          </w:p>
        </w:tc>
        <w:tc>
          <w:tcPr>
            <w:tcW w:w="1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9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4.00</w:t>
            </w:r>
          </w:p>
        </w:tc>
        <w:tc>
          <w:tcPr>
            <w:tcW w:w="29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5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dividends declared per share</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0.32</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64" w:type="dxa"/>
            <w:tcBorders/>
            <w:shd w:fill="auto" w:val="clear"/>
            <w:vAlign w:val="center"/>
          </w:tcPr>
          <w:p>
            <w:pPr>
              <w:pStyle w:val="TableContents"/>
              <w:spacing w:before="0" w:after="0"/>
              <w:jc w:val="right"/>
              <w:rPr>
                <w:rFonts w:ascii="Arial" w:hAnsi="Arial"/>
                <w:sz w:val="17"/>
              </w:rPr>
            </w:pPr>
            <w:r>
              <w:rPr>
                <w:rFonts w:ascii="Arial" w:hAnsi="Arial"/>
                <w:sz w:val="17"/>
              </w:rPr>
              <w:t>0.48</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5.28</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986" w:type="dxa"/>
            <w:tcBorders/>
            <w:shd w:fill="auto" w:val="clear"/>
            <w:vAlign w:val="center"/>
          </w:tcPr>
          <w:p>
            <w:pPr>
              <w:pStyle w:val="TableContents"/>
              <w:spacing w:before="0" w:after="0"/>
              <w:jc w:val="right"/>
              <w:rPr>
                <w:rFonts w:ascii="Arial" w:hAnsi="Arial"/>
                <w:sz w:val="17"/>
              </w:rPr>
            </w:pPr>
            <w:r>
              <w:rPr>
                <w:rFonts w:ascii="Arial" w:hAnsi="Arial"/>
                <w:sz w:val="17"/>
              </w:rPr>
              <w:t>1.44</w:t>
            </w:r>
          </w:p>
        </w:tc>
        <w:tc>
          <w:tcPr>
            <w:tcW w:w="29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Arial" w:hAnsi="Arial"/>
          <w:sz w:val="17"/>
        </w:rPr>
      </w:pPr>
      <w:r>
        <w:rPr>
          <w:rFonts w:ascii="Arial" w:hAnsi="Arial"/>
          <w:sz w:val="17"/>
        </w:rPr>
        <w:t>7</w:t>
      </w:r>
      <w:r>
        <w:br w:type="page"/>
      </w:r>
    </w:p>
    <w:p>
      <w:pPr>
        <w:pStyle w:val="TextBody"/>
        <w:spacing w:before="0" w:after="0"/>
        <w:rPr/>
      </w:pPr>
      <w:r>
        <w:rPr/>
      </w:r>
      <w:bookmarkStart w:id="31" w:name="s23ca12f525c04bdfb08ce96942527b33"/>
      <w:bookmarkStart w:id="32" w:name="s23ca12f525c04bdfb08ce96942527b33"/>
      <w:bookmarkEnd w:id="32"/>
    </w:p>
    <w:p>
      <w:pPr>
        <w:pStyle w:val="TextBody"/>
        <w:spacing w:lineRule="auto" w:line="288" w:before="0" w:after="0"/>
        <w:jc w:val="center"/>
        <w:rPr>
          <w:rFonts w:ascii="Arial" w:hAnsi="Arial"/>
          <w:b/>
          <w:sz w:val="17"/>
        </w:rPr>
      </w:pPr>
      <w:r>
        <w:rPr>
          <w:rFonts w:ascii="Arial" w:hAnsi="Arial"/>
          <w:b/>
          <w:sz w:val="17"/>
        </w:rPr>
        <w:t>LEIDOS HOLDINGS, INC.</w:t>
      </w:r>
    </w:p>
    <w:p>
      <w:pPr>
        <w:pStyle w:val="TextBody"/>
        <w:spacing w:lineRule="auto" w:line="288" w:before="0" w:after="0"/>
        <w:jc w:val="center"/>
        <w:rPr>
          <w:rFonts w:ascii="Arial" w:hAnsi="Arial"/>
          <w:b/>
          <w:sz w:val="17"/>
        </w:rPr>
      </w:pPr>
      <w:r>
        <w:rPr>
          <w:rFonts w:ascii="Arial" w:hAnsi="Arial"/>
          <w:b/>
          <w:sz w:val="17"/>
        </w:rPr>
        <w:t>CONDENSED CONSOLIDATED BALANCE SHEETS</w:t>
      </w:r>
    </w:p>
    <w:p>
      <w:pPr>
        <w:pStyle w:val="TextBody"/>
        <w:spacing w:lineRule="auto" w:line="288" w:before="0" w:after="0"/>
        <w:jc w:val="center"/>
        <w:rPr>
          <w:rFonts w:ascii="Arial" w:hAnsi="Arial"/>
          <w:b/>
          <w:sz w:val="17"/>
        </w:rPr>
      </w:pPr>
      <w:r>
        <w:rPr>
          <w:rFonts w:ascii="Arial" w:hAnsi="Arial"/>
          <w:b/>
          <w:sz w:val="17"/>
        </w:rPr>
        <w:t>(UNAUDITED)</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6793"/>
        <w:gridCol w:w="174"/>
        <w:gridCol w:w="1126"/>
        <w:gridCol w:w="176"/>
        <w:gridCol w:w="150"/>
        <w:gridCol w:w="167"/>
        <w:gridCol w:w="1098"/>
        <w:gridCol w:w="52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79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93" w:type="dxa"/>
            <w:tcBorders/>
            <w:shd w:fill="auto" w:val="clear"/>
            <w:vAlign w:val="center"/>
          </w:tcPr>
          <w:p>
            <w:pPr>
              <w:pStyle w:val="TableContents"/>
              <w:spacing w:before="0" w:after="0"/>
              <w:ind w:left="0" w:right="0" w:firstLine="30"/>
              <w:rPr/>
            </w:pPr>
            <w:r>
              <w:rPr/>
              <w:t> </w:t>
            </w:r>
          </w:p>
        </w:tc>
        <w:tc>
          <w:tcPr>
            <w:tcW w:w="14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November 1, 2013</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January 31,</w:t>
              <w:br/>
              <w:t>2013</w:t>
            </w:r>
          </w:p>
        </w:tc>
      </w:tr>
      <w:tr>
        <w:trPr/>
        <w:tc>
          <w:tcPr>
            <w:tcW w:w="6793" w:type="dxa"/>
            <w:tcBorders/>
            <w:shd w:fill="auto" w:val="clear"/>
            <w:vAlign w:val="center"/>
          </w:tcPr>
          <w:p>
            <w:pPr>
              <w:pStyle w:val="TableContents"/>
              <w:spacing w:before="0" w:after="0"/>
              <w:ind w:left="0" w:right="0" w:firstLine="30"/>
              <w:jc w:val="left"/>
              <w:rPr/>
            </w:pPr>
            <w:r>
              <w:rPr/>
              <w:t> </w:t>
            </w:r>
          </w:p>
        </w:tc>
        <w:tc>
          <w:tcPr>
            <w:tcW w:w="3412" w:type="dxa"/>
            <w:gridSpan w:val="7"/>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t>(in millions)</w:t>
            </w:r>
          </w:p>
        </w:tc>
      </w:tr>
      <w:tr>
        <w:trPr/>
        <w:tc>
          <w:tcPr>
            <w:tcW w:w="6793"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ASSETS</w:t>
            </w:r>
          </w:p>
        </w:tc>
        <w:tc>
          <w:tcPr>
            <w:tcW w:w="1476"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shd w:fill="auto" w:val="clear"/>
            <w:vAlign w:val="center"/>
          </w:tcPr>
          <w:p>
            <w:pPr>
              <w:pStyle w:val="TableContents"/>
              <w:spacing w:before="0" w:after="0"/>
              <w:ind w:left="0" w:right="0" w:firstLine="30"/>
              <w:jc w:val="left"/>
              <w:rPr/>
            </w:pPr>
            <w:r>
              <w:rPr/>
              <w:t> </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Current assets:</w:t>
            </w:r>
          </w:p>
        </w:tc>
        <w:tc>
          <w:tcPr>
            <w:tcW w:w="1476"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shd w:fill="auto" w:val="clear"/>
            <w:vAlign w:val="center"/>
          </w:tcPr>
          <w:p>
            <w:pPr>
              <w:pStyle w:val="TableContents"/>
              <w:spacing w:before="0" w:after="0"/>
              <w:ind w:left="0" w:right="0" w:firstLine="180"/>
              <w:jc w:val="left"/>
              <w:rPr/>
            </w:pPr>
            <w:r>
              <w:rPr/>
              <w:t> </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and cash equivalents</w:t>
            </w:r>
          </w:p>
        </w:tc>
        <w:tc>
          <w:tcPr>
            <w:tcW w:w="174"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26" w:type="dxa"/>
            <w:tcBorders/>
            <w:shd w:fill="auto" w:val="clear"/>
            <w:vAlign w:val="center"/>
          </w:tcPr>
          <w:p>
            <w:pPr>
              <w:pStyle w:val="TableContents"/>
              <w:spacing w:before="0" w:after="0"/>
              <w:jc w:val="right"/>
              <w:rPr>
                <w:rFonts w:ascii="Arial" w:hAnsi="Arial"/>
                <w:sz w:val="17"/>
              </w:rPr>
            </w:pPr>
            <w:r>
              <w:rPr>
                <w:rFonts w:ascii="Arial" w:hAnsi="Arial"/>
                <w:sz w:val="17"/>
              </w:rPr>
              <w:t>814</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8" w:type="dxa"/>
            <w:tcBorders/>
            <w:shd w:fill="auto" w:val="clear"/>
            <w:vAlign w:val="center"/>
          </w:tcPr>
          <w:p>
            <w:pPr>
              <w:pStyle w:val="TableContents"/>
              <w:spacing w:before="0" w:after="0"/>
              <w:jc w:val="right"/>
              <w:rPr>
                <w:rFonts w:ascii="Arial" w:hAnsi="Arial"/>
                <w:sz w:val="17"/>
              </w:rPr>
            </w:pPr>
            <w:r>
              <w:rPr>
                <w:rFonts w:ascii="Arial" w:hAnsi="Arial"/>
                <w:sz w:val="17"/>
              </w:rPr>
              <w:t>735</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Receivables, net</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1,161</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1,168</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Inventory, prepaid expenses and other current assets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298</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342</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Assets of discontinued operations</w:t>
            </w:r>
          </w:p>
        </w:tc>
        <w:tc>
          <w:tcPr>
            <w:tcW w:w="1300"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13</w:t>
            </w:r>
          </w:p>
        </w:tc>
        <w:tc>
          <w:tcPr>
            <w:tcW w:w="1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1,371</w:t>
            </w:r>
          </w:p>
        </w:tc>
        <w:tc>
          <w:tcPr>
            <w:tcW w:w="521"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current assets</w:t>
            </w:r>
          </w:p>
        </w:tc>
        <w:tc>
          <w:tcPr>
            <w:tcW w:w="1300"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2,286</w:t>
            </w:r>
          </w:p>
        </w:tc>
        <w:tc>
          <w:tcPr>
            <w:tcW w:w="17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3,616</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 xml:space="preserve">Property, plant and equipment, net </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473</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288</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Intangible assets, net</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100</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178</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Goodwill</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1,704</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1,704</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Deferred income taxes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10</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12</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 assets</w:t>
            </w:r>
          </w:p>
        </w:tc>
        <w:tc>
          <w:tcPr>
            <w:tcW w:w="1300"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62</w:t>
            </w:r>
          </w:p>
        </w:tc>
        <w:tc>
          <w:tcPr>
            <w:tcW w:w="1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77</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pPr>
            <w:r>
              <w:rPr/>
              <w:t> </w:t>
            </w:r>
          </w:p>
        </w:tc>
        <w:tc>
          <w:tcPr>
            <w:tcW w:w="17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4,635</w:t>
            </w:r>
          </w:p>
        </w:tc>
        <w:tc>
          <w:tcPr>
            <w:tcW w:w="1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5,875</w:t>
            </w:r>
          </w:p>
        </w:tc>
        <w:tc>
          <w:tcPr>
            <w:tcW w:w="52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LIABILITIES AND STOCKHOLDERS’ EQUITY</w:t>
            </w:r>
          </w:p>
        </w:tc>
        <w:tc>
          <w:tcPr>
            <w:tcW w:w="1476"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shd w:fill="auto" w:val="clear"/>
            <w:vAlign w:val="center"/>
          </w:tcPr>
          <w:p>
            <w:pPr>
              <w:pStyle w:val="TableContents"/>
              <w:spacing w:before="0" w:after="0"/>
              <w:ind w:left="0" w:right="0" w:firstLine="30"/>
              <w:jc w:val="left"/>
              <w:rPr/>
            </w:pPr>
            <w:r>
              <w:rPr/>
              <w:t> </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Current liabilities:</w:t>
            </w:r>
          </w:p>
        </w:tc>
        <w:tc>
          <w:tcPr>
            <w:tcW w:w="1476"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shd w:fill="auto" w:val="clear"/>
            <w:vAlign w:val="center"/>
          </w:tcPr>
          <w:p>
            <w:pPr>
              <w:pStyle w:val="TableContents"/>
              <w:spacing w:before="0" w:after="0"/>
              <w:ind w:left="0" w:right="0" w:firstLine="180"/>
              <w:jc w:val="left"/>
              <w:rPr/>
            </w:pPr>
            <w:r>
              <w:rPr/>
              <w:t> </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Accounts payable and accrued liabilities</w:t>
            </w:r>
          </w:p>
        </w:tc>
        <w:tc>
          <w:tcPr>
            <w:tcW w:w="174"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26" w:type="dxa"/>
            <w:tcBorders/>
            <w:shd w:fill="auto" w:val="clear"/>
            <w:vAlign w:val="center"/>
          </w:tcPr>
          <w:p>
            <w:pPr>
              <w:pStyle w:val="TableContents"/>
              <w:spacing w:before="0" w:after="0"/>
              <w:jc w:val="right"/>
              <w:rPr>
                <w:rFonts w:ascii="Arial" w:hAnsi="Arial"/>
                <w:sz w:val="17"/>
              </w:rPr>
            </w:pPr>
            <w:r>
              <w:rPr>
                <w:rFonts w:ascii="Arial" w:hAnsi="Arial"/>
                <w:sz w:val="17"/>
              </w:rPr>
              <w:t>782</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8" w:type="dxa"/>
            <w:tcBorders/>
            <w:shd w:fill="auto" w:val="clear"/>
            <w:vAlign w:val="center"/>
          </w:tcPr>
          <w:p>
            <w:pPr>
              <w:pStyle w:val="TableContents"/>
              <w:spacing w:before="0" w:after="0"/>
              <w:jc w:val="right"/>
              <w:rPr>
                <w:rFonts w:ascii="Arial" w:hAnsi="Arial"/>
                <w:sz w:val="17"/>
              </w:rPr>
            </w:pPr>
            <w:r>
              <w:rPr>
                <w:rFonts w:ascii="Arial" w:hAnsi="Arial"/>
                <w:sz w:val="17"/>
              </w:rPr>
              <w:t>787</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Accrued payroll and employee benefits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307</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357</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pPr>
            <w:r>
              <w:rPr/>
              <w:t>  </w:t>
            </w:r>
            <w:r>
              <w:rPr>
                <w:rFonts w:ascii="Arial" w:hAnsi="Arial"/>
                <w:sz w:val="17"/>
              </w:rPr>
              <w:t>Notes payable and long-term debt, current portion</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151</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pPr>
            <w:r>
              <w:rPr/>
              <w:t>—</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pPr>
            <w:r>
              <w:rPr/>
              <w:t>  </w:t>
            </w:r>
            <w:r>
              <w:rPr>
                <w:rFonts w:ascii="Arial" w:hAnsi="Arial"/>
                <w:sz w:val="17"/>
              </w:rPr>
              <w:t>Liabilities of discontinued operations</w:t>
            </w:r>
          </w:p>
        </w:tc>
        <w:tc>
          <w:tcPr>
            <w:tcW w:w="130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648</w:t>
            </w:r>
          </w:p>
        </w:tc>
        <w:tc>
          <w:tcPr>
            <w:tcW w:w="52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current liabilities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1,240</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1,792</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Notes payable and long-term debt, net of current portion</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1,330</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1,295</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 long-term liabilities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182</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170</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 xml:space="preserve">Commitments and contingencies </w:t>
            </w:r>
          </w:p>
        </w:tc>
        <w:tc>
          <w:tcPr>
            <w:tcW w:w="1476"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shd w:fill="auto" w:val="clear"/>
            <w:vAlign w:val="center"/>
          </w:tcPr>
          <w:p>
            <w:pPr>
              <w:pStyle w:val="TableContents"/>
              <w:spacing w:before="0" w:after="0"/>
              <w:ind w:left="0" w:right="0" w:firstLine="30"/>
              <w:jc w:val="left"/>
              <w:rPr/>
            </w:pPr>
            <w:r>
              <w:rPr/>
              <w:t> </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Stockholders’ equity:</w:t>
            </w:r>
          </w:p>
        </w:tc>
        <w:tc>
          <w:tcPr>
            <w:tcW w:w="1476"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86" w:type="dxa"/>
            <w:gridSpan w:val="3"/>
            <w:tcBorders/>
            <w:shd w:fill="auto" w:val="clear"/>
            <w:vAlign w:val="center"/>
          </w:tcPr>
          <w:p>
            <w:pPr>
              <w:pStyle w:val="TableContents"/>
              <w:spacing w:before="0" w:after="0"/>
              <w:ind w:left="0" w:right="0" w:firstLine="180"/>
              <w:jc w:val="left"/>
              <w:rPr/>
            </w:pPr>
            <w:r>
              <w:rPr/>
              <w:t> </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Common stock, $.0001 par value, 500 million shares authorized, 86 million shares issued and outstanding at November 1, 2013 and January 31, 2013, respectively</w:t>
            </w:r>
          </w:p>
        </w:tc>
        <w:tc>
          <w:tcPr>
            <w:tcW w:w="1300" w:type="dxa"/>
            <w:gridSpan w:val="2"/>
            <w:tcBorders/>
            <w:shd w:fill="auto" w:val="clear"/>
            <w:vAlign w:val="center"/>
          </w:tcPr>
          <w:p>
            <w:pPr>
              <w:pStyle w:val="TableContents"/>
              <w:spacing w:before="0" w:after="0"/>
              <w:jc w:val="right"/>
              <w:rPr/>
            </w:pPr>
            <w:r>
              <w:rPr/>
              <w:t>—</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pPr>
            <w:r>
              <w:rPr/>
              <w:t>—</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Additional paid-in capital</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1,735</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2,110</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Retained earnings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150</w:t>
            </w:r>
          </w:p>
        </w:tc>
        <w:tc>
          <w:tcPr>
            <w:tcW w:w="1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510</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Accumulated other comprehensive loss</w:t>
            </w:r>
          </w:p>
        </w:tc>
        <w:tc>
          <w:tcPr>
            <w:tcW w:w="1300"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17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521" w:type="dxa"/>
            <w:tcBorders/>
            <w:shd w:fill="auto" w:val="clear"/>
            <w:vAlign w:val="center"/>
          </w:tcPr>
          <w:p>
            <w:pPr>
              <w:pStyle w:val="TableContents"/>
              <w:spacing w:before="0" w:after="0"/>
              <w:ind w:left="0" w:right="0" w:firstLine="420"/>
              <w:jc w:val="left"/>
              <w:rPr>
                <w:rFonts w:ascii="Arial" w:hAnsi="Arial"/>
                <w:sz w:val="17"/>
              </w:rPr>
            </w:pPr>
            <w:r>
              <w:rPr>
                <w:rFonts w:ascii="Arial" w:hAnsi="Arial"/>
                <w:sz w:val="17"/>
              </w:rPr>
              <w:t>)</w:t>
            </w:r>
          </w:p>
        </w:tc>
      </w:tr>
      <w:tr>
        <w:trPr/>
        <w:tc>
          <w:tcPr>
            <w:tcW w:w="6793"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stockholders’ equity</w:t>
            </w:r>
          </w:p>
        </w:tc>
        <w:tc>
          <w:tcPr>
            <w:tcW w:w="1300"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1,883</w:t>
            </w:r>
          </w:p>
        </w:tc>
        <w:tc>
          <w:tcPr>
            <w:tcW w:w="17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65" w:type="dxa"/>
            <w:gridSpan w:val="2"/>
            <w:tcBorders>
              <w:top w:val="single" w:sz="2" w:space="0" w:color="000000"/>
            </w:tcBorders>
            <w:shd w:fill="auto" w:val="clear"/>
            <w:tcMar>
              <w:top w:w="30" w:type="dxa"/>
            </w:tcMar>
            <w:vAlign w:val="center"/>
          </w:tcPr>
          <w:p>
            <w:pPr>
              <w:pStyle w:val="TableContents"/>
              <w:spacing w:before="0" w:after="0"/>
              <w:jc w:val="right"/>
              <w:rPr>
                <w:rFonts w:ascii="Arial" w:hAnsi="Arial"/>
                <w:sz w:val="17"/>
              </w:rPr>
            </w:pPr>
            <w:r>
              <w:rPr>
                <w:rFonts w:ascii="Arial" w:hAnsi="Arial"/>
                <w:sz w:val="17"/>
              </w:rPr>
              <w:t>2,618</w:t>
            </w:r>
          </w:p>
        </w:tc>
        <w:tc>
          <w:tcPr>
            <w:tcW w:w="52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93" w:type="dxa"/>
            <w:tcBorders/>
            <w:shd w:fill="auto" w:val="clear"/>
            <w:vAlign w:val="center"/>
          </w:tcPr>
          <w:p>
            <w:pPr>
              <w:pStyle w:val="TableContents"/>
              <w:spacing w:before="0" w:after="0"/>
              <w:ind w:left="0" w:right="0" w:firstLine="30"/>
              <w:jc w:val="left"/>
              <w:rPr/>
            </w:pPr>
            <w:r>
              <w:rPr/>
              <w:t> </w:t>
            </w:r>
          </w:p>
        </w:tc>
        <w:tc>
          <w:tcPr>
            <w:tcW w:w="17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4,635</w:t>
            </w:r>
          </w:p>
        </w:tc>
        <w:tc>
          <w:tcPr>
            <w:tcW w:w="1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5,875</w:t>
            </w:r>
          </w:p>
        </w:tc>
        <w:tc>
          <w:tcPr>
            <w:tcW w:w="52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Arial" w:hAnsi="Arial"/>
          <w:sz w:val="17"/>
        </w:rPr>
      </w:pPr>
      <w:r>
        <w:rPr>
          <w:rFonts w:ascii="Arial" w:hAnsi="Arial"/>
          <w:sz w:val="17"/>
        </w:rPr>
        <w:t>8</w:t>
      </w:r>
      <w:r>
        <w:br w:type="page"/>
      </w:r>
    </w:p>
    <w:p>
      <w:pPr>
        <w:pStyle w:val="TextBody"/>
        <w:spacing w:before="0" w:after="0"/>
        <w:rPr/>
      </w:pPr>
      <w:r>
        <w:rPr/>
      </w:r>
      <w:bookmarkStart w:id="33" w:name="se4e1f18d0b1e4e09a8e8cb20c14d516b"/>
      <w:bookmarkStart w:id="34" w:name="se4e1f18d0b1e4e09a8e8cb20c14d516b"/>
      <w:bookmarkEnd w:id="34"/>
    </w:p>
    <w:p>
      <w:pPr>
        <w:pStyle w:val="TextBody"/>
        <w:spacing w:lineRule="auto" w:line="288" w:before="0" w:after="0"/>
        <w:jc w:val="center"/>
        <w:rPr>
          <w:rFonts w:ascii="Arial" w:hAnsi="Arial"/>
          <w:b/>
          <w:sz w:val="17"/>
        </w:rPr>
      </w:pPr>
      <w:r>
        <w:rPr>
          <w:rFonts w:ascii="Arial" w:hAnsi="Arial"/>
          <w:b/>
          <w:sz w:val="17"/>
        </w:rPr>
        <w:t>LEIDOS HOLDINGS, INC.</w:t>
      </w:r>
    </w:p>
    <w:p>
      <w:pPr>
        <w:pStyle w:val="TextBody"/>
        <w:spacing w:lineRule="auto" w:line="288" w:before="0" w:after="0"/>
        <w:jc w:val="center"/>
        <w:rPr>
          <w:rFonts w:ascii="Arial" w:hAnsi="Arial"/>
          <w:b/>
          <w:sz w:val="17"/>
        </w:rPr>
      </w:pPr>
      <w:r>
        <w:rPr>
          <w:rFonts w:ascii="Arial" w:hAnsi="Arial"/>
          <w:b/>
          <w:sz w:val="17"/>
        </w:rPr>
        <w:t>CONDENSED CONSOLIDATED STATEMENTS OF CASH FLOWS</w:t>
      </w:r>
    </w:p>
    <w:p>
      <w:pPr>
        <w:pStyle w:val="TextBody"/>
        <w:spacing w:lineRule="auto" w:line="288" w:before="0" w:after="0"/>
        <w:jc w:val="center"/>
        <w:rPr>
          <w:rFonts w:ascii="Arial" w:hAnsi="Arial"/>
          <w:b/>
          <w:sz w:val="17"/>
        </w:rPr>
      </w:pPr>
      <w:r>
        <w:rPr>
          <w:rFonts w:ascii="Arial" w:hAnsi="Arial"/>
          <w:b/>
          <w:sz w:val="17"/>
        </w:rPr>
        <w:t>(UNAUDITED)</w:t>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3719"/>
        <w:gridCol w:w="280"/>
        <w:gridCol w:w="900"/>
        <w:gridCol w:w="281"/>
        <w:gridCol w:w="138"/>
        <w:gridCol w:w="215"/>
        <w:gridCol w:w="974"/>
        <w:gridCol w:w="216"/>
        <w:gridCol w:w="138"/>
        <w:gridCol w:w="227"/>
        <w:gridCol w:w="1007"/>
        <w:gridCol w:w="228"/>
        <w:gridCol w:w="138"/>
        <w:gridCol w:w="157"/>
        <w:gridCol w:w="822"/>
        <w:gridCol w:w="76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1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19" w:type="dxa"/>
            <w:tcBorders/>
            <w:shd w:fill="auto" w:val="clear"/>
            <w:vAlign w:val="center"/>
          </w:tcPr>
          <w:p>
            <w:pPr>
              <w:pStyle w:val="TableContents"/>
              <w:spacing w:before="0" w:after="0"/>
              <w:ind w:left="0" w:right="0" w:firstLine="30"/>
              <w:rPr/>
            </w:pPr>
            <w:r>
              <w:rPr/>
              <w:t> </w:t>
            </w:r>
          </w:p>
        </w:tc>
        <w:tc>
          <w:tcPr>
            <w:tcW w:w="300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Three Months Ended</w:t>
            </w:r>
          </w:p>
        </w:tc>
        <w:tc>
          <w:tcPr>
            <w:tcW w:w="138" w:type="dxa"/>
            <w:tcBorders/>
            <w:shd w:fill="auto" w:val="clear"/>
            <w:vAlign w:val="center"/>
          </w:tcPr>
          <w:p>
            <w:pPr>
              <w:pStyle w:val="TableContents"/>
              <w:spacing w:before="0" w:after="0"/>
              <w:ind w:left="0" w:right="0" w:firstLine="30"/>
              <w:rPr/>
            </w:pPr>
            <w:r>
              <w:rPr/>
              <w:t> </w:t>
            </w:r>
          </w:p>
        </w:tc>
        <w:tc>
          <w:tcPr>
            <w:tcW w:w="334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Nine Months Ended</w:t>
            </w:r>
          </w:p>
        </w:tc>
      </w:tr>
      <w:tr>
        <w:trPr/>
        <w:tc>
          <w:tcPr>
            <w:tcW w:w="3719" w:type="dxa"/>
            <w:tcBorders/>
            <w:shd w:fill="auto" w:val="clear"/>
            <w:vAlign w:val="center"/>
          </w:tcPr>
          <w:p>
            <w:pPr>
              <w:pStyle w:val="TableContents"/>
              <w:spacing w:before="0" w:after="0"/>
              <w:ind w:left="0" w:right="0" w:firstLine="30"/>
              <w:jc w:val="left"/>
              <w:rPr/>
            </w:pPr>
            <w:r>
              <w:rPr/>
              <w:t> </w:t>
            </w:r>
          </w:p>
        </w:tc>
        <w:tc>
          <w:tcPr>
            <w:tcW w:w="14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November 1, </w:t>
              <w:br/>
              <w:t>2013</w:t>
            </w:r>
          </w:p>
        </w:tc>
        <w:tc>
          <w:tcPr>
            <w:tcW w:w="138" w:type="dxa"/>
            <w:tcBorders/>
            <w:shd w:fill="auto" w:val="clear"/>
            <w:vAlign w:val="center"/>
          </w:tcPr>
          <w:p>
            <w:pPr>
              <w:pStyle w:val="TableContents"/>
              <w:spacing w:before="0" w:after="0"/>
              <w:ind w:left="0" w:right="0" w:firstLine="30"/>
              <w:rPr/>
            </w:pPr>
            <w:r>
              <w:rPr/>
              <w:t> </w:t>
            </w:r>
          </w:p>
        </w:tc>
        <w:tc>
          <w:tcPr>
            <w:tcW w:w="14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October 31, </w:t>
              <w:br/>
              <w:t>2012</w:t>
            </w:r>
          </w:p>
        </w:tc>
        <w:tc>
          <w:tcPr>
            <w:tcW w:w="138" w:type="dxa"/>
            <w:tcBorders/>
            <w:shd w:fill="auto" w:val="clear"/>
            <w:vAlign w:val="center"/>
          </w:tcPr>
          <w:p>
            <w:pPr>
              <w:pStyle w:val="TableContents"/>
              <w:spacing w:before="0" w:after="0"/>
              <w:ind w:left="0" w:right="0" w:firstLine="30"/>
              <w:rPr/>
            </w:pPr>
            <w:r>
              <w:rPr/>
              <w:t> </w:t>
            </w:r>
          </w:p>
        </w:tc>
        <w:tc>
          <w:tcPr>
            <w:tcW w:w="14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November 1, </w:t>
              <w:br/>
              <w:t>2013</w:t>
            </w:r>
          </w:p>
        </w:tc>
        <w:tc>
          <w:tcPr>
            <w:tcW w:w="138" w:type="dxa"/>
            <w:tcBorders/>
            <w:shd w:fill="auto" w:val="clear"/>
            <w:vAlign w:val="center"/>
          </w:tcPr>
          <w:p>
            <w:pPr>
              <w:pStyle w:val="TableContents"/>
              <w:spacing w:before="0" w:after="0"/>
              <w:ind w:left="0" w:right="0" w:firstLine="30"/>
              <w:rPr/>
            </w:pPr>
            <w:r>
              <w:rPr/>
              <w:t> </w:t>
            </w:r>
          </w:p>
        </w:tc>
        <w:tc>
          <w:tcPr>
            <w:tcW w:w="17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 xml:space="preserve">October 31, </w:t>
              <w:br/>
              <w:t>2012</w:t>
            </w:r>
          </w:p>
        </w:tc>
      </w:tr>
      <w:tr>
        <w:trPr/>
        <w:tc>
          <w:tcPr>
            <w:tcW w:w="3719" w:type="dxa"/>
            <w:tcBorders/>
            <w:shd w:fill="auto" w:val="clear"/>
            <w:vAlign w:val="center"/>
          </w:tcPr>
          <w:p>
            <w:pPr>
              <w:pStyle w:val="TableContents"/>
              <w:spacing w:before="0" w:after="0"/>
              <w:ind w:left="0" w:right="0" w:firstLine="30"/>
              <w:jc w:val="left"/>
              <w:rPr/>
            </w:pPr>
            <w:r>
              <w:rPr/>
              <w:t> </w:t>
            </w:r>
          </w:p>
        </w:tc>
        <w:tc>
          <w:tcPr>
            <w:tcW w:w="6486" w:type="dxa"/>
            <w:gridSpan w:val="15"/>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t>(in millions)</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flows from operations:</w:t>
            </w:r>
          </w:p>
        </w:tc>
        <w:tc>
          <w:tcPr>
            <w:tcW w:w="1461" w:type="dxa"/>
            <w:gridSpan w:val="3"/>
            <w:tcBorders/>
            <w:shd w:fill="auto" w:val="clear"/>
            <w:vAlign w:val="center"/>
          </w:tcPr>
          <w:p>
            <w:pPr>
              <w:pStyle w:val="TableContents"/>
              <w:spacing w:before="0" w:after="0"/>
              <w:ind w:left="0" w:right="0" w:firstLine="30"/>
              <w:jc w:val="left"/>
              <w:rPr/>
            </w:pPr>
            <w:r>
              <w:rPr/>
              <w:t> </w:t>
            </w:r>
          </w:p>
        </w:tc>
        <w:tc>
          <w:tcPr>
            <w:tcW w:w="138" w:type="dxa"/>
            <w:tcBorders/>
            <w:shd w:fill="auto" w:val="clear"/>
            <w:vAlign w:val="center"/>
          </w:tcPr>
          <w:p>
            <w:pPr>
              <w:pStyle w:val="TableContents"/>
              <w:spacing w:before="0" w:after="0"/>
              <w:ind w:left="0" w:right="0" w:firstLine="30"/>
              <w:rPr/>
            </w:pPr>
            <w:r>
              <w:rPr/>
              <w:t> </w:t>
            </w:r>
          </w:p>
        </w:tc>
        <w:tc>
          <w:tcPr>
            <w:tcW w:w="1405" w:type="dxa"/>
            <w:gridSpan w:val="3"/>
            <w:tcBorders/>
            <w:shd w:fill="auto" w:val="clear"/>
            <w:vAlign w:val="center"/>
          </w:tcPr>
          <w:p>
            <w:pPr>
              <w:pStyle w:val="TableContents"/>
              <w:spacing w:before="0" w:after="0"/>
              <w:ind w:left="0" w:right="0" w:firstLine="30"/>
              <w:jc w:val="left"/>
              <w:rPr/>
            </w:pPr>
            <w:r>
              <w:rPr/>
              <w:t> </w:t>
            </w:r>
          </w:p>
        </w:tc>
        <w:tc>
          <w:tcPr>
            <w:tcW w:w="138"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jc w:val="left"/>
              <w:rPr/>
            </w:pPr>
            <w:r>
              <w:rPr/>
              <w:t> </w:t>
            </w:r>
          </w:p>
        </w:tc>
        <w:tc>
          <w:tcPr>
            <w:tcW w:w="138" w:type="dxa"/>
            <w:tcBorders/>
            <w:shd w:fill="auto" w:val="clear"/>
            <w:vAlign w:val="center"/>
          </w:tcPr>
          <w:p>
            <w:pPr>
              <w:pStyle w:val="TableContents"/>
              <w:spacing w:before="0" w:after="0"/>
              <w:ind w:left="0" w:right="0" w:firstLine="30"/>
              <w:rPr/>
            </w:pPr>
            <w:r>
              <w:rPr/>
              <w:t> </w:t>
            </w:r>
          </w:p>
        </w:tc>
        <w:tc>
          <w:tcPr>
            <w:tcW w:w="1744" w:type="dxa"/>
            <w:gridSpan w:val="3"/>
            <w:tcBorders/>
            <w:shd w:fill="auto" w:val="clear"/>
            <w:vAlign w:val="center"/>
          </w:tcPr>
          <w:p>
            <w:pPr>
              <w:pStyle w:val="TableContents"/>
              <w:spacing w:before="0" w:after="0"/>
              <w:ind w:left="0" w:right="0" w:firstLine="180"/>
              <w:jc w:val="left"/>
              <w:rPr/>
            </w:pPr>
            <w:r>
              <w:rPr/>
              <w:t> </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Net (loss) income</w:t>
            </w:r>
          </w:p>
        </w:tc>
        <w:tc>
          <w:tcPr>
            <w:tcW w:w="28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900" w:type="dxa"/>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215"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974" w:type="dxa"/>
            <w:tcBorders/>
            <w:shd w:fill="auto" w:val="clear"/>
            <w:vAlign w:val="center"/>
          </w:tcPr>
          <w:p>
            <w:pPr>
              <w:pStyle w:val="TableContents"/>
              <w:spacing w:before="0" w:after="0"/>
              <w:jc w:val="right"/>
              <w:rPr>
                <w:rFonts w:ascii="Arial" w:hAnsi="Arial"/>
                <w:sz w:val="17"/>
              </w:rPr>
            </w:pPr>
            <w:r>
              <w:rPr>
                <w:rFonts w:ascii="Arial" w:hAnsi="Arial"/>
                <w:sz w:val="17"/>
              </w:rPr>
              <w:t>112</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07" w:type="dxa"/>
            <w:tcBorders/>
            <w:shd w:fill="auto" w:val="clear"/>
            <w:vAlign w:val="center"/>
          </w:tcPr>
          <w:p>
            <w:pPr>
              <w:pStyle w:val="TableContents"/>
              <w:spacing w:before="0" w:after="0"/>
              <w:jc w:val="right"/>
              <w:rPr>
                <w:rFonts w:ascii="Arial" w:hAnsi="Arial"/>
                <w:sz w:val="17"/>
              </w:rPr>
            </w:pPr>
            <w:r>
              <w:rPr>
                <w:rFonts w:ascii="Arial" w:hAnsi="Arial"/>
                <w:sz w:val="17"/>
              </w:rPr>
              <w:t>120</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822" w:type="dxa"/>
            <w:tcBorders/>
            <w:shd w:fill="auto" w:val="clear"/>
            <w:vAlign w:val="center"/>
          </w:tcPr>
          <w:p>
            <w:pPr>
              <w:pStyle w:val="TableContents"/>
              <w:spacing w:before="0" w:after="0"/>
              <w:jc w:val="right"/>
              <w:rPr>
                <w:rFonts w:ascii="Arial" w:hAnsi="Arial"/>
                <w:sz w:val="17"/>
              </w:rPr>
            </w:pPr>
            <w:r>
              <w:rPr>
                <w:rFonts w:ascii="Arial" w:hAnsi="Arial"/>
                <w:sz w:val="17"/>
              </w:rPr>
              <w:t>339</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from discontinued operations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(56</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(91</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(174</w:t>
            </w:r>
          </w:p>
        </w:tc>
        <w:tc>
          <w:tcPr>
            <w:tcW w:w="765"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Adjustments to reconcile net income to net cash provided by operations:</w:t>
            </w:r>
          </w:p>
        </w:tc>
        <w:tc>
          <w:tcPr>
            <w:tcW w:w="146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05"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744" w:type="dxa"/>
            <w:gridSpan w:val="3"/>
            <w:tcBorders/>
            <w:shd w:fill="auto" w:val="clear"/>
            <w:vAlign w:val="center"/>
          </w:tcPr>
          <w:p>
            <w:pPr>
              <w:pStyle w:val="TableContents"/>
              <w:spacing w:before="0" w:after="0"/>
              <w:ind w:left="0" w:right="0" w:firstLine="420"/>
              <w:jc w:val="left"/>
              <w:rPr/>
            </w:pPr>
            <w:r>
              <w:rPr/>
              <w:t> </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Depreciation and amortization</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12</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28</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66</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73</w:t>
            </w:r>
          </w:p>
        </w:tc>
        <w:tc>
          <w:tcPr>
            <w:tcW w:w="76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Stock-based compensation</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14</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43</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42</w:t>
            </w:r>
          </w:p>
        </w:tc>
        <w:tc>
          <w:tcPr>
            <w:tcW w:w="76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Intangible asset impairment losses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19</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51</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Inventory write-down</w:t>
            </w:r>
          </w:p>
        </w:tc>
        <w:tc>
          <w:tcPr>
            <w:tcW w:w="1180" w:type="dxa"/>
            <w:gridSpan w:val="2"/>
            <w:tcBorders/>
            <w:shd w:fill="auto" w:val="clear"/>
            <w:vAlign w:val="center"/>
          </w:tcPr>
          <w:p>
            <w:pPr>
              <w:pStyle w:val="TableContents"/>
              <w:spacing w:before="0" w:after="0"/>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Bad debt expense</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45</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45</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Net gain on sales and disposals of assets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(9</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(7</w:t>
            </w:r>
          </w:p>
        </w:tc>
        <w:tc>
          <w:tcPr>
            <w:tcW w:w="765" w:type="dxa"/>
            <w:tcBorders/>
            <w:shd w:fill="auto" w:val="clear"/>
            <w:vAlign w:val="center"/>
          </w:tcPr>
          <w:p>
            <w:pPr>
              <w:pStyle w:val="TableContents"/>
              <w:spacing w:before="0" w:after="0"/>
              <w:ind w:left="0" w:right="0" w:firstLine="42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76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Increase (decrease) in cash and cash equivalents, net of effects of acquisitions and dispositions, resulting from changes in:</w:t>
            </w:r>
          </w:p>
        </w:tc>
        <w:tc>
          <w:tcPr>
            <w:tcW w:w="146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05"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jc w:val="left"/>
              <w:rPr/>
            </w:pPr>
            <w:r>
              <w:rPr/>
              <w:t> </w:t>
            </w:r>
          </w:p>
        </w:tc>
        <w:tc>
          <w:tcPr>
            <w:tcW w:w="138" w:type="dxa"/>
            <w:tcBorders/>
            <w:shd w:fill="auto" w:val="clear"/>
            <w:vAlign w:val="center"/>
          </w:tcPr>
          <w:p>
            <w:pPr>
              <w:pStyle w:val="TableContents"/>
              <w:spacing w:before="0" w:after="0"/>
              <w:ind w:left="0" w:right="0" w:firstLine="30"/>
              <w:rPr/>
            </w:pPr>
            <w:r>
              <w:rPr/>
              <w:t> </w:t>
            </w:r>
          </w:p>
        </w:tc>
        <w:tc>
          <w:tcPr>
            <w:tcW w:w="1744" w:type="dxa"/>
            <w:gridSpan w:val="3"/>
            <w:tcBorders/>
            <w:shd w:fill="auto" w:val="clear"/>
            <w:vAlign w:val="center"/>
          </w:tcPr>
          <w:p>
            <w:pPr>
              <w:pStyle w:val="TableContents"/>
              <w:spacing w:before="0" w:after="0"/>
              <w:ind w:left="0" w:right="0" w:firstLine="660"/>
              <w:jc w:val="left"/>
              <w:rPr/>
            </w:pPr>
            <w:r>
              <w:rPr/>
              <w:t> </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Receivables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(16</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77</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(139</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211</w:t>
            </w:r>
          </w:p>
        </w:tc>
        <w:tc>
          <w:tcPr>
            <w:tcW w:w="76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Inventory, prepaid expenses and other current assets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(20</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(111</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30</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(73</w:t>
            </w:r>
          </w:p>
        </w:tc>
        <w:tc>
          <w:tcPr>
            <w:tcW w:w="765" w:type="dxa"/>
            <w:tcBorders/>
            <w:shd w:fill="auto" w:val="clear"/>
            <w:vAlign w:val="center"/>
          </w:tcPr>
          <w:p>
            <w:pPr>
              <w:pStyle w:val="TableContents"/>
              <w:spacing w:before="0" w:after="0"/>
              <w:ind w:left="0" w:right="0" w:firstLine="66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Deferred income taxes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20</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(4</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20</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(4</w:t>
            </w:r>
          </w:p>
        </w:tc>
        <w:tc>
          <w:tcPr>
            <w:tcW w:w="765" w:type="dxa"/>
            <w:tcBorders/>
            <w:shd w:fill="auto" w:val="clear"/>
            <w:vAlign w:val="center"/>
          </w:tcPr>
          <w:p>
            <w:pPr>
              <w:pStyle w:val="TableContents"/>
              <w:spacing w:before="0" w:after="0"/>
              <w:ind w:left="0" w:right="0" w:firstLine="66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 assets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(4</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765" w:type="dxa"/>
            <w:tcBorders/>
            <w:shd w:fill="auto" w:val="clear"/>
            <w:vAlign w:val="center"/>
          </w:tcPr>
          <w:p>
            <w:pPr>
              <w:pStyle w:val="TableContents"/>
              <w:spacing w:before="0" w:after="0"/>
              <w:ind w:left="0" w:right="0" w:firstLine="66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Accounts payable and accrued liabilities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24</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(10</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9</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(671</w:t>
            </w:r>
          </w:p>
        </w:tc>
        <w:tc>
          <w:tcPr>
            <w:tcW w:w="765" w:type="dxa"/>
            <w:tcBorders/>
            <w:shd w:fill="auto" w:val="clear"/>
            <w:vAlign w:val="center"/>
          </w:tcPr>
          <w:p>
            <w:pPr>
              <w:pStyle w:val="TableContents"/>
              <w:spacing w:before="0" w:after="0"/>
              <w:ind w:left="0" w:right="0" w:firstLine="66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Accrued payroll and employee benefits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99</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(48</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74</w:t>
            </w:r>
          </w:p>
        </w:tc>
        <w:tc>
          <w:tcPr>
            <w:tcW w:w="76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Income taxes receivable/payable</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(14</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32</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(14</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35</w:t>
            </w:r>
          </w:p>
        </w:tc>
        <w:tc>
          <w:tcPr>
            <w:tcW w:w="76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 long-term liabilities</w:t>
            </w:r>
          </w:p>
        </w:tc>
        <w:tc>
          <w:tcPr>
            <w:tcW w:w="1180"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(12</w:t>
            </w:r>
          </w:p>
        </w:tc>
        <w:tc>
          <w:tcPr>
            <w:tcW w:w="28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7</w:t>
            </w:r>
          </w:p>
        </w:tc>
        <w:tc>
          <w:tcPr>
            <w:tcW w:w="2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(14</w:t>
            </w:r>
          </w:p>
        </w:tc>
        <w:tc>
          <w:tcPr>
            <w:tcW w:w="22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w:t>
            </w:r>
          </w:p>
        </w:tc>
        <w:tc>
          <w:tcPr>
            <w:tcW w:w="7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cash flows provided by (used in) operating activities of continuing operations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49</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186</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78</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(151</w:t>
            </w:r>
          </w:p>
        </w:tc>
        <w:tc>
          <w:tcPr>
            <w:tcW w:w="7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flows from investing activities:</w:t>
            </w:r>
          </w:p>
        </w:tc>
        <w:tc>
          <w:tcPr>
            <w:tcW w:w="146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05"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jc w:val="left"/>
              <w:rPr/>
            </w:pPr>
            <w:r>
              <w:rPr/>
              <w:t> </w:t>
            </w:r>
          </w:p>
        </w:tc>
        <w:tc>
          <w:tcPr>
            <w:tcW w:w="138" w:type="dxa"/>
            <w:tcBorders/>
            <w:shd w:fill="auto" w:val="clear"/>
            <w:vAlign w:val="center"/>
          </w:tcPr>
          <w:p>
            <w:pPr>
              <w:pStyle w:val="TableContents"/>
              <w:spacing w:before="0" w:after="0"/>
              <w:ind w:left="0" w:right="0" w:firstLine="30"/>
              <w:rPr/>
            </w:pPr>
            <w:r>
              <w:rPr/>
              <w:t> </w:t>
            </w:r>
          </w:p>
        </w:tc>
        <w:tc>
          <w:tcPr>
            <w:tcW w:w="1744" w:type="dxa"/>
            <w:gridSpan w:val="3"/>
            <w:tcBorders/>
            <w:shd w:fill="auto" w:val="clear"/>
            <w:vAlign w:val="center"/>
          </w:tcPr>
          <w:p>
            <w:pPr>
              <w:pStyle w:val="TableContents"/>
              <w:spacing w:before="0" w:after="0"/>
              <w:ind w:left="0" w:right="0" w:firstLine="180"/>
              <w:jc w:val="left"/>
              <w:rPr/>
            </w:pPr>
            <w:r>
              <w:rPr/>
              <w:t> </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Expenditures for property, plant and equipment</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(10</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(31</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(31</w:t>
            </w:r>
          </w:p>
        </w:tc>
        <w:tc>
          <w:tcPr>
            <w:tcW w:w="765"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Acquisitions of businesses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(479</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(478</w:t>
            </w:r>
          </w:p>
        </w:tc>
        <w:tc>
          <w:tcPr>
            <w:tcW w:w="765"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Proceeds from sale of assets</w:t>
            </w:r>
          </w:p>
        </w:tc>
        <w:tc>
          <w:tcPr>
            <w:tcW w:w="1180" w:type="dxa"/>
            <w:gridSpan w:val="2"/>
            <w:tcBorders/>
            <w:shd w:fill="auto" w:val="clear"/>
            <w:vAlign w:val="center"/>
          </w:tcPr>
          <w:p>
            <w:pPr>
              <w:pStyle w:val="TableContents"/>
              <w:spacing w:before="0" w:after="0"/>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65</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2</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Net proceeds (purchases) of cost method investments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12</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12</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Dividend received from the separation of New SAIC</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295</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295</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Contribution paid related to the separation of New SAIC</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(26</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(26</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w:t>
            </w:r>
          </w:p>
        </w:tc>
        <w:tc>
          <w:tcPr>
            <w:tcW w:w="1180"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w:t>
            </w:r>
          </w:p>
        </w:tc>
        <w:tc>
          <w:tcPr>
            <w:tcW w:w="28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w:t>
            </w:r>
          </w:p>
        </w:tc>
        <w:tc>
          <w:tcPr>
            <w:tcW w:w="2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w:t>
            </w:r>
          </w:p>
        </w:tc>
        <w:tc>
          <w:tcPr>
            <w:tcW w:w="22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w:t>
            </w:r>
          </w:p>
        </w:tc>
        <w:tc>
          <w:tcPr>
            <w:tcW w:w="7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cash flows provided by (used in) investing activities of continuing operations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276</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Arial" w:hAnsi="Arial"/>
                <w:sz w:val="17"/>
              </w:rPr>
            </w:pPr>
            <w:r>
              <w:rPr>
                <w:rFonts w:ascii="Arial" w:hAnsi="Arial"/>
                <w:sz w:val="17"/>
              </w:rPr>
              <w:t>(488</w:t>
            </w:r>
          </w:p>
        </w:tc>
        <w:tc>
          <w:tcPr>
            <w:tcW w:w="216"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312</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(506</w:t>
            </w:r>
          </w:p>
        </w:tc>
        <w:tc>
          <w:tcPr>
            <w:tcW w:w="76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flows from financing activities:</w:t>
            </w:r>
          </w:p>
        </w:tc>
        <w:tc>
          <w:tcPr>
            <w:tcW w:w="146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05"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jc w:val="left"/>
              <w:rPr/>
            </w:pPr>
            <w:r>
              <w:rPr/>
              <w:t> </w:t>
            </w:r>
          </w:p>
        </w:tc>
        <w:tc>
          <w:tcPr>
            <w:tcW w:w="138" w:type="dxa"/>
            <w:tcBorders/>
            <w:shd w:fill="auto" w:val="clear"/>
            <w:vAlign w:val="center"/>
          </w:tcPr>
          <w:p>
            <w:pPr>
              <w:pStyle w:val="TableContents"/>
              <w:spacing w:before="0" w:after="0"/>
              <w:ind w:left="0" w:right="0" w:firstLine="30"/>
              <w:rPr/>
            </w:pPr>
            <w:r>
              <w:rPr/>
              <w:t> </w:t>
            </w:r>
          </w:p>
        </w:tc>
        <w:tc>
          <w:tcPr>
            <w:tcW w:w="1744" w:type="dxa"/>
            <w:gridSpan w:val="3"/>
            <w:tcBorders/>
            <w:shd w:fill="auto" w:val="clear"/>
            <w:vAlign w:val="center"/>
          </w:tcPr>
          <w:p>
            <w:pPr>
              <w:pStyle w:val="TableContents"/>
              <w:spacing w:before="0" w:after="0"/>
              <w:ind w:left="0" w:right="0" w:firstLine="180"/>
              <w:jc w:val="left"/>
              <w:rPr/>
            </w:pPr>
            <w:r>
              <w:rPr/>
              <w:t> </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Payments on notes payable and long-term debt</w:t>
            </w:r>
          </w:p>
        </w:tc>
        <w:tc>
          <w:tcPr>
            <w:tcW w:w="1180" w:type="dxa"/>
            <w:gridSpan w:val="2"/>
            <w:tcBorders/>
            <w:shd w:fill="auto" w:val="clear"/>
            <w:vAlign w:val="center"/>
          </w:tcPr>
          <w:p>
            <w:pPr>
              <w:pStyle w:val="TableContents"/>
              <w:spacing w:before="0" w:after="0"/>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rFonts w:ascii="Arial" w:hAnsi="Arial"/>
                <w:sz w:val="17"/>
              </w:rPr>
            </w:pPr>
            <w:r>
              <w:rPr>
                <w:rFonts w:ascii="Arial" w:hAnsi="Arial"/>
                <w:sz w:val="17"/>
              </w:rPr>
              <w:t>(550</w:t>
            </w:r>
          </w:p>
        </w:tc>
        <w:tc>
          <w:tcPr>
            <w:tcW w:w="765"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Payments for deferred financing costs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Payment from New SAIC for deferred financing costs</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Proceeds from real estate financing transaction</w:t>
            </w:r>
          </w:p>
        </w:tc>
        <w:tc>
          <w:tcPr>
            <w:tcW w:w="1180" w:type="dxa"/>
            <w:gridSpan w:val="2"/>
            <w:tcBorders/>
            <w:shd w:fill="auto" w:val="clear"/>
            <w:vAlign w:val="center"/>
          </w:tcPr>
          <w:p>
            <w:pPr>
              <w:pStyle w:val="TableContents"/>
              <w:spacing w:before="0" w:after="0"/>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38</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Proceeds from debt issuance</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500</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500</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71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Distribution of debt to New SAIC</w:t>
            </w:r>
          </w:p>
        </w:tc>
        <w:tc>
          <w:tcPr>
            <w:tcW w:w="1180" w:type="dxa"/>
            <w:gridSpan w:val="2"/>
            <w:tcBorders/>
            <w:shd w:fill="auto" w:val="clear"/>
            <w:vAlign w:val="center"/>
          </w:tcPr>
          <w:p>
            <w:pPr>
              <w:pStyle w:val="TableContents"/>
              <w:spacing w:before="0" w:after="0"/>
              <w:jc w:val="right"/>
              <w:rPr>
                <w:rFonts w:ascii="Arial" w:hAnsi="Arial"/>
                <w:sz w:val="17"/>
              </w:rPr>
            </w:pPr>
            <w:r>
              <w:rPr>
                <w:rFonts w:ascii="Arial" w:hAnsi="Arial"/>
                <w:sz w:val="17"/>
              </w:rPr>
              <w:t>(500</w:t>
            </w:r>
          </w:p>
        </w:tc>
        <w:tc>
          <w:tcPr>
            <w:tcW w:w="281"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Arial" w:hAnsi="Arial"/>
                <w:sz w:val="17"/>
              </w:rPr>
            </w:pPr>
            <w:r>
              <w:rPr>
                <w:rFonts w:ascii="Arial" w:hAnsi="Arial"/>
                <w:sz w:val="17"/>
              </w:rPr>
              <w:t>(500</w:t>
            </w:r>
          </w:p>
        </w:tc>
        <w:tc>
          <w:tcPr>
            <w:tcW w:w="228"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38" w:type="dxa"/>
            <w:tcBorders/>
            <w:shd w:fill="auto" w:val="clear"/>
            <w:vAlign w:val="center"/>
          </w:tcPr>
          <w:p>
            <w:pPr>
              <w:pStyle w:val="TableContents"/>
              <w:spacing w:before="0" w:after="0"/>
              <w:ind w:left="0" w:right="0" w:firstLine="30"/>
              <w:rPr/>
            </w:pPr>
            <w:r>
              <w:rPr/>
              <w:t> </w:t>
            </w:r>
          </w:p>
        </w:tc>
        <w:tc>
          <w:tcPr>
            <w:tcW w:w="979" w:type="dxa"/>
            <w:gridSpan w:val="2"/>
            <w:tcBorders/>
            <w:shd w:fill="auto" w:val="clear"/>
            <w:vAlign w:val="center"/>
          </w:tcPr>
          <w:p>
            <w:pPr>
              <w:pStyle w:val="TableContents"/>
              <w:spacing w:before="0" w:after="0"/>
              <w:jc w:val="right"/>
              <w:rPr/>
            </w:pPr>
            <w:r>
              <w:rPr/>
              <w:t>—</w:t>
            </w:r>
          </w:p>
        </w:tc>
        <w:tc>
          <w:tcPr>
            <w:tcW w:w="76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Arial" w:hAnsi="Arial"/>
          <w:sz w:val="17"/>
        </w:rPr>
      </w:pPr>
      <w:r>
        <w:rPr>
          <w:rFonts w:ascii="Arial" w:hAnsi="Arial"/>
          <w:sz w:val="17"/>
        </w:rPr>
        <w:t>9</w:t>
      </w:r>
      <w:r>
        <w:br w:type="page"/>
      </w:r>
    </w:p>
    <w:p>
      <w:pPr>
        <w:pStyle w:val="TextBody"/>
        <w:spacing w:before="0" w:after="0"/>
        <w:rPr/>
      </w:pPr>
      <w:r>
        <w:rPr/>
      </w:r>
      <w:bookmarkStart w:id="35" w:name="se4e1f18d0b1e4e09a8e8cb20c14d516b1"/>
      <w:bookmarkStart w:id="36" w:name="se4e1f18d0b1e4e09a8e8cb20c14d516b1"/>
      <w:bookmarkEnd w:id="36"/>
    </w:p>
    <w:tbl>
      <w:tblPr>
        <w:tblW w:w="10205" w:type="dxa"/>
        <w:jc w:val="center"/>
        <w:tblInd w:w="0" w:type="dxa"/>
        <w:tblCellMar>
          <w:top w:w="0" w:type="dxa"/>
          <w:left w:w="0" w:type="dxa"/>
          <w:bottom w:w="0" w:type="dxa"/>
          <w:right w:w="0" w:type="dxa"/>
        </w:tblCellMar>
      </w:tblPr>
      <w:tblGrid>
        <w:gridCol w:w="4482"/>
        <w:gridCol w:w="155"/>
        <w:gridCol w:w="968"/>
        <w:gridCol w:w="155"/>
        <w:gridCol w:w="140"/>
        <w:gridCol w:w="155"/>
        <w:gridCol w:w="968"/>
        <w:gridCol w:w="155"/>
        <w:gridCol w:w="140"/>
        <w:gridCol w:w="155"/>
        <w:gridCol w:w="968"/>
        <w:gridCol w:w="155"/>
        <w:gridCol w:w="140"/>
        <w:gridCol w:w="172"/>
        <w:gridCol w:w="1013"/>
        <w:gridCol w:w="28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4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Sales of stock and exercises of stock options</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3</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15</w:t>
            </w:r>
          </w:p>
        </w:tc>
        <w:tc>
          <w:tcPr>
            <w:tcW w:w="28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Repurchases of stock</w:t>
            </w:r>
          </w:p>
        </w:tc>
        <w:tc>
          <w:tcPr>
            <w:tcW w:w="1123" w:type="dxa"/>
            <w:gridSpan w:val="2"/>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(17</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(21</w:t>
            </w:r>
          </w:p>
        </w:tc>
        <w:tc>
          <w:tcPr>
            <w:tcW w:w="284"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Dividend payments</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(28</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(41</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(452</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(124</w:t>
            </w:r>
          </w:p>
        </w:tc>
        <w:tc>
          <w:tcPr>
            <w:tcW w:w="284" w:type="dxa"/>
            <w:tcBorders/>
            <w:shd w:fill="auto" w:val="clear"/>
            <w:vAlign w:val="center"/>
          </w:tcPr>
          <w:p>
            <w:pPr>
              <w:pStyle w:val="TableContents"/>
              <w:spacing w:before="0" w:after="0"/>
              <w:ind w:left="0" w:right="0" w:firstLine="18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Other</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cash flows provided by (used in) financing activities of continuing operations</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(25</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(37</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(419</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(680</w:t>
            </w:r>
          </w:p>
        </w:tc>
        <w:tc>
          <w:tcPr>
            <w:tcW w:w="284"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Increase (decrease) in cash and cash equivalents from continuing operations</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300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(339</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(29</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(1,337</w:t>
            </w:r>
          </w:p>
        </w:tc>
        <w:tc>
          <w:tcPr>
            <w:tcW w:w="28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flows from discontinued operations:</w:t>
            </w:r>
          </w:p>
        </w:tc>
        <w:tc>
          <w:tcPr>
            <w:tcW w:w="1278"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469" w:type="dxa"/>
            <w:gridSpan w:val="3"/>
            <w:tcBorders/>
            <w:shd w:fill="auto" w:val="clear"/>
            <w:vAlign w:val="center"/>
          </w:tcPr>
          <w:p>
            <w:pPr>
              <w:pStyle w:val="TableContents"/>
              <w:spacing w:before="0" w:after="0"/>
              <w:ind w:left="0" w:right="0" w:firstLine="30"/>
              <w:jc w:val="left"/>
              <w:rPr/>
            </w:pPr>
            <w:r>
              <w:rPr/>
              <w:t> </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provided by operating activities of discontinued operations</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62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115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125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285</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2" w:type="dxa"/>
            <w:tcBorders/>
            <w:shd w:fill="auto" w:val="clear"/>
            <w:vAlign w:val="center"/>
          </w:tcPr>
          <w:p>
            <w:pPr>
              <w:pStyle w:val="TableContents"/>
              <w:spacing w:before="0" w:after="0"/>
              <w:ind w:left="0" w:right="0" w:firstLine="30"/>
              <w:jc w:val="left"/>
              <w:rPr/>
            </w:pPr>
            <w:r>
              <w:rPr/>
              <w:t>  </w:t>
            </w:r>
            <w:r>
              <w:rPr>
                <w:rFonts w:ascii="Arial" w:hAnsi="Arial"/>
                <w:sz w:val="17"/>
              </w:rPr>
              <w:t>Cash provided by (used in) investing activities of discontinued operations</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(15</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(17</w:t>
            </w:r>
          </w:p>
        </w:tc>
        <w:tc>
          <w:tcPr>
            <w:tcW w:w="155"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(6</w:t>
            </w:r>
          </w:p>
        </w:tc>
        <w:tc>
          <w:tcPr>
            <w:tcW w:w="284"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pPr>
            <w:r>
              <w:rPr/>
              <w:t>  </w:t>
            </w:r>
            <w:r>
              <w:rPr>
                <w:rFonts w:ascii="Arial" w:hAnsi="Arial"/>
                <w:sz w:val="17"/>
              </w:rPr>
              <w:t>Cash provided by (used in) financing activities of discontinued operations</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5</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w:t>
            </w:r>
          </w:p>
        </w:tc>
        <w:tc>
          <w:tcPr>
            <w:tcW w:w="28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Increase in cash and cash equivalents from discontinued operations</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52</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115</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108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276</w:t>
            </w:r>
          </w:p>
        </w:tc>
        <w:tc>
          <w:tcPr>
            <w:tcW w:w="2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increase (decrease) in cash and cash equivalents</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352</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(224</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79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(1,061</w:t>
            </w:r>
          </w:p>
        </w:tc>
        <w:tc>
          <w:tcPr>
            <w:tcW w:w="28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and cash equivalents at beginning of period</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462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755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23" w:type="dxa"/>
            <w:gridSpan w:val="2"/>
            <w:tcBorders/>
            <w:shd w:fill="auto" w:val="clear"/>
            <w:vAlign w:val="center"/>
          </w:tcPr>
          <w:p>
            <w:pPr>
              <w:pStyle w:val="TableContents"/>
              <w:spacing w:before="0" w:after="0"/>
              <w:jc w:val="right"/>
              <w:rPr>
                <w:rFonts w:ascii="Arial" w:hAnsi="Arial"/>
                <w:sz w:val="17"/>
              </w:rPr>
            </w:pPr>
            <w:r>
              <w:rPr>
                <w:rFonts w:ascii="Arial" w:hAnsi="Arial"/>
                <w:sz w:val="17"/>
              </w:rPr>
              <w:t>735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185" w:type="dxa"/>
            <w:gridSpan w:val="2"/>
            <w:tcBorders/>
            <w:shd w:fill="auto" w:val="clear"/>
            <w:vAlign w:val="center"/>
          </w:tcPr>
          <w:p>
            <w:pPr>
              <w:pStyle w:val="TableContents"/>
              <w:spacing w:before="0" w:after="0"/>
              <w:jc w:val="right"/>
              <w:rPr>
                <w:rFonts w:ascii="Arial" w:hAnsi="Arial"/>
                <w:sz w:val="17"/>
              </w:rPr>
            </w:pPr>
            <w:r>
              <w:rPr>
                <w:rFonts w:ascii="Arial" w:hAnsi="Arial"/>
                <w:sz w:val="17"/>
              </w:rPr>
              <w:t>1,592</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Cash and cash equivalents at end of period</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9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814</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9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531</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9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814</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1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531</w:t>
            </w:r>
          </w:p>
        </w:tc>
        <w:tc>
          <w:tcPr>
            <w:tcW w:w="2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Arial" w:hAnsi="Arial"/>
          <w:sz w:val="17"/>
        </w:rPr>
      </w:pPr>
      <w:r>
        <w:rPr>
          <w:rFonts w:ascii="Arial" w:hAnsi="Arial"/>
          <w:sz w:val="17"/>
        </w:rPr>
        <w:t>10</w:t>
      </w:r>
      <w:r>
        <w:br w:type="page"/>
      </w:r>
    </w:p>
    <w:p>
      <w:pPr>
        <w:pStyle w:val="TextBody"/>
        <w:spacing w:before="0" w:after="0"/>
        <w:rPr/>
      </w:pPr>
      <w:r>
        <w:rPr/>
      </w:r>
      <w:bookmarkStart w:id="37" w:name="se4e1f18d0b1e4e09a8e8cb20c14d516b2"/>
      <w:bookmarkStart w:id="38" w:name="se4e1f18d0b1e4e09a8e8cb20c14d516b2"/>
      <w:bookmarkEnd w:id="38"/>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Arial" w:hAnsi="Arial"/>
          <w:b/>
          <w:sz w:val="17"/>
        </w:rPr>
      </w:pPr>
      <w:bookmarkStart w:id="39" w:name="s6967c9561043445785acff7de56fded6"/>
      <w:bookmarkEnd w:id="39"/>
      <w:r>
        <w:rPr>
          <w:rFonts w:ascii="Arial" w:hAnsi="Arial"/>
          <w:b/>
          <w:sz w:val="17"/>
        </w:rPr>
        <w:t>LEIDOS HOLDINGS, INC.</w:t>
      </w:r>
    </w:p>
    <w:p>
      <w:pPr>
        <w:pStyle w:val="TextBody"/>
        <w:spacing w:lineRule="auto" w:line="288" w:before="0" w:after="0"/>
        <w:jc w:val="center"/>
        <w:rPr>
          <w:rFonts w:ascii="Arial" w:hAnsi="Arial"/>
          <w:b/>
          <w:sz w:val="17"/>
        </w:rPr>
      </w:pPr>
      <w:r>
        <w:rPr>
          <w:rFonts w:ascii="Arial" w:hAnsi="Arial"/>
          <w:b/>
          <w:sz w:val="17"/>
        </w:rPr>
        <w:t>BACKLOG BY REPORTABLE SEGMENT</w:t>
      </w:r>
    </w:p>
    <w:p>
      <w:pPr>
        <w:pStyle w:val="TextBody"/>
        <w:spacing w:lineRule="auto" w:line="288" w:before="0" w:after="0"/>
        <w:jc w:val="center"/>
        <w:rPr>
          <w:rFonts w:ascii="Arial" w:hAnsi="Arial"/>
          <w:b/>
          <w:sz w:val="17"/>
        </w:rPr>
      </w:pPr>
      <w:r>
        <w:rPr>
          <w:rFonts w:ascii="Arial" w:hAnsi="Arial"/>
          <w:b/>
          <w:sz w:val="17"/>
        </w:rPr>
        <w:t>(Unaudited)</w:t>
      </w:r>
    </w:p>
    <w:p>
      <w:pPr>
        <w:pStyle w:val="TextBody"/>
        <w:spacing w:lineRule="auto" w:line="288" w:before="0" w:after="0"/>
        <w:rPr>
          <w:rFonts w:ascii="Arial" w:hAnsi="Arial"/>
          <w:sz w:val="17"/>
        </w:rPr>
      </w:pPr>
      <w:r>
        <w:rPr>
          <w:rFonts w:ascii="Arial" w:hAnsi="Arial"/>
          <w:sz w:val="17"/>
        </w:rPr>
        <w:t>Backlog represents the estimated amount of future revenues to be recognized under negotiated contracts as work is performed and excludes contract awards which have been protested by competitors. Leidos Holdings, Inc. segregates its backlog into two categories: funded backlog and negotiated unfunded backlog. Funded backlog for contracts with government agencies primarily represents contracts for which funding is appropriated less revenues previously recognized on these contracts, and does not include the unfunded portion of contracts where funding is incrementally appropriated or authorized on a quarterly or annual basis by the U.S. Government and other customers, even though the contract may call for performance over a number of years. Funded backlog for contracts with non-government agencies represents the estimated value on contracts, which may cover multiple future years, under which Leidos Holdings, Inc. is obligated to perform, less revenues previously recognized on these contracts. Negotiated unfunded backlog represents the estimated amounts of revenue to be earned in the future from (1) negotiated contracts for which funding has not been appropriated or otherwise authorized and (2) unexercised priced contract options. Negotiated unfunded backlog does not include any estimate of future potential task orders expected to be awarded under IDIQ, GSA Schedule or other master agreement contract vehicles.</w:t>
      </w:r>
    </w:p>
    <w:p>
      <w:pPr>
        <w:pStyle w:val="TextBody"/>
        <w:spacing w:lineRule="auto" w:line="288" w:before="0" w:after="0"/>
        <w:rPr>
          <w:rFonts w:ascii="Arial" w:hAnsi="Arial"/>
          <w:sz w:val="17"/>
        </w:rPr>
      </w:pPr>
      <w:r>
        <w:rPr>
          <w:rFonts w:ascii="Arial" w:hAnsi="Arial"/>
          <w:sz w:val="17"/>
        </w:rPr>
        <w:t>The estimated value of backlog as of the dates presented was as follows:</w:t>
      </w:r>
    </w:p>
    <w:tbl>
      <w:tblPr>
        <w:tblW w:w="10205" w:type="dxa"/>
        <w:jc w:val="center"/>
        <w:tblInd w:w="0" w:type="dxa"/>
        <w:tblCellMar>
          <w:top w:w="0" w:type="dxa"/>
          <w:left w:w="0" w:type="dxa"/>
          <w:bottom w:w="0" w:type="dxa"/>
          <w:right w:w="0" w:type="dxa"/>
        </w:tblCellMar>
      </w:tblPr>
      <w:tblGrid>
        <w:gridCol w:w="4569"/>
        <w:gridCol w:w="152"/>
        <w:gridCol w:w="1095"/>
        <w:gridCol w:w="101"/>
        <w:gridCol w:w="128"/>
        <w:gridCol w:w="139"/>
        <w:gridCol w:w="1044"/>
        <w:gridCol w:w="97"/>
        <w:gridCol w:w="128"/>
        <w:gridCol w:w="139"/>
        <w:gridCol w:w="1044"/>
        <w:gridCol w:w="97"/>
        <w:gridCol w:w="128"/>
        <w:gridCol w:w="139"/>
        <w:gridCol w:w="1091"/>
        <w:gridCol w:w="11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56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69" w:type="dxa"/>
            <w:tcBorders/>
            <w:shd w:fill="auto" w:val="clear"/>
            <w:vAlign w:val="center"/>
          </w:tcPr>
          <w:p>
            <w:pPr>
              <w:pStyle w:val="TableContents"/>
              <w:spacing w:before="0" w:after="0"/>
              <w:ind w:left="0" w:right="0" w:firstLine="30"/>
              <w:rPr/>
            </w:pPr>
            <w:r>
              <w:rPr/>
              <w:t> </w:t>
            </w:r>
          </w:p>
        </w:tc>
        <w:tc>
          <w:tcPr>
            <w:tcW w:w="13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November 1,</w:t>
              <w:br/>
              <w:t>2013</w:t>
            </w:r>
          </w:p>
        </w:tc>
        <w:tc>
          <w:tcPr>
            <w:tcW w:w="128" w:type="dxa"/>
            <w:tcBorders/>
            <w:shd w:fill="auto" w:val="clear"/>
            <w:vAlign w:val="center"/>
          </w:tcPr>
          <w:p>
            <w:pPr>
              <w:pStyle w:val="TableContents"/>
              <w:spacing w:before="0" w:after="0"/>
              <w:ind w:left="0" w:right="0" w:firstLine="30"/>
              <w:rPr/>
            </w:pPr>
            <w:r>
              <w:rPr/>
              <w:t> </w:t>
            </w:r>
          </w:p>
        </w:tc>
        <w:tc>
          <w:tcPr>
            <w:tcW w:w="12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August 2,</w:t>
              <w:br/>
              <w:t>2013</w:t>
            </w:r>
          </w:p>
        </w:tc>
        <w:tc>
          <w:tcPr>
            <w:tcW w:w="128" w:type="dxa"/>
            <w:tcBorders/>
            <w:shd w:fill="auto" w:val="clear"/>
            <w:vAlign w:val="center"/>
          </w:tcPr>
          <w:p>
            <w:pPr>
              <w:pStyle w:val="TableContents"/>
              <w:spacing w:before="0" w:after="0"/>
              <w:ind w:left="0" w:right="0" w:firstLine="30"/>
              <w:rPr/>
            </w:pPr>
            <w:r>
              <w:rPr/>
              <w:t> </w:t>
            </w:r>
          </w:p>
        </w:tc>
        <w:tc>
          <w:tcPr>
            <w:tcW w:w="12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May 3,</w:t>
              <w:br/>
              <w:t>2013</w:t>
            </w:r>
          </w:p>
        </w:tc>
        <w:tc>
          <w:tcPr>
            <w:tcW w:w="128" w:type="dxa"/>
            <w:tcBorders/>
            <w:shd w:fill="auto" w:val="clear"/>
            <w:vAlign w:val="center"/>
          </w:tcPr>
          <w:p>
            <w:pPr>
              <w:pStyle w:val="TableContents"/>
              <w:spacing w:before="0" w:after="0"/>
              <w:ind w:left="0" w:right="0" w:firstLine="30"/>
              <w:rPr/>
            </w:pPr>
            <w:r>
              <w:rPr/>
              <w:t> </w:t>
            </w:r>
          </w:p>
        </w:tc>
        <w:tc>
          <w:tcPr>
            <w:tcW w:w="13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January 31,</w:t>
              <w:br/>
              <w:t>2013</w:t>
            </w:r>
          </w:p>
        </w:tc>
      </w:tr>
      <w:tr>
        <w:trPr/>
        <w:tc>
          <w:tcPr>
            <w:tcW w:w="4569" w:type="dxa"/>
            <w:tcBorders/>
            <w:shd w:fill="auto" w:val="clear"/>
            <w:vAlign w:val="center"/>
          </w:tcPr>
          <w:p>
            <w:pPr>
              <w:pStyle w:val="TableContents"/>
              <w:spacing w:before="0" w:after="0"/>
              <w:ind w:left="0" w:right="0" w:firstLine="30"/>
              <w:rPr/>
            </w:pPr>
            <w:r>
              <w:rPr/>
              <w:t> </w:t>
            </w:r>
          </w:p>
        </w:tc>
        <w:tc>
          <w:tcPr>
            <w:tcW w:w="5636" w:type="dxa"/>
            <w:gridSpan w:val="15"/>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t>(in millions)</w:t>
            </w:r>
          </w:p>
        </w:tc>
      </w:tr>
      <w:tr>
        <w:trPr/>
        <w:tc>
          <w:tcPr>
            <w:tcW w:w="4569"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Health and Engineering:</w:t>
            </w:r>
          </w:p>
        </w:tc>
        <w:tc>
          <w:tcPr>
            <w:tcW w:w="1348"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28" w:type="dxa"/>
            <w:tcBorders/>
            <w:shd w:fill="auto" w:val="clear"/>
            <w:vAlign w:val="center"/>
          </w:tcPr>
          <w:p>
            <w:pPr>
              <w:pStyle w:val="TableContents"/>
              <w:spacing w:before="0" w:after="0"/>
              <w:ind w:left="0" w:right="0" w:firstLine="30"/>
              <w:rPr/>
            </w:pPr>
            <w:r>
              <w:rPr/>
              <w:t> </w:t>
            </w:r>
          </w:p>
        </w:tc>
        <w:tc>
          <w:tcPr>
            <w:tcW w:w="1280"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28" w:type="dxa"/>
            <w:tcBorders/>
            <w:shd w:fill="auto" w:val="clear"/>
            <w:vAlign w:val="center"/>
          </w:tcPr>
          <w:p>
            <w:pPr>
              <w:pStyle w:val="TableContents"/>
              <w:spacing w:before="0" w:after="0"/>
              <w:ind w:left="0" w:right="0" w:firstLine="30"/>
              <w:rPr/>
            </w:pPr>
            <w:r>
              <w:rPr/>
              <w:t> </w:t>
            </w:r>
          </w:p>
        </w:tc>
        <w:tc>
          <w:tcPr>
            <w:tcW w:w="1280"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28" w:type="dxa"/>
            <w:tcBorders/>
            <w:shd w:fill="auto" w:val="clear"/>
            <w:vAlign w:val="center"/>
          </w:tcPr>
          <w:p>
            <w:pPr>
              <w:pStyle w:val="TableContents"/>
              <w:spacing w:before="0" w:after="0"/>
              <w:ind w:left="0" w:right="0" w:firstLine="30"/>
              <w:rPr/>
            </w:pPr>
            <w:r>
              <w:rPr/>
              <w:t> </w:t>
            </w:r>
          </w:p>
        </w:tc>
        <w:tc>
          <w:tcPr>
            <w:tcW w:w="1344"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Funded backlog</w:t>
            </w:r>
          </w:p>
        </w:tc>
        <w:tc>
          <w:tcPr>
            <w:tcW w:w="152"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1,040</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44" w:type="dxa"/>
            <w:tcBorders/>
            <w:shd w:fill="auto" w:val="clear"/>
            <w:vAlign w:val="center"/>
          </w:tcPr>
          <w:p>
            <w:pPr>
              <w:pStyle w:val="TableContents"/>
              <w:spacing w:before="0" w:after="0"/>
              <w:jc w:val="right"/>
              <w:rPr>
                <w:rFonts w:ascii="Arial" w:hAnsi="Arial"/>
                <w:sz w:val="17"/>
              </w:rPr>
            </w:pPr>
            <w:r>
              <w:rPr>
                <w:rFonts w:ascii="Arial" w:hAnsi="Arial"/>
                <w:sz w:val="17"/>
              </w:rPr>
              <w:t>996</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44" w:type="dxa"/>
            <w:tcBorders/>
            <w:shd w:fill="auto" w:val="clear"/>
            <w:vAlign w:val="center"/>
          </w:tcPr>
          <w:p>
            <w:pPr>
              <w:pStyle w:val="TableContents"/>
              <w:spacing w:before="0" w:after="0"/>
              <w:jc w:val="right"/>
              <w:rPr>
                <w:rFonts w:ascii="Arial" w:hAnsi="Arial"/>
                <w:sz w:val="17"/>
              </w:rPr>
            </w:pPr>
            <w:r>
              <w:rPr>
                <w:rFonts w:ascii="Arial" w:hAnsi="Arial"/>
                <w:sz w:val="17"/>
              </w:rPr>
              <w:t>1,094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1" w:type="dxa"/>
            <w:tcBorders/>
            <w:shd w:fill="auto" w:val="clear"/>
            <w:vAlign w:val="center"/>
          </w:tcPr>
          <w:p>
            <w:pPr>
              <w:pStyle w:val="TableContents"/>
              <w:spacing w:before="0" w:after="0"/>
              <w:jc w:val="right"/>
              <w:rPr>
                <w:rFonts w:ascii="Arial" w:hAnsi="Arial"/>
                <w:sz w:val="17"/>
              </w:rPr>
            </w:pPr>
            <w:r>
              <w:rPr>
                <w:rFonts w:ascii="Arial" w:hAnsi="Arial"/>
                <w:sz w:val="17"/>
              </w:rPr>
              <w:t>1,295</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Negotiated unfunded backlog</w:t>
            </w:r>
          </w:p>
        </w:tc>
        <w:tc>
          <w:tcPr>
            <w:tcW w:w="1247" w:type="dxa"/>
            <w:gridSpan w:val="2"/>
            <w:tcBorders/>
            <w:shd w:fill="auto" w:val="clear"/>
            <w:vAlign w:val="center"/>
          </w:tcPr>
          <w:p>
            <w:pPr>
              <w:pStyle w:val="TableContents"/>
              <w:spacing w:before="0" w:after="0"/>
              <w:jc w:val="right"/>
              <w:rPr>
                <w:rFonts w:ascii="Arial" w:hAnsi="Arial"/>
                <w:sz w:val="17"/>
              </w:rPr>
            </w:pPr>
            <w:r>
              <w:rPr>
                <w:rFonts w:ascii="Arial" w:hAnsi="Arial"/>
                <w:sz w:val="17"/>
              </w:rPr>
              <w:t>816</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t>669</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t>664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30" w:type="dxa"/>
            <w:gridSpan w:val="2"/>
            <w:tcBorders/>
            <w:shd w:fill="auto" w:val="clear"/>
            <w:vAlign w:val="center"/>
          </w:tcPr>
          <w:p>
            <w:pPr>
              <w:pStyle w:val="TableContents"/>
              <w:spacing w:before="0" w:after="0"/>
              <w:jc w:val="right"/>
              <w:rPr>
                <w:rFonts w:ascii="Arial" w:hAnsi="Arial"/>
                <w:sz w:val="17"/>
              </w:rPr>
            </w:pPr>
            <w:r>
              <w:rPr>
                <w:rFonts w:ascii="Arial" w:hAnsi="Arial"/>
                <w:sz w:val="17"/>
              </w:rPr>
              <w:t>676</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Health and Engineering backlog</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1,856</w:t>
            </w:r>
          </w:p>
        </w:tc>
        <w:tc>
          <w:tcPr>
            <w:tcW w:w="1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1,665</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1,758</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1,971</w:t>
            </w:r>
          </w:p>
        </w:tc>
        <w:tc>
          <w:tcPr>
            <w:tcW w:w="11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National Security Solutions:</w:t>
            </w:r>
          </w:p>
        </w:tc>
        <w:tc>
          <w:tcPr>
            <w:tcW w:w="1247"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30"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Funded backlog</w:t>
            </w:r>
          </w:p>
        </w:tc>
        <w:tc>
          <w:tcPr>
            <w:tcW w:w="152"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1,958</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44" w:type="dxa"/>
            <w:tcBorders/>
            <w:shd w:fill="auto" w:val="clear"/>
            <w:vAlign w:val="center"/>
          </w:tcPr>
          <w:p>
            <w:pPr>
              <w:pStyle w:val="TableContents"/>
              <w:spacing w:before="0" w:after="0"/>
              <w:jc w:val="right"/>
              <w:rPr>
                <w:rFonts w:ascii="Arial" w:hAnsi="Arial"/>
                <w:sz w:val="17"/>
              </w:rPr>
            </w:pPr>
            <w:r>
              <w:rPr>
                <w:rFonts w:ascii="Arial" w:hAnsi="Arial"/>
                <w:sz w:val="17"/>
              </w:rPr>
              <w:t>1,900</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44" w:type="dxa"/>
            <w:tcBorders/>
            <w:shd w:fill="auto" w:val="clear"/>
            <w:vAlign w:val="center"/>
          </w:tcPr>
          <w:p>
            <w:pPr>
              <w:pStyle w:val="TableContents"/>
              <w:spacing w:before="0" w:after="0"/>
              <w:jc w:val="right"/>
              <w:rPr>
                <w:rFonts w:ascii="Arial" w:hAnsi="Arial"/>
                <w:sz w:val="17"/>
              </w:rPr>
            </w:pPr>
            <w:r>
              <w:rPr>
                <w:rFonts w:ascii="Arial" w:hAnsi="Arial"/>
                <w:sz w:val="17"/>
              </w:rPr>
              <w:t>1,877</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1" w:type="dxa"/>
            <w:tcBorders/>
            <w:shd w:fill="auto" w:val="clear"/>
            <w:vAlign w:val="center"/>
          </w:tcPr>
          <w:p>
            <w:pPr>
              <w:pStyle w:val="TableContents"/>
              <w:spacing w:before="0" w:after="0"/>
              <w:jc w:val="right"/>
              <w:rPr>
                <w:rFonts w:ascii="Arial" w:hAnsi="Arial"/>
                <w:sz w:val="17"/>
              </w:rPr>
            </w:pPr>
            <w:r>
              <w:rPr>
                <w:rFonts w:ascii="Arial" w:hAnsi="Arial"/>
                <w:sz w:val="17"/>
              </w:rPr>
              <w:t>2,119</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Negotiated unfunded backlog</w:t>
            </w:r>
          </w:p>
        </w:tc>
        <w:tc>
          <w:tcPr>
            <w:tcW w:w="1247" w:type="dxa"/>
            <w:gridSpan w:val="2"/>
            <w:tcBorders/>
            <w:shd w:fill="auto" w:val="clear"/>
            <w:vAlign w:val="center"/>
          </w:tcPr>
          <w:p>
            <w:pPr>
              <w:pStyle w:val="TableContents"/>
              <w:spacing w:before="0" w:after="0"/>
              <w:jc w:val="right"/>
              <w:rPr>
                <w:rFonts w:ascii="Arial" w:hAnsi="Arial"/>
                <w:sz w:val="17"/>
              </w:rPr>
            </w:pPr>
            <w:r>
              <w:rPr>
                <w:rFonts w:ascii="Arial" w:hAnsi="Arial"/>
                <w:sz w:val="17"/>
              </w:rPr>
              <w:t>6,166</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t>5,442</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t>5,737</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30" w:type="dxa"/>
            <w:gridSpan w:val="2"/>
            <w:tcBorders/>
            <w:shd w:fill="auto" w:val="clear"/>
            <w:vAlign w:val="center"/>
          </w:tcPr>
          <w:p>
            <w:pPr>
              <w:pStyle w:val="TableContents"/>
              <w:spacing w:before="0" w:after="0"/>
              <w:jc w:val="right"/>
              <w:rPr>
                <w:rFonts w:ascii="Arial" w:hAnsi="Arial"/>
                <w:sz w:val="17"/>
              </w:rPr>
            </w:pPr>
            <w:r>
              <w:rPr>
                <w:rFonts w:ascii="Arial" w:hAnsi="Arial"/>
                <w:sz w:val="17"/>
              </w:rPr>
              <w:t>6,037</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National Security Solutions backlog</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8,124</w:t>
            </w:r>
          </w:p>
        </w:tc>
        <w:tc>
          <w:tcPr>
            <w:tcW w:w="1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7,342</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7,614</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8,156</w:t>
            </w:r>
          </w:p>
        </w:tc>
        <w:tc>
          <w:tcPr>
            <w:tcW w:w="11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Total:</w:t>
            </w:r>
          </w:p>
        </w:tc>
        <w:tc>
          <w:tcPr>
            <w:tcW w:w="1247"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30" w:type="dxa"/>
            <w:gridSpan w:val="2"/>
            <w:tcBorders/>
            <w:shd w:fill="auto" w:val="clear"/>
            <w:vAlign w:val="center"/>
          </w:tcPr>
          <w:p>
            <w:pPr>
              <w:pStyle w:val="TableContents"/>
              <w:spacing w:before="0" w:after="0"/>
              <w:jc w:val="right"/>
              <w:rPr>
                <w:rFonts w:ascii="Arial" w:hAnsi="Arial"/>
                <w:sz w:val="17"/>
              </w:rPr>
            </w:pPr>
            <w:r>
              <w:rPr>
                <w:rFonts w:ascii="Arial" w:hAnsi="Arial"/>
                <w:sz w:val="17"/>
              </w:rPr>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Funded backlog</w:t>
            </w:r>
          </w:p>
        </w:tc>
        <w:tc>
          <w:tcPr>
            <w:tcW w:w="152"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5" w:type="dxa"/>
            <w:tcBorders/>
            <w:shd w:fill="auto" w:val="clear"/>
            <w:vAlign w:val="center"/>
          </w:tcPr>
          <w:p>
            <w:pPr>
              <w:pStyle w:val="TableContents"/>
              <w:spacing w:before="0" w:after="0"/>
              <w:jc w:val="right"/>
              <w:rPr>
                <w:rFonts w:ascii="Arial" w:hAnsi="Arial"/>
                <w:sz w:val="17"/>
              </w:rPr>
            </w:pPr>
            <w:r>
              <w:rPr>
                <w:rFonts w:ascii="Arial" w:hAnsi="Arial"/>
                <w:sz w:val="17"/>
              </w:rPr>
              <w:t>2,998</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44" w:type="dxa"/>
            <w:tcBorders/>
            <w:shd w:fill="auto" w:val="clear"/>
            <w:vAlign w:val="center"/>
          </w:tcPr>
          <w:p>
            <w:pPr>
              <w:pStyle w:val="TableContents"/>
              <w:spacing w:before="0" w:after="0"/>
              <w:jc w:val="right"/>
              <w:rPr>
                <w:rFonts w:ascii="Arial" w:hAnsi="Arial"/>
                <w:sz w:val="17"/>
              </w:rPr>
            </w:pPr>
            <w:r>
              <w:rPr>
                <w:rFonts w:ascii="Arial" w:hAnsi="Arial"/>
                <w:sz w:val="17"/>
              </w:rPr>
              <w:t>2,896</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44" w:type="dxa"/>
            <w:tcBorders/>
            <w:shd w:fill="auto" w:val="clear"/>
            <w:vAlign w:val="center"/>
          </w:tcPr>
          <w:p>
            <w:pPr>
              <w:pStyle w:val="TableContents"/>
              <w:spacing w:before="0" w:after="0"/>
              <w:jc w:val="right"/>
              <w:rPr>
                <w:rFonts w:ascii="Arial" w:hAnsi="Arial"/>
                <w:sz w:val="17"/>
              </w:rPr>
            </w:pPr>
            <w:r>
              <w:rPr>
                <w:rFonts w:ascii="Arial" w:hAnsi="Arial"/>
                <w:sz w:val="17"/>
              </w:rPr>
              <w:t>2,971</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091" w:type="dxa"/>
            <w:tcBorders/>
            <w:shd w:fill="auto" w:val="clear"/>
            <w:vAlign w:val="center"/>
          </w:tcPr>
          <w:p>
            <w:pPr>
              <w:pStyle w:val="TableContents"/>
              <w:spacing w:before="0" w:after="0"/>
              <w:jc w:val="right"/>
              <w:rPr>
                <w:rFonts w:ascii="Arial" w:hAnsi="Arial"/>
                <w:sz w:val="17"/>
              </w:rPr>
            </w:pPr>
            <w:r>
              <w:rPr>
                <w:rFonts w:ascii="Arial" w:hAnsi="Arial"/>
                <w:sz w:val="17"/>
              </w:rPr>
              <w:t>3,414</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Negotiated unfunded backlog</w:t>
            </w:r>
          </w:p>
        </w:tc>
        <w:tc>
          <w:tcPr>
            <w:tcW w:w="1247" w:type="dxa"/>
            <w:gridSpan w:val="2"/>
            <w:tcBorders/>
            <w:shd w:fill="auto" w:val="clear"/>
            <w:vAlign w:val="center"/>
          </w:tcPr>
          <w:p>
            <w:pPr>
              <w:pStyle w:val="TableContents"/>
              <w:spacing w:before="0" w:after="0"/>
              <w:jc w:val="right"/>
              <w:rPr>
                <w:rFonts w:ascii="Arial" w:hAnsi="Arial"/>
                <w:sz w:val="17"/>
              </w:rPr>
            </w:pPr>
            <w:r>
              <w:rPr>
                <w:rFonts w:ascii="Arial" w:hAnsi="Arial"/>
                <w:sz w:val="17"/>
              </w:rPr>
              <w:t>6,982</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t>6,111</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Arial" w:hAnsi="Arial"/>
                <w:sz w:val="17"/>
              </w:rPr>
            </w:pPr>
            <w:r>
              <w:rPr>
                <w:rFonts w:ascii="Arial" w:hAnsi="Arial"/>
                <w:sz w:val="17"/>
              </w:rPr>
              <w:t>6,401</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30" w:type="dxa"/>
            <w:gridSpan w:val="2"/>
            <w:tcBorders/>
            <w:shd w:fill="auto" w:val="clear"/>
            <w:vAlign w:val="center"/>
          </w:tcPr>
          <w:p>
            <w:pPr>
              <w:pStyle w:val="TableContents"/>
              <w:spacing w:before="0" w:after="0"/>
              <w:jc w:val="right"/>
              <w:rPr>
                <w:rFonts w:ascii="Arial" w:hAnsi="Arial"/>
                <w:sz w:val="17"/>
              </w:rPr>
            </w:pPr>
            <w:r>
              <w:rPr>
                <w:rFonts w:ascii="Arial" w:hAnsi="Arial"/>
                <w:sz w:val="17"/>
              </w:rPr>
              <w:t>6,713</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6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Total backlog</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9,980</w:t>
            </w:r>
          </w:p>
        </w:tc>
        <w:tc>
          <w:tcPr>
            <w:tcW w:w="1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9,007</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9,372</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0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10,127</w:t>
            </w:r>
          </w:p>
        </w:tc>
        <w:tc>
          <w:tcPr>
            <w:tcW w:w="11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Arial" w:hAnsi="Arial"/>
          <w:sz w:val="17"/>
        </w:rPr>
      </w:pPr>
      <w:r>
        <w:rPr>
          <w:rFonts w:ascii="Arial" w:hAnsi="Arial"/>
          <w:sz w:val="17"/>
        </w:rPr>
        <w:t>11</w:t>
      </w:r>
      <w:r>
        <w:br w:type="page"/>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Arial" w:hAnsi="Arial"/>
          <w:b/>
          <w:sz w:val="17"/>
        </w:rPr>
      </w:pPr>
      <w:bookmarkStart w:id="40" w:name="s3418ae3b6afa48d1ac8b4bc917662212"/>
      <w:bookmarkEnd w:id="40"/>
      <w:r>
        <w:rPr>
          <w:rFonts w:ascii="Arial" w:hAnsi="Arial"/>
          <w:b/>
          <w:sz w:val="17"/>
        </w:rPr>
        <w:t>LEIDOS HOLDINGS, INC.</w:t>
      </w:r>
    </w:p>
    <w:p>
      <w:pPr>
        <w:pStyle w:val="TextBody"/>
        <w:spacing w:lineRule="auto" w:line="288" w:before="0" w:after="0"/>
        <w:jc w:val="center"/>
        <w:rPr>
          <w:rFonts w:ascii="Arial" w:hAnsi="Arial"/>
          <w:b/>
          <w:sz w:val="17"/>
        </w:rPr>
      </w:pPr>
      <w:r>
        <w:rPr>
          <w:rFonts w:ascii="Arial" w:hAnsi="Arial"/>
          <w:b/>
          <w:sz w:val="17"/>
        </w:rPr>
        <w:t>INTERNAL REVENUE GROWTH (CONTRACTION) PERCENTAGE CALCULATIONS (NON-GAAP RECONCILIATION)</w:t>
      </w:r>
    </w:p>
    <w:p>
      <w:pPr>
        <w:pStyle w:val="TextBody"/>
        <w:spacing w:lineRule="auto" w:line="288" w:before="0" w:after="0"/>
        <w:jc w:val="center"/>
        <w:rPr>
          <w:rFonts w:ascii="Arial" w:hAnsi="Arial"/>
          <w:b/>
          <w:sz w:val="17"/>
        </w:rPr>
      </w:pPr>
      <w:r>
        <w:rPr>
          <w:rFonts w:ascii="Arial" w:hAnsi="Arial"/>
          <w:b/>
          <w:sz w:val="17"/>
        </w:rPr>
        <w:t>(Unaudited)</w:t>
      </w:r>
    </w:p>
    <w:p>
      <w:pPr>
        <w:pStyle w:val="TextBody"/>
        <w:spacing w:lineRule="auto" w:line="288" w:before="0" w:after="0"/>
        <w:jc w:val="left"/>
        <w:rPr>
          <w:rFonts w:ascii="Arial" w:hAnsi="Arial"/>
          <w:sz w:val="17"/>
        </w:rPr>
      </w:pPr>
      <w:r>
        <w:rPr>
          <w:rFonts w:ascii="Arial" w:hAnsi="Arial"/>
          <w:sz w:val="17"/>
        </w:rPr>
        <w:t>In this release, Leidos Holdings, Inc. refers to internal revenue growth (contraction) percentage, which is a non-GAAP financial measure that is reconciled to the most directly comparable GAAP financial measure. The Company calculates its internal revenue growth (contraction) percentage by comparing reported revenue for the current year period to the revenue for the prior year period adjusted to include the actual revenue of acquired businesses for the comparable prior year period before acquisition. This calculation has the effect of adding revenue for the acquired businesses for the comparable prior year period to the company's prior year period reported revenue.</w:t>
      </w:r>
    </w:p>
    <w:p>
      <w:pPr>
        <w:pStyle w:val="TextBody"/>
        <w:spacing w:lineRule="auto" w:line="288" w:before="0" w:after="0"/>
        <w:jc w:val="left"/>
        <w:rPr>
          <w:rFonts w:ascii="Arial" w:hAnsi="Arial"/>
          <w:sz w:val="17"/>
        </w:rPr>
      </w:pPr>
      <w:r>
        <w:rPr>
          <w:rFonts w:ascii="Arial" w:hAnsi="Arial"/>
          <w:sz w:val="17"/>
        </w:rPr>
        <w:t>Leidos Holdings, Inc. uses internal revenue growth (contraction) percentage as an indicator of how successful it is at growing its base business and how successful it is at growing the revenues of the businesses that it acquires. The integration of acquired businesses allows current management to leverage business development capabilities, drive internal resource collaboration, utilize access to markets and qualifications, and refine strategies to realize synergies, which benefits both acquired and existing businesses. As a result, the performance of the combined enterprise post-acquisition is an important measurement. In addition, as a means of rewarding the successful integration and growth of acquired businesses, and not acquisitions themselves, incentive compensation for senior management is based, in part, on achievement of revenue targets linked to internal revenue growth.</w:t>
      </w:r>
    </w:p>
    <w:p>
      <w:pPr>
        <w:pStyle w:val="TextBody"/>
        <w:spacing w:lineRule="auto" w:line="288" w:before="0" w:after="0"/>
        <w:jc w:val="left"/>
        <w:rPr>
          <w:rFonts w:ascii="Arial" w:hAnsi="Arial"/>
          <w:sz w:val="17"/>
        </w:rPr>
      </w:pPr>
      <w:r>
        <w:rPr>
          <w:rFonts w:ascii="Arial" w:hAnsi="Arial"/>
          <w:sz w:val="17"/>
        </w:rPr>
        <w:t xml:space="preserve">The limitation of this non-GAAP financial measure as compared to the most directly comparable GAAP financial measure is that internal revenue growth (contraction) percentage is one of two components of the total revenue growth (contraction) percentage, which is the most directly comparable GAAP financial measure. The Company addresses this limitation by presenting the total revenue growth percentage next to or near disclosures of internal revenue growth (contraction) percentage. </w:t>
      </w:r>
    </w:p>
    <w:p>
      <w:pPr>
        <w:pStyle w:val="TextBody"/>
        <w:spacing w:lineRule="auto" w:line="288" w:before="0" w:after="0"/>
        <w:jc w:val="left"/>
        <w:rPr>
          <w:rFonts w:ascii="Arial" w:hAnsi="Arial"/>
          <w:sz w:val="17"/>
        </w:rPr>
      </w:pPr>
      <w:r>
        <w:rPr>
          <w:rFonts w:ascii="Arial" w:hAnsi="Arial"/>
          <w:sz w:val="17"/>
        </w:rPr>
        <w:t>This financial measure is not meant to be considered in isolation or as a substitute for comparable GAAP measures and should be read only in conjunction with Leidos Holdings, Inc.'s consolidated financial statements prepared in accordance with GAAP. The method that the Company uses to calculate internal revenue growth (contraction) percentage is not necessarily comparable to similarly titled financial measures presented by other companies.</w:t>
      </w:r>
    </w:p>
    <w:p>
      <w:pPr>
        <w:pStyle w:val="TextBody"/>
        <w:spacing w:before="0" w:after="0"/>
        <w:rPr/>
      </w:pPr>
      <w:r>
        <w:rPr/>
      </w:r>
    </w:p>
    <w:p>
      <w:pPr>
        <w:pStyle w:val="TextBody"/>
        <w:spacing w:lineRule="auto" w:line="288"/>
        <w:jc w:val="center"/>
        <w:rPr>
          <w:rFonts w:ascii="Arial" w:hAnsi="Arial"/>
          <w:sz w:val="17"/>
        </w:rPr>
      </w:pPr>
      <w:r>
        <w:rPr>
          <w:rFonts w:ascii="Arial" w:hAnsi="Arial"/>
          <w:sz w:val="17"/>
        </w:rPr>
        <w:t>12</w:t>
      </w:r>
      <w:r>
        <w:br w:type="page"/>
      </w:r>
    </w:p>
    <w:p>
      <w:pPr>
        <w:pStyle w:val="TextBody"/>
        <w:spacing w:before="0" w:after="0"/>
        <w:rPr/>
      </w:pPr>
      <w:r>
        <w:rPr/>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jc w:val="left"/>
        <w:rPr>
          <w:rFonts w:ascii="Arial" w:hAnsi="Arial"/>
          <w:sz w:val="17"/>
        </w:rPr>
      </w:pPr>
      <w:r>
        <w:rPr>
          <w:rFonts w:ascii="Arial" w:hAnsi="Arial"/>
          <w:sz w:val="17"/>
        </w:rPr>
        <w:t>Internal revenue contraction percentages were calculated as follows:</w:t>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6740"/>
        <w:gridCol w:w="230"/>
        <w:gridCol w:w="1176"/>
        <w:gridCol w:w="242"/>
        <w:gridCol w:w="152"/>
        <w:gridCol w:w="220"/>
        <w:gridCol w:w="1186"/>
        <w:gridCol w:w="25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74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40" w:type="dxa"/>
            <w:tcBorders/>
            <w:shd w:fill="auto" w:val="clear"/>
            <w:vAlign w:val="center"/>
          </w:tcPr>
          <w:p>
            <w:pPr>
              <w:pStyle w:val="TableContents"/>
              <w:spacing w:before="0" w:after="0"/>
              <w:ind w:left="0" w:right="0" w:firstLine="30"/>
              <w:rPr/>
            </w:pPr>
            <w:r>
              <w:rPr/>
              <w:t> </w:t>
            </w:r>
          </w:p>
        </w:tc>
        <w:tc>
          <w:tcPr>
            <w:tcW w:w="1648" w:type="dxa"/>
            <w:gridSpan w:val="3"/>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Three Months Ended</w:t>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shd w:fill="auto" w:val="clear"/>
            <w:vAlign w:val="center"/>
          </w:tcPr>
          <w:p>
            <w:pPr>
              <w:pStyle w:val="TableContents"/>
              <w:spacing w:before="0" w:after="0"/>
              <w:ind w:left="0" w:right="0" w:firstLine="30"/>
              <w:jc w:val="center"/>
              <w:rPr>
                <w:rFonts w:ascii="Arial" w:hAnsi="Arial"/>
                <w:b/>
                <w:sz w:val="13"/>
              </w:rPr>
            </w:pPr>
            <w:r>
              <w:rPr>
                <w:rFonts w:ascii="Arial" w:hAnsi="Arial"/>
                <w:b/>
                <w:sz w:val="13"/>
              </w:rPr>
              <w:t>Nine Months Ended</w:t>
            </w:r>
          </w:p>
        </w:tc>
      </w:tr>
      <w:tr>
        <w:trPr/>
        <w:tc>
          <w:tcPr>
            <w:tcW w:w="6740" w:type="dxa"/>
            <w:tcBorders/>
            <w:shd w:fill="auto" w:val="clear"/>
            <w:vAlign w:val="center"/>
          </w:tcPr>
          <w:p>
            <w:pPr>
              <w:pStyle w:val="TableContents"/>
              <w:spacing w:before="0" w:after="0"/>
              <w:ind w:left="0" w:right="0" w:firstLine="30"/>
              <w:rPr/>
            </w:pPr>
            <w:r>
              <w:rPr/>
              <w:t> </w:t>
            </w:r>
          </w:p>
        </w:tc>
        <w:tc>
          <w:tcPr>
            <w:tcW w:w="16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November 1, 2013</w:t>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Arial" w:hAnsi="Arial"/>
                <w:b/>
                <w:sz w:val="13"/>
              </w:rPr>
            </w:pPr>
            <w:r>
              <w:rPr>
                <w:rFonts w:ascii="Arial" w:hAnsi="Arial"/>
                <w:b/>
                <w:sz w:val="13"/>
              </w:rPr>
              <w:t>November 1, 2013</w:t>
            </w:r>
          </w:p>
        </w:tc>
      </w:tr>
      <w:tr>
        <w:trPr/>
        <w:tc>
          <w:tcPr>
            <w:tcW w:w="6740" w:type="dxa"/>
            <w:tcBorders/>
            <w:shd w:fill="auto" w:val="clear"/>
            <w:vAlign w:val="center"/>
          </w:tcPr>
          <w:p>
            <w:pPr>
              <w:pStyle w:val="TableContents"/>
              <w:spacing w:before="0" w:after="0"/>
              <w:ind w:left="0" w:right="0" w:firstLine="30"/>
              <w:rPr/>
            </w:pPr>
            <w:r>
              <w:rPr/>
              <w:t> </w:t>
            </w:r>
          </w:p>
        </w:tc>
        <w:tc>
          <w:tcPr>
            <w:tcW w:w="3465" w:type="dxa"/>
            <w:gridSpan w:val="7"/>
            <w:tcBorders/>
            <w:shd w:fill="auto" w:val="clear"/>
            <w:vAlign w:val="center"/>
          </w:tcPr>
          <w:p>
            <w:pPr>
              <w:pStyle w:val="TableContents"/>
              <w:spacing w:before="0" w:after="0"/>
              <w:ind w:left="0" w:right="0" w:firstLine="30"/>
              <w:jc w:val="center"/>
              <w:rPr>
                <w:rFonts w:ascii="Arial" w:hAnsi="Arial"/>
                <w:sz w:val="13"/>
              </w:rPr>
            </w:pPr>
            <w:r>
              <w:rPr>
                <w:rFonts w:ascii="Arial" w:hAnsi="Arial"/>
                <w:sz w:val="13"/>
              </w:rPr>
              <w:t>(in millions, expect percentages)</w:t>
            </w:r>
          </w:p>
        </w:tc>
      </w:tr>
      <w:tr>
        <w:trPr/>
        <w:tc>
          <w:tcPr>
            <w:tcW w:w="6740"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Health and Engineering:</w:t>
            </w:r>
          </w:p>
        </w:tc>
        <w:tc>
          <w:tcPr>
            <w:tcW w:w="1648"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Prior year period’s revenues, as reported</w:t>
            </w:r>
          </w:p>
        </w:tc>
        <w:tc>
          <w:tcPr>
            <w:tcW w:w="23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76" w:type="dxa"/>
            <w:tcBorders/>
            <w:shd w:fill="auto" w:val="clear"/>
            <w:vAlign w:val="center"/>
          </w:tcPr>
          <w:p>
            <w:pPr>
              <w:pStyle w:val="TableContents"/>
              <w:spacing w:before="0" w:after="0"/>
              <w:jc w:val="right"/>
              <w:rPr>
                <w:rFonts w:ascii="Arial" w:hAnsi="Arial"/>
                <w:sz w:val="17"/>
              </w:rPr>
            </w:pPr>
            <w:r>
              <w:rPr>
                <w:rFonts w:ascii="Arial" w:hAnsi="Arial"/>
                <w:sz w:val="17"/>
              </w:rPr>
              <w:t>508</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22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86" w:type="dxa"/>
            <w:tcBorders/>
            <w:shd w:fill="auto" w:val="clear"/>
            <w:vAlign w:val="center"/>
          </w:tcPr>
          <w:p>
            <w:pPr>
              <w:pStyle w:val="TableContents"/>
              <w:spacing w:before="0" w:after="0"/>
              <w:jc w:val="right"/>
              <w:rPr>
                <w:rFonts w:ascii="Arial" w:hAnsi="Arial"/>
                <w:sz w:val="17"/>
              </w:rPr>
            </w:pPr>
            <w:r>
              <w:rPr>
                <w:rFonts w:ascii="Arial" w:hAnsi="Arial"/>
                <w:sz w:val="17"/>
              </w:rPr>
              <w:t>1,341</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Revenues of acquired businesses for the comparable prior year period</w:t>
            </w:r>
          </w:p>
        </w:tc>
        <w:tc>
          <w:tcPr>
            <w:tcW w:w="1406"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10</w:t>
            </w:r>
          </w:p>
        </w:tc>
        <w:tc>
          <w:tcPr>
            <w:tcW w:w="2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145</w:t>
            </w:r>
          </w:p>
        </w:tc>
        <w:tc>
          <w:tcPr>
            <w:tcW w:w="2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Prior year period’s revenues, as adjusted</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518</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1,486</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Current year period’s revenues, as reported</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408</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1,380</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Internal revenue contraction</w:t>
            </w:r>
          </w:p>
        </w:tc>
        <w:tc>
          <w:tcPr>
            <w:tcW w:w="2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(110</w:t>
            </w:r>
          </w:p>
        </w:tc>
        <w:tc>
          <w:tcPr>
            <w:tcW w:w="2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2" w:type="dxa"/>
            <w:tcBorders/>
            <w:shd w:fill="auto" w:val="clear"/>
            <w:vAlign w:val="center"/>
          </w:tcPr>
          <w:p>
            <w:pPr>
              <w:pStyle w:val="TableContents"/>
              <w:spacing w:before="0" w:after="0"/>
              <w:ind w:left="0" w:right="0" w:firstLine="30"/>
              <w:rPr/>
            </w:pPr>
            <w:r>
              <w:rPr/>
              <w:t> </w:t>
            </w:r>
          </w:p>
        </w:tc>
        <w:tc>
          <w:tcPr>
            <w:tcW w:w="2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(106</w:t>
            </w:r>
          </w:p>
        </w:tc>
        <w:tc>
          <w:tcPr>
            <w:tcW w:w="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Internal revenue contraction percentage</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(21</w:t>
            </w:r>
          </w:p>
        </w:tc>
        <w:tc>
          <w:tcPr>
            <w:tcW w:w="24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(7</w:t>
            </w:r>
          </w:p>
        </w:tc>
        <w:tc>
          <w:tcPr>
            <w:tcW w:w="25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8388" w:type="dxa"/>
            <w:gridSpan w:val="4"/>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6740"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National Security Solutions:</w:t>
            </w:r>
          </w:p>
        </w:tc>
        <w:tc>
          <w:tcPr>
            <w:tcW w:w="1648"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Prior year period’s revenues, as reported</w:t>
            </w:r>
          </w:p>
        </w:tc>
        <w:tc>
          <w:tcPr>
            <w:tcW w:w="23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76" w:type="dxa"/>
            <w:tcBorders/>
            <w:shd w:fill="auto" w:val="clear"/>
            <w:vAlign w:val="center"/>
          </w:tcPr>
          <w:p>
            <w:pPr>
              <w:pStyle w:val="TableContents"/>
              <w:spacing w:before="0" w:after="0"/>
              <w:jc w:val="right"/>
              <w:rPr>
                <w:rFonts w:ascii="Arial" w:hAnsi="Arial"/>
                <w:sz w:val="17"/>
              </w:rPr>
            </w:pPr>
            <w:r>
              <w:rPr>
                <w:rFonts w:ascii="Arial" w:hAnsi="Arial"/>
                <w:sz w:val="17"/>
              </w:rPr>
              <w:t>1,166</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22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86" w:type="dxa"/>
            <w:tcBorders/>
            <w:shd w:fill="auto" w:val="clear"/>
            <w:vAlign w:val="center"/>
          </w:tcPr>
          <w:p>
            <w:pPr>
              <w:pStyle w:val="TableContents"/>
              <w:spacing w:before="0" w:after="0"/>
              <w:jc w:val="right"/>
              <w:rPr>
                <w:rFonts w:ascii="Arial" w:hAnsi="Arial"/>
                <w:sz w:val="17"/>
              </w:rPr>
            </w:pPr>
            <w:r>
              <w:rPr>
                <w:rFonts w:ascii="Arial" w:hAnsi="Arial"/>
                <w:sz w:val="17"/>
              </w:rPr>
              <w:t>3,563</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Revenues of acquired businesses for the comparable prior year period</w:t>
            </w:r>
          </w:p>
        </w:tc>
        <w:tc>
          <w:tcPr>
            <w:tcW w:w="140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Prior year period’s revenues, as adjusted</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1,166</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3,563</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Current year period’s revenues, as reported</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1,014</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3,117</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Internal revenue contraction</w:t>
            </w:r>
          </w:p>
        </w:tc>
        <w:tc>
          <w:tcPr>
            <w:tcW w:w="2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(152</w:t>
            </w:r>
          </w:p>
        </w:tc>
        <w:tc>
          <w:tcPr>
            <w:tcW w:w="2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2" w:type="dxa"/>
            <w:tcBorders/>
            <w:shd w:fill="auto" w:val="clear"/>
            <w:vAlign w:val="center"/>
          </w:tcPr>
          <w:p>
            <w:pPr>
              <w:pStyle w:val="TableContents"/>
              <w:spacing w:before="0" w:after="0"/>
              <w:ind w:left="0" w:right="0" w:firstLine="30"/>
              <w:rPr/>
            </w:pPr>
            <w:r>
              <w:rPr/>
              <w:t> </w:t>
            </w:r>
          </w:p>
        </w:tc>
        <w:tc>
          <w:tcPr>
            <w:tcW w:w="2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(446</w:t>
            </w:r>
          </w:p>
        </w:tc>
        <w:tc>
          <w:tcPr>
            <w:tcW w:w="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Internal revenue contraction percentage</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4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(13</w:t>
            </w:r>
          </w:p>
        </w:tc>
        <w:tc>
          <w:tcPr>
            <w:tcW w:w="259"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8388" w:type="dxa"/>
            <w:gridSpan w:val="4"/>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6740" w:type="dxa"/>
            <w:tcBorders/>
            <w:shd w:fill="auto" w:val="clear"/>
            <w:vAlign w:val="center"/>
          </w:tcPr>
          <w:p>
            <w:pPr>
              <w:pStyle w:val="TableContents"/>
              <w:spacing w:before="0" w:after="0"/>
              <w:ind w:left="0" w:right="0" w:firstLine="30"/>
              <w:jc w:val="left"/>
              <w:rPr>
                <w:rFonts w:ascii="Arial" w:hAnsi="Arial"/>
                <w:b/>
                <w:sz w:val="17"/>
              </w:rPr>
            </w:pPr>
            <w:r>
              <w:rPr>
                <w:rFonts w:ascii="Arial" w:hAnsi="Arial"/>
                <w:b/>
                <w:sz w:val="17"/>
              </w:rPr>
              <w:t>Total*:</w:t>
            </w:r>
          </w:p>
        </w:tc>
        <w:tc>
          <w:tcPr>
            <w:tcW w:w="1648"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c>
          <w:tcPr>
            <w:tcW w:w="152" w:type="dxa"/>
            <w:tcBorders/>
            <w:shd w:fill="auto" w:val="clear"/>
            <w:vAlign w:val="center"/>
          </w:tcPr>
          <w:p>
            <w:pPr>
              <w:pStyle w:val="TableContents"/>
              <w:spacing w:before="0" w:after="0"/>
              <w:ind w:left="0" w:right="0" w:firstLine="30"/>
              <w:rPr/>
            </w:pPr>
            <w:r>
              <w:rPr/>
              <w:t> </w:t>
            </w:r>
          </w:p>
        </w:tc>
        <w:tc>
          <w:tcPr>
            <w:tcW w:w="1665" w:type="dxa"/>
            <w:gridSpan w:val="3"/>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Prior year period’s revenues, as reported</w:t>
            </w:r>
          </w:p>
        </w:tc>
        <w:tc>
          <w:tcPr>
            <w:tcW w:w="23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76" w:type="dxa"/>
            <w:tcBorders/>
            <w:shd w:fill="auto" w:val="clear"/>
            <w:vAlign w:val="center"/>
          </w:tcPr>
          <w:p>
            <w:pPr>
              <w:pStyle w:val="TableContents"/>
              <w:spacing w:before="0" w:after="0"/>
              <w:jc w:val="right"/>
              <w:rPr>
                <w:rFonts w:ascii="Arial" w:hAnsi="Arial"/>
                <w:sz w:val="17"/>
              </w:rPr>
            </w:pPr>
            <w:r>
              <w:rPr>
                <w:rFonts w:ascii="Arial" w:hAnsi="Arial"/>
                <w:sz w:val="17"/>
              </w:rPr>
              <w:t>1,673</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220" w:type="dxa"/>
            <w:tcBorders/>
            <w:shd w:fill="auto" w:val="clear"/>
            <w:vAlign w:val="center"/>
          </w:tcPr>
          <w:p>
            <w:pPr>
              <w:pStyle w:val="TableContents"/>
              <w:spacing w:before="0" w:after="0"/>
              <w:jc w:val="left"/>
              <w:rPr>
                <w:rFonts w:ascii="Arial" w:hAnsi="Arial"/>
                <w:sz w:val="17"/>
              </w:rPr>
            </w:pPr>
            <w:r>
              <w:rPr>
                <w:rFonts w:ascii="Arial" w:hAnsi="Arial"/>
                <w:sz w:val="17"/>
              </w:rPr>
              <w:t>$</w:t>
            </w:r>
          </w:p>
        </w:tc>
        <w:tc>
          <w:tcPr>
            <w:tcW w:w="1186" w:type="dxa"/>
            <w:tcBorders/>
            <w:shd w:fill="auto" w:val="clear"/>
            <w:vAlign w:val="center"/>
          </w:tcPr>
          <w:p>
            <w:pPr>
              <w:pStyle w:val="TableContents"/>
              <w:spacing w:before="0" w:after="0"/>
              <w:jc w:val="right"/>
              <w:rPr>
                <w:rFonts w:ascii="Arial" w:hAnsi="Arial"/>
                <w:sz w:val="17"/>
              </w:rPr>
            </w:pPr>
            <w:r>
              <w:rPr>
                <w:rFonts w:ascii="Arial" w:hAnsi="Arial"/>
                <w:sz w:val="17"/>
              </w:rPr>
              <w:t>4,899</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Revenues of acquired businesses for the comparable prior year period</w:t>
            </w:r>
          </w:p>
        </w:tc>
        <w:tc>
          <w:tcPr>
            <w:tcW w:w="1406"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10</w:t>
            </w:r>
          </w:p>
        </w:tc>
        <w:tc>
          <w:tcPr>
            <w:tcW w:w="2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06" w:type="dxa"/>
            <w:gridSpan w:val="2"/>
            <w:tcBorders>
              <w:bottom w:val="single" w:sz="2" w:space="0" w:color="000000"/>
            </w:tcBorders>
            <w:shd w:fill="auto" w:val="clear"/>
            <w:tcMar>
              <w:bottom w:w="30" w:type="dxa"/>
            </w:tcMar>
            <w:vAlign w:val="center"/>
          </w:tcPr>
          <w:p>
            <w:pPr>
              <w:pStyle w:val="TableContents"/>
              <w:spacing w:before="0" w:after="0"/>
              <w:jc w:val="right"/>
              <w:rPr>
                <w:rFonts w:ascii="Arial" w:hAnsi="Arial"/>
                <w:sz w:val="17"/>
              </w:rPr>
            </w:pPr>
            <w:r>
              <w:rPr>
                <w:rFonts w:ascii="Arial" w:hAnsi="Arial"/>
                <w:sz w:val="17"/>
              </w:rPr>
              <w:t>145</w:t>
            </w:r>
          </w:p>
        </w:tc>
        <w:tc>
          <w:tcPr>
            <w:tcW w:w="2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Prior year period’s revenues, as adjusted</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1,683</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5,044</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Current year period’s revenues, as reported</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1,420</w:t>
            </w:r>
          </w:p>
        </w:tc>
        <w:tc>
          <w:tcPr>
            <w:tcW w:w="2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4,486</w:t>
            </w:r>
          </w:p>
        </w:tc>
        <w:tc>
          <w:tcPr>
            <w:tcW w:w="2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Internal revenue contraction</w:t>
            </w:r>
          </w:p>
        </w:tc>
        <w:tc>
          <w:tcPr>
            <w:tcW w:w="2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(263</w:t>
            </w:r>
          </w:p>
        </w:tc>
        <w:tc>
          <w:tcPr>
            <w:tcW w:w="2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2" w:type="dxa"/>
            <w:tcBorders/>
            <w:shd w:fill="auto" w:val="clear"/>
            <w:vAlign w:val="center"/>
          </w:tcPr>
          <w:p>
            <w:pPr>
              <w:pStyle w:val="TableContents"/>
              <w:spacing w:before="0" w:after="0"/>
              <w:ind w:left="0" w:right="0" w:firstLine="30"/>
              <w:rPr/>
            </w:pPr>
            <w:r>
              <w:rPr/>
              <w:t> </w:t>
            </w:r>
          </w:p>
        </w:tc>
        <w:tc>
          <w:tcPr>
            <w:tcW w:w="2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Arial" w:hAnsi="Arial"/>
                <w:sz w:val="17"/>
              </w:rPr>
            </w:pPr>
            <w:r>
              <w:rPr>
                <w:rFonts w:ascii="Arial" w:hAnsi="Arial"/>
                <w:sz w:val="17"/>
              </w:rPr>
              <w:t>$</w:t>
            </w:r>
          </w:p>
        </w:tc>
        <w:tc>
          <w:tcPr>
            <w:tcW w:w="11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Arial" w:hAnsi="Arial"/>
                <w:sz w:val="17"/>
              </w:rPr>
            </w:pPr>
            <w:r>
              <w:rPr>
                <w:rFonts w:ascii="Arial" w:hAnsi="Arial"/>
                <w:sz w:val="17"/>
              </w:rPr>
              <w:t>(558</w:t>
            </w:r>
          </w:p>
        </w:tc>
        <w:tc>
          <w:tcPr>
            <w:tcW w:w="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Arial" w:hAnsi="Arial"/>
                <w:sz w:val="17"/>
              </w:rPr>
            </w:pPr>
            <w:r>
              <w:rPr>
                <w:rFonts w:ascii="Arial" w:hAnsi="Arial"/>
                <w:sz w:val="17"/>
              </w:rPr>
              <w:t>)</w:t>
            </w:r>
          </w:p>
        </w:tc>
      </w:tr>
      <w:tr>
        <w:trPr/>
        <w:tc>
          <w:tcPr>
            <w:tcW w:w="6740"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Internal revenue contraction percentage</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(16</w:t>
            </w:r>
          </w:p>
        </w:tc>
        <w:tc>
          <w:tcPr>
            <w:tcW w:w="242" w:type="dxa"/>
            <w:tcBorders/>
            <w:shd w:fill="auto" w:val="clear"/>
            <w:vAlign w:val="center"/>
          </w:tcPr>
          <w:p>
            <w:pPr>
              <w:pStyle w:val="TableContents"/>
              <w:spacing w:before="0" w:after="0"/>
              <w:ind w:left="0" w:right="0" w:firstLine="30"/>
              <w:jc w:val="left"/>
              <w:rPr>
                <w:rFonts w:ascii="Arial" w:hAnsi="Arial"/>
                <w:sz w:val="17"/>
              </w:rPr>
            </w:pPr>
            <w:r>
              <w:rPr>
                <w:rFonts w:ascii="Arial" w:hAnsi="Arial"/>
                <w:sz w:val="17"/>
              </w:rPr>
              <w:t>)%</w:t>
            </w:r>
          </w:p>
        </w:tc>
        <w:tc>
          <w:tcPr>
            <w:tcW w:w="152"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rFonts w:ascii="Arial" w:hAnsi="Arial"/>
                <w:sz w:val="17"/>
              </w:rPr>
            </w:pPr>
            <w:r>
              <w:rPr>
                <w:rFonts w:ascii="Arial" w:hAnsi="Arial"/>
                <w:sz w:val="17"/>
              </w:rPr>
              <w:t>(11</w:t>
            </w:r>
          </w:p>
        </w:tc>
        <w:tc>
          <w:tcPr>
            <w:tcW w:w="259" w:type="dxa"/>
            <w:tcBorders/>
            <w:shd w:fill="auto" w:val="clear"/>
            <w:vAlign w:val="center"/>
          </w:tcPr>
          <w:p>
            <w:pPr>
              <w:pStyle w:val="TableContents"/>
              <w:spacing w:before="0" w:after="0"/>
              <w:jc w:val="left"/>
              <w:rPr>
                <w:rFonts w:ascii="Arial" w:hAnsi="Arial"/>
                <w:sz w:val="17"/>
              </w:rPr>
            </w:pPr>
            <w:r>
              <w:rPr>
                <w:rFonts w:ascii="Arial" w:hAnsi="Arial"/>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Arial" w:hAnsi="Arial"/>
          <w:sz w:val="17"/>
        </w:rPr>
      </w:pPr>
      <w:r>
        <w:rPr>
          <w:rFonts w:ascii="Arial" w:hAnsi="Arial"/>
          <w:sz w:val="17"/>
        </w:rPr>
        <w:t>* Total revenues include amounts related to Corporate and Other and intersegment eliminations.</w:t>
      </w:r>
    </w:p>
    <w:p>
      <w:pPr>
        <w:pStyle w:val="TextBody"/>
        <w:spacing w:before="0" w:after="0"/>
        <w:rPr/>
      </w:pPr>
      <w:r>
        <w:rPr/>
      </w:r>
    </w:p>
    <w:p>
      <w:pPr>
        <w:pStyle w:val="TextBody"/>
        <w:spacing w:lineRule="auto" w:line="288" w:before="0" w:after="0"/>
        <w:jc w:val="center"/>
        <w:rPr>
          <w:rFonts w:ascii="Arial" w:hAnsi="Arial"/>
          <w:sz w:val="17"/>
        </w:rPr>
      </w:pPr>
      <w:r>
        <w:rPr>
          <w:rFonts w:ascii="Arial" w:hAnsi="Arial"/>
          <w:sz w:val="17"/>
        </w:rPr>
        <w:t>13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5757</Words>
  <CharactersWithSpaces>36886</CharactersWithSpaces>
  <Paragraphs>1739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