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6">
        <w:r>
          <w:rPr>
            <w:rFonts w:ascii="Arial" w:cs="Arial" w:eastAsia="Arial" w:hAnsi="Arial"/>
            <w:sz w:val="17"/>
            <w:szCs w:val="17"/>
            <w:b w:val="1"/>
            <w:bCs w:val="1"/>
            <w:u w:val="single" w:color="auto"/>
            <w:color w:val="0000EE"/>
          </w:rPr>
          <w:t>Table of Contents</w:t>
        </w:r>
      </w:hyperlink>
    </w:p>
    <w:p>
      <w:pPr>
        <w:spacing w:after="0" w:line="286"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UNITED STATES</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59"/>
        <w:spacing w:after="0"/>
        <w:rPr>
          <w:sz w:val="20"/>
          <w:szCs w:val="20"/>
          <w:color w:val="auto"/>
        </w:rPr>
      </w:pPr>
      <w:r>
        <w:rPr>
          <w:rFonts w:ascii="Arial" w:cs="Arial" w:eastAsia="Arial" w:hAnsi="Arial"/>
          <w:sz w:val="17"/>
          <w:szCs w:val="17"/>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SCHEDULE 14A</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Proxy Statement Pursuant to Section 14(a) of the Securities Exchange Act of 1934</w:t>
      </w:r>
    </w:p>
    <w:p>
      <w:pPr>
        <w:spacing w:after="0" w:line="10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4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3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22" w:lineRule="exact"/>
        <w:rPr>
          <w:sz w:val="24"/>
          <w:szCs w:val="24"/>
          <w:color w:val="auto"/>
        </w:rPr>
      </w:pPr>
    </w:p>
    <w:p>
      <w:pPr>
        <w:ind w:left="200" w:hanging="194"/>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8" w:lineRule="exact"/>
        <w:rPr>
          <w:sz w:val="24"/>
          <w:szCs w:val="24"/>
          <w:color w:val="auto"/>
        </w:rPr>
      </w:pPr>
    </w:p>
    <w:p>
      <w:pPr>
        <w:ind w:left="200" w:hanging="194"/>
        <w:spacing w:after="0"/>
        <w:tabs>
          <w:tab w:leader="none" w:pos="2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7" w:lineRule="exact"/>
        <w:rPr>
          <w:rFonts w:ascii="MS PGothic" w:cs="MS PGothic" w:eastAsia="MS PGothic" w:hAnsi="MS PGothic"/>
          <w:sz w:val="17"/>
          <w:szCs w:val="17"/>
          <w:color w:val="auto"/>
        </w:rPr>
      </w:pPr>
    </w:p>
    <w:p>
      <w:pPr>
        <w:ind w:left="200" w:hanging="194"/>
        <w:spacing w:after="0"/>
        <w:tabs>
          <w:tab w:leader="none" w:pos="2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7" w:lineRule="exact"/>
        <w:rPr>
          <w:rFonts w:ascii="MS PGothic" w:cs="MS PGothic" w:eastAsia="MS PGothic" w:hAnsi="MS PGothic"/>
          <w:sz w:val="17"/>
          <w:szCs w:val="17"/>
          <w:color w:val="auto"/>
        </w:rPr>
      </w:pPr>
    </w:p>
    <w:p>
      <w:pPr>
        <w:ind w:left="200" w:hanging="194"/>
        <w:spacing w:after="0"/>
        <w:tabs>
          <w:tab w:leader="none" w:pos="2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7" w:lineRule="exact"/>
        <w:rPr>
          <w:rFonts w:ascii="MS PGothic" w:cs="MS PGothic" w:eastAsia="MS PGothic" w:hAnsi="MS PGothic"/>
          <w:sz w:val="17"/>
          <w:szCs w:val="17"/>
          <w:color w:val="auto"/>
        </w:rPr>
      </w:pPr>
    </w:p>
    <w:p>
      <w:pPr>
        <w:ind w:left="200" w:hanging="194"/>
        <w:spacing w:after="0"/>
        <w:tabs>
          <w:tab w:leader="none" w:pos="2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 240.14a-12</w:t>
      </w:r>
    </w:p>
    <w:p>
      <w:pPr>
        <w:spacing w:after="0" w:line="140"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Leidos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140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277495</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ind w:left="296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48"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186" w:lineRule="exact"/>
        <w:rPr>
          <w:sz w:val="24"/>
          <w:szCs w:val="24"/>
          <w:color w:val="auto"/>
        </w:rPr>
      </w:pPr>
    </w:p>
    <w:p>
      <w:pPr>
        <w:ind w:left="440" w:hanging="438"/>
        <w:spacing w:after="0"/>
        <w:tabs>
          <w:tab w:leader="none" w:pos="4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8" w:lineRule="exact"/>
        <w:rPr>
          <w:sz w:val="24"/>
          <w:szCs w:val="24"/>
          <w:color w:val="auto"/>
        </w:rPr>
      </w:pPr>
    </w:p>
    <w:p>
      <w:pPr>
        <w:ind w:left="440" w:hanging="438"/>
        <w:spacing w:after="0"/>
        <w:tabs>
          <w:tab w:leader="none" w:pos="4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198" w:lineRule="exact"/>
        <w:rPr>
          <w:rFonts w:ascii="MS PGothic" w:cs="MS PGothic" w:eastAsia="MS PGothic" w:hAnsi="MS PGothic"/>
          <w:sz w:val="17"/>
          <w:szCs w:val="17"/>
          <w:color w:val="auto"/>
        </w:rPr>
      </w:pPr>
    </w:p>
    <w:p>
      <w:pPr>
        <w:ind w:left="900" w:hanging="454"/>
        <w:spacing w:after="0"/>
        <w:tabs>
          <w:tab w:leader="none" w:pos="900" w:val="left"/>
        </w:tabs>
        <w:numPr>
          <w:ilvl w:val="1"/>
          <w:numId w:val="4"/>
        </w:numPr>
        <w:rPr>
          <w:rFonts w:ascii="Arial" w:cs="Arial" w:eastAsia="Arial" w:hAnsi="Arial"/>
          <w:sz w:val="17"/>
          <w:szCs w:val="17"/>
          <w:b w:val="1"/>
          <w:bCs w:val="1"/>
          <w:color w:val="auto"/>
        </w:rPr>
      </w:pPr>
      <w:r>
        <w:rPr>
          <w:rFonts w:ascii="Arial" w:cs="Arial" w:eastAsia="Arial" w:hAnsi="Arial"/>
          <w:sz w:val="17"/>
          <w:szCs w:val="17"/>
          <w:color w:val="auto"/>
        </w:rPr>
        <w:t>Title of each class of securities to which transaction applies:</w:t>
      </w:r>
    </w:p>
    <w:p>
      <w:pPr>
        <w:spacing w:after="0" w:line="325" w:lineRule="exact"/>
        <w:rPr>
          <w:rFonts w:ascii="Arial" w:cs="Arial" w:eastAsia="Arial" w:hAnsi="Arial"/>
          <w:sz w:val="17"/>
          <w:szCs w:val="17"/>
          <w:b w:val="1"/>
          <w:bCs w:val="1"/>
          <w:color w:val="auto"/>
        </w:rPr>
      </w:pPr>
    </w:p>
    <w:p>
      <w:pPr>
        <w:ind w:left="900" w:hanging="454"/>
        <w:spacing w:after="0"/>
        <w:tabs>
          <w:tab w:leader="none" w:pos="900" w:val="left"/>
        </w:tabs>
        <w:numPr>
          <w:ilvl w:val="1"/>
          <w:numId w:val="4"/>
        </w:numPr>
        <w:rPr>
          <w:rFonts w:ascii="Arial" w:cs="Arial" w:eastAsia="Arial" w:hAnsi="Arial"/>
          <w:sz w:val="17"/>
          <w:szCs w:val="17"/>
          <w:b w:val="1"/>
          <w:bCs w:val="1"/>
          <w:color w:val="auto"/>
        </w:rPr>
      </w:pPr>
      <w:r>
        <w:rPr>
          <w:rFonts w:ascii="Arial" w:cs="Arial" w:eastAsia="Arial" w:hAnsi="Arial"/>
          <w:sz w:val="17"/>
          <w:szCs w:val="17"/>
          <w:color w:val="auto"/>
        </w:rPr>
        <w:t>Aggregate number of securities to which transaction applies:</w:t>
      </w:r>
    </w:p>
    <w:p>
      <w:pPr>
        <w:spacing w:after="0" w:line="312" w:lineRule="exact"/>
        <w:rPr>
          <w:rFonts w:ascii="Arial" w:cs="Arial" w:eastAsia="Arial" w:hAnsi="Arial"/>
          <w:sz w:val="17"/>
          <w:szCs w:val="17"/>
          <w:b w:val="1"/>
          <w:bCs w:val="1"/>
          <w:color w:val="auto"/>
        </w:rPr>
      </w:pPr>
    </w:p>
    <w:p>
      <w:pPr>
        <w:ind w:left="900" w:hanging="454"/>
        <w:spacing w:after="0" w:line="238" w:lineRule="auto"/>
        <w:tabs>
          <w:tab w:leader="none" w:pos="900" w:val="left"/>
        </w:tabs>
        <w:numPr>
          <w:ilvl w:val="1"/>
          <w:numId w:val="4"/>
        </w:numPr>
        <w:rPr>
          <w:rFonts w:ascii="Arial" w:cs="Arial" w:eastAsia="Arial" w:hAnsi="Arial"/>
          <w:sz w:val="17"/>
          <w:szCs w:val="17"/>
          <w:b w:val="1"/>
          <w:bCs w:val="1"/>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23" w:lineRule="exact"/>
        <w:rPr>
          <w:rFonts w:ascii="Arial" w:cs="Arial" w:eastAsia="Arial" w:hAnsi="Arial"/>
          <w:sz w:val="17"/>
          <w:szCs w:val="17"/>
          <w:b w:val="1"/>
          <w:bCs w:val="1"/>
          <w:color w:val="auto"/>
        </w:rPr>
      </w:pPr>
    </w:p>
    <w:p>
      <w:pPr>
        <w:ind w:left="900" w:hanging="454"/>
        <w:spacing w:after="0"/>
        <w:tabs>
          <w:tab w:leader="none" w:pos="900" w:val="left"/>
        </w:tabs>
        <w:numPr>
          <w:ilvl w:val="1"/>
          <w:numId w:val="4"/>
        </w:numPr>
        <w:rPr>
          <w:rFonts w:ascii="Arial" w:cs="Arial" w:eastAsia="Arial" w:hAnsi="Arial"/>
          <w:sz w:val="17"/>
          <w:szCs w:val="17"/>
          <w:b w:val="1"/>
          <w:bCs w:val="1"/>
          <w:color w:val="auto"/>
        </w:rPr>
      </w:pPr>
      <w:r>
        <w:rPr>
          <w:rFonts w:ascii="Arial" w:cs="Arial" w:eastAsia="Arial" w:hAnsi="Arial"/>
          <w:sz w:val="17"/>
          <w:szCs w:val="17"/>
          <w:color w:val="auto"/>
        </w:rPr>
        <w:t>Proposed maximum aggregate value of transaction:</w:t>
      </w:r>
    </w:p>
    <w:p>
      <w:pPr>
        <w:spacing w:after="0" w:line="325" w:lineRule="exact"/>
        <w:rPr>
          <w:rFonts w:ascii="Arial" w:cs="Arial" w:eastAsia="Arial" w:hAnsi="Arial"/>
          <w:sz w:val="17"/>
          <w:szCs w:val="17"/>
          <w:b w:val="1"/>
          <w:bCs w:val="1"/>
          <w:color w:val="auto"/>
        </w:rPr>
      </w:pPr>
    </w:p>
    <w:p>
      <w:pPr>
        <w:ind w:left="900" w:hanging="454"/>
        <w:spacing w:after="0"/>
        <w:tabs>
          <w:tab w:leader="none" w:pos="900" w:val="left"/>
        </w:tabs>
        <w:numPr>
          <w:ilvl w:val="1"/>
          <w:numId w:val="4"/>
        </w:numPr>
        <w:rPr>
          <w:rFonts w:ascii="Arial" w:cs="Arial" w:eastAsia="Arial" w:hAnsi="Arial"/>
          <w:sz w:val="17"/>
          <w:szCs w:val="17"/>
          <w:b w:val="1"/>
          <w:bCs w:val="1"/>
          <w:color w:val="auto"/>
        </w:rPr>
      </w:pPr>
      <w:r>
        <w:rPr>
          <w:rFonts w:ascii="Arial" w:cs="Arial" w:eastAsia="Arial" w:hAnsi="Arial"/>
          <w:sz w:val="17"/>
          <w:szCs w:val="17"/>
          <w:color w:val="auto"/>
        </w:rPr>
        <w:t>Total fee paid:</w:t>
      </w:r>
    </w:p>
    <w:p>
      <w:pPr>
        <w:spacing w:after="0" w:line="185" w:lineRule="exact"/>
        <w:rPr>
          <w:rFonts w:ascii="Arial" w:cs="Arial" w:eastAsia="Arial" w:hAnsi="Arial"/>
          <w:sz w:val="17"/>
          <w:szCs w:val="17"/>
          <w:b w:val="1"/>
          <w:bCs w:val="1"/>
          <w:color w:val="auto"/>
        </w:rPr>
      </w:pPr>
    </w:p>
    <w:p>
      <w:pPr>
        <w:ind w:left="440" w:hanging="438"/>
        <w:spacing w:after="0"/>
        <w:tabs>
          <w:tab w:leader="none" w:pos="4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7" w:lineRule="exact"/>
        <w:rPr>
          <w:rFonts w:ascii="MS PGothic" w:cs="MS PGothic" w:eastAsia="MS PGothic" w:hAnsi="MS PGothic"/>
          <w:sz w:val="17"/>
          <w:szCs w:val="17"/>
          <w:color w:val="auto"/>
        </w:rPr>
      </w:pPr>
    </w:p>
    <w:p>
      <w:pPr>
        <w:ind w:left="440" w:right="280" w:hanging="438"/>
        <w:spacing w:after="0" w:line="238" w:lineRule="auto"/>
        <w:tabs>
          <w:tab w:leader="none" w:pos="4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 w:lineRule="exact"/>
        <w:rPr>
          <w:rFonts w:ascii="MS PGothic" w:cs="MS PGothic" w:eastAsia="MS PGothic" w:hAnsi="MS PGothic"/>
          <w:sz w:val="17"/>
          <w:szCs w:val="17"/>
          <w:color w:val="auto"/>
        </w:rPr>
      </w:pPr>
    </w:p>
    <w:p>
      <w:pPr>
        <w:ind w:left="900" w:hanging="454"/>
        <w:spacing w:after="0"/>
        <w:tabs>
          <w:tab w:leader="none" w:pos="900" w:val="left"/>
        </w:tabs>
        <w:numPr>
          <w:ilvl w:val="1"/>
          <w:numId w:val="4"/>
        </w:numPr>
        <w:rPr>
          <w:rFonts w:ascii="Arial" w:cs="Arial" w:eastAsia="Arial" w:hAnsi="Arial"/>
          <w:sz w:val="17"/>
          <w:szCs w:val="17"/>
          <w:b w:val="1"/>
          <w:bCs w:val="1"/>
          <w:color w:val="auto"/>
        </w:rPr>
      </w:pPr>
      <w:r>
        <w:rPr>
          <w:rFonts w:ascii="Arial" w:cs="Arial" w:eastAsia="Arial" w:hAnsi="Arial"/>
          <w:sz w:val="17"/>
          <w:szCs w:val="17"/>
          <w:color w:val="auto"/>
        </w:rPr>
        <w:t>Amount Previously Paid:</w:t>
      </w:r>
    </w:p>
    <w:p>
      <w:pPr>
        <w:spacing w:after="0" w:line="312" w:lineRule="exact"/>
        <w:rPr>
          <w:rFonts w:ascii="Arial" w:cs="Arial" w:eastAsia="Arial" w:hAnsi="Arial"/>
          <w:sz w:val="17"/>
          <w:szCs w:val="17"/>
          <w:b w:val="1"/>
          <w:bCs w:val="1"/>
          <w:color w:val="auto"/>
        </w:rPr>
      </w:pPr>
    </w:p>
    <w:p>
      <w:pPr>
        <w:ind w:left="900" w:hanging="454"/>
        <w:spacing w:after="0"/>
        <w:tabs>
          <w:tab w:leader="none" w:pos="900" w:val="left"/>
        </w:tabs>
        <w:numPr>
          <w:ilvl w:val="1"/>
          <w:numId w:val="4"/>
        </w:numPr>
        <w:rPr>
          <w:rFonts w:ascii="Arial" w:cs="Arial" w:eastAsia="Arial" w:hAnsi="Arial"/>
          <w:sz w:val="17"/>
          <w:szCs w:val="17"/>
          <w:b w:val="1"/>
          <w:bCs w:val="1"/>
          <w:color w:val="auto"/>
        </w:rPr>
      </w:pPr>
      <w:r>
        <w:rPr>
          <w:rFonts w:ascii="Arial" w:cs="Arial" w:eastAsia="Arial" w:hAnsi="Arial"/>
          <w:sz w:val="17"/>
          <w:szCs w:val="17"/>
          <w:color w:val="auto"/>
        </w:rPr>
        <w:t>Form, Schedule or Registration Statement No.:</w:t>
      </w:r>
    </w:p>
    <w:p>
      <w:pPr>
        <w:spacing w:after="0" w:line="325" w:lineRule="exact"/>
        <w:rPr>
          <w:rFonts w:ascii="Arial" w:cs="Arial" w:eastAsia="Arial" w:hAnsi="Arial"/>
          <w:sz w:val="17"/>
          <w:szCs w:val="17"/>
          <w:b w:val="1"/>
          <w:bCs w:val="1"/>
          <w:color w:val="auto"/>
        </w:rPr>
      </w:pPr>
    </w:p>
    <w:p>
      <w:pPr>
        <w:ind w:left="900" w:hanging="454"/>
        <w:spacing w:after="0"/>
        <w:tabs>
          <w:tab w:leader="none" w:pos="900" w:val="left"/>
        </w:tabs>
        <w:numPr>
          <w:ilvl w:val="1"/>
          <w:numId w:val="4"/>
        </w:numPr>
        <w:rPr>
          <w:rFonts w:ascii="Arial" w:cs="Arial" w:eastAsia="Arial" w:hAnsi="Arial"/>
          <w:sz w:val="17"/>
          <w:szCs w:val="17"/>
          <w:b w:val="1"/>
          <w:bCs w:val="1"/>
          <w:color w:val="auto"/>
        </w:rPr>
      </w:pPr>
      <w:r>
        <w:rPr>
          <w:rFonts w:ascii="Arial" w:cs="Arial" w:eastAsia="Arial" w:hAnsi="Arial"/>
          <w:sz w:val="17"/>
          <w:szCs w:val="17"/>
          <w:color w:val="auto"/>
        </w:rPr>
        <w:t>Filing Party:</w:t>
      </w:r>
    </w:p>
    <w:p>
      <w:pPr>
        <w:spacing w:after="0" w:line="325" w:lineRule="exact"/>
        <w:rPr>
          <w:rFonts w:ascii="Arial" w:cs="Arial" w:eastAsia="Arial" w:hAnsi="Arial"/>
          <w:sz w:val="17"/>
          <w:szCs w:val="17"/>
          <w:b w:val="1"/>
          <w:bCs w:val="1"/>
          <w:color w:val="auto"/>
        </w:rPr>
      </w:pPr>
    </w:p>
    <w:p>
      <w:pPr>
        <w:ind w:left="900" w:hanging="454"/>
        <w:spacing w:after="0"/>
        <w:tabs>
          <w:tab w:leader="none" w:pos="900" w:val="left"/>
        </w:tabs>
        <w:numPr>
          <w:ilvl w:val="1"/>
          <w:numId w:val="4"/>
        </w:numPr>
        <w:rPr>
          <w:rFonts w:ascii="Arial" w:cs="Arial" w:eastAsia="Arial" w:hAnsi="Arial"/>
          <w:sz w:val="17"/>
          <w:szCs w:val="17"/>
          <w:b w:val="1"/>
          <w:bCs w:val="1"/>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283210</wp:posOffset>
            </wp:positionH>
            <wp:positionV relativeFrom="paragraph">
              <wp:posOffset>-2884805</wp:posOffset>
            </wp:positionV>
            <wp:extent cx="6858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-2562225</wp:posOffset>
            </wp:positionV>
            <wp:extent cx="68580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-2110105</wp:posOffset>
            </wp:positionV>
            <wp:extent cx="6858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-1779270</wp:posOffset>
            </wp:positionV>
            <wp:extent cx="6858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-827405</wp:posOffset>
            </wp:positionV>
            <wp:extent cx="6858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-496570</wp:posOffset>
            </wp:positionV>
            <wp:extent cx="68580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-165735</wp:posOffset>
            </wp:positionV>
            <wp:extent cx="68580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156210</wp:posOffset>
            </wp:positionV>
            <wp:extent cx="68580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214630</wp:posOffset>
            </wp:positionV>
            <wp:extent cx="6567805" cy="8560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67805" cy="856043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214630</wp:posOffset>
            </wp:positionV>
            <wp:extent cx="6567805" cy="8560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67805" cy="856043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281305</wp:posOffset>
            </wp:positionV>
            <wp:extent cx="5817235" cy="927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17235" cy="92773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1354455</wp:posOffset>
            </wp:positionV>
            <wp:extent cx="2178685" cy="2095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78685"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behalf of Leidos and our Board of Directors, I would like to thank you for your continued support.</w:t>
      </w:r>
    </w:p>
    <w:p>
      <w:pPr>
        <w:spacing w:after="0" w:line="198" w:lineRule="exact"/>
        <w:rPr>
          <w:sz w:val="20"/>
          <w:szCs w:val="20"/>
          <w:color w:val="auto"/>
        </w:rPr>
      </w:pPr>
    </w:p>
    <w:p>
      <w:pPr>
        <w:ind w:left="440" w:right="140"/>
        <w:spacing w:after="0" w:line="237" w:lineRule="auto"/>
        <w:rPr>
          <w:sz w:val="20"/>
          <w:szCs w:val="20"/>
          <w:color w:val="auto"/>
        </w:rPr>
      </w:pPr>
      <w:r>
        <w:rPr>
          <w:rFonts w:ascii="Arial" w:cs="Arial" w:eastAsia="Arial" w:hAnsi="Arial"/>
          <w:sz w:val="17"/>
          <w:szCs w:val="17"/>
          <w:color w:val="auto"/>
        </w:rPr>
        <w:t>Having just celebrated 50 years as a trusted provider of information technology, science, and engineering solutions for the government and highly-regulated commercial customers, Leidos is poised to deliver value for another 50 years. We have grown to 36,000 employees and our mission of making the world safer, healthier, and more efficient continues to inspire us. We are a company grounded in purpose making a difference every day.</w:t>
      </w:r>
    </w:p>
    <w:p>
      <w:pPr>
        <w:spacing w:after="0" w:line="194" w:lineRule="exact"/>
        <w:rPr>
          <w:sz w:val="20"/>
          <w:szCs w:val="20"/>
          <w:color w:val="auto"/>
        </w:rPr>
      </w:pPr>
    </w:p>
    <w:p>
      <w:pPr>
        <w:ind w:left="440" w:right="100"/>
        <w:spacing w:after="0" w:line="237" w:lineRule="auto"/>
        <w:rPr>
          <w:sz w:val="20"/>
          <w:szCs w:val="20"/>
          <w:color w:val="auto"/>
        </w:rPr>
      </w:pPr>
      <w:r>
        <w:rPr>
          <w:rFonts w:ascii="Arial" w:cs="Arial" w:eastAsia="Arial" w:hAnsi="Arial"/>
          <w:sz w:val="17"/>
          <w:szCs w:val="17"/>
          <w:color w:val="auto"/>
        </w:rPr>
        <w:t>2019 was a stand-out year for us. Early in the year, we conducted an enterprise-wide Engagement Survey, with an impressive 72% response rate. The company’s commitment to integrity, diversity, and inclusion all scored very high on the survey. Following these results, it was clear that inclusion should be a core Leidos value. As such, we added it this winter, communicating it to our senior leaders, cascading it throughout the enterprise and weaving it into all that we do.</w:t>
      </w:r>
    </w:p>
    <w:p>
      <w:pPr>
        <w:spacing w:after="0" w:line="194" w:lineRule="exact"/>
        <w:rPr>
          <w:sz w:val="20"/>
          <w:szCs w:val="20"/>
          <w:color w:val="auto"/>
        </w:rPr>
      </w:pPr>
    </w:p>
    <w:p>
      <w:pPr>
        <w:ind w:left="440" w:right="140"/>
        <w:spacing w:after="0" w:line="235" w:lineRule="auto"/>
        <w:rPr>
          <w:sz w:val="20"/>
          <w:szCs w:val="20"/>
          <w:color w:val="auto"/>
        </w:rPr>
      </w:pPr>
      <w:r>
        <w:rPr>
          <w:rFonts w:ascii="Arial" w:cs="Arial" w:eastAsia="Arial" w:hAnsi="Arial"/>
          <w:sz w:val="17"/>
          <w:szCs w:val="17"/>
          <w:color w:val="auto"/>
        </w:rPr>
        <w:t>Leidos fully understands its purpose as an organization that goes beyond the bottom line and remains committed to serving all stakeholders, including employees, customers, supplier partners, communities and shareholders. The Leidos Corporate Responsibility Report provides details about our sustainability efforts and the many campaigns that make an impact each day. Over the past year, we again pursued causes related to ethics and leadership, national security families, basic needs and wellness, and a continued focus on mental health initiatives, including programs related to opioid addiction. I am also pleased to highlight that we are ahead of our self-imposed goals related to sustainability beating our target for greenhouse gas emissions for 2019. Further, our new headquarters building will be certified as a LEED Gold building, providing our employees a great place to work while at the same time enabling us to be good stewards of the environment.</w:t>
      </w:r>
    </w:p>
    <w:p>
      <w:pPr>
        <w:spacing w:after="0" w:line="197" w:lineRule="exact"/>
        <w:rPr>
          <w:sz w:val="20"/>
          <w:szCs w:val="20"/>
          <w:color w:val="auto"/>
        </w:rPr>
      </w:pPr>
    </w:p>
    <w:p>
      <w:pPr>
        <w:ind w:left="440" w:right="140"/>
        <w:spacing w:after="0" w:line="237" w:lineRule="auto"/>
        <w:rPr>
          <w:sz w:val="20"/>
          <w:szCs w:val="20"/>
          <w:color w:val="auto"/>
        </w:rPr>
      </w:pPr>
      <w:r>
        <w:rPr>
          <w:rFonts w:ascii="Arial" w:cs="Arial" w:eastAsia="Arial" w:hAnsi="Arial"/>
          <w:sz w:val="17"/>
          <w:szCs w:val="17"/>
          <w:color w:val="auto"/>
        </w:rPr>
        <w:t>We also announced two strategic acquisitions. The first being IMX Medical Management Services (IMX) and its affiliated businesses, completed in August 2019. This acquisition complements the existing work of our subsidiary QTC Management, which provides federal disability and occupational health examination services across the U.S. IMX increases our office footprint in the mid-Atlantic and northeastern U.S. for independent medical examinations and extends our customer base for these evaluations and case management to include insurance carriers, employers, law firms, third party administrators, and state and local government.</w:t>
      </w:r>
    </w:p>
    <w:p>
      <w:pPr>
        <w:spacing w:after="0" w:line="191" w:lineRule="exact"/>
        <w:rPr>
          <w:sz w:val="20"/>
          <w:szCs w:val="20"/>
          <w:color w:val="auto"/>
        </w:rPr>
      </w:pPr>
    </w:p>
    <w:p>
      <w:pPr>
        <w:ind w:left="440" w:right="160"/>
        <w:spacing w:after="0" w:line="254" w:lineRule="auto"/>
        <w:rPr>
          <w:sz w:val="20"/>
          <w:szCs w:val="20"/>
          <w:color w:val="auto"/>
        </w:rPr>
      </w:pPr>
      <w:r>
        <w:rPr>
          <w:rFonts w:ascii="Arial" w:cs="Arial" w:eastAsia="Arial" w:hAnsi="Arial"/>
          <w:sz w:val="16"/>
          <w:szCs w:val="16"/>
          <w:color w:val="auto"/>
        </w:rPr>
        <w:t>The second acquisition announced was Dynetics, Inc., a high-technology, mission-critical services and solutions company in the national security, space, and intelligence sectors. We announced our Dynetics acquisition in December 2019, and closed the transaction in January 2020. Dynetics, Inc. expands our footprint in Huntsville, Alabama; better accelerates opportunities within the Leidos Innovations Center (LInC), particularly in hypersonics, space, autonomy and advanced sensors; and expands secure production, test, and assembly facilities to offer product-centric solutions. Both acquisitions will enable our future success and help us achieve continued growth.</w:t>
      </w:r>
    </w:p>
    <w:p>
      <w:pPr>
        <w:spacing w:after="0" w:line="183" w:lineRule="exact"/>
        <w:rPr>
          <w:sz w:val="20"/>
          <w:szCs w:val="20"/>
          <w:color w:val="auto"/>
        </w:rPr>
      </w:pPr>
    </w:p>
    <w:p>
      <w:pPr>
        <w:ind w:left="440" w:right="120"/>
        <w:spacing w:after="0" w:line="237" w:lineRule="auto"/>
        <w:rPr>
          <w:sz w:val="20"/>
          <w:szCs w:val="20"/>
          <w:color w:val="auto"/>
        </w:rPr>
      </w:pPr>
      <w:r>
        <w:rPr>
          <w:rFonts w:ascii="Arial" w:cs="Arial" w:eastAsia="Arial" w:hAnsi="Arial"/>
          <w:sz w:val="17"/>
          <w:szCs w:val="17"/>
          <w:color w:val="auto"/>
        </w:rPr>
        <w:t>At the end of the year, Leidos achieved fiscal year revenue of $11.10 billion, an 8.9% increase from the prior year. Our business development team did an outstanding job pursuing business with NASA, the U.S. Air Force, the Department of Energy, the U.K. Home Office, the Australian Ministry of Defence, and the Defense Information Systems Agency (DISA). Most importantly, we did all of this as an enterprise committed to integrity in all that we do – we were once again named as one of the World’s Most Ethical Companies</w:t>
      </w:r>
      <w:r>
        <w:rPr>
          <w:rFonts w:ascii="Arial" w:cs="Arial" w:eastAsia="Arial" w:hAnsi="Arial"/>
          <w:sz w:val="14"/>
          <w:szCs w:val="14"/>
          <w:color w:val="auto"/>
        </w:rPr>
        <w:t>®</w:t>
      </w:r>
      <w:r>
        <w:rPr>
          <w:rFonts w:ascii="Arial" w:cs="Arial" w:eastAsia="Arial" w:hAnsi="Arial"/>
          <w:sz w:val="17"/>
          <w:szCs w:val="17"/>
          <w:color w:val="auto"/>
        </w:rPr>
        <w:t xml:space="preserve"> by the Ethisphere Institute.</w:t>
      </w:r>
    </w:p>
    <w:p>
      <w:pPr>
        <w:spacing w:after="0" w:line="191" w:lineRule="exact"/>
        <w:rPr>
          <w:sz w:val="20"/>
          <w:szCs w:val="20"/>
          <w:color w:val="auto"/>
        </w:rPr>
      </w:pPr>
    </w:p>
    <w:p>
      <w:pPr>
        <w:ind w:left="440"/>
        <w:spacing w:after="0" w:line="237" w:lineRule="auto"/>
        <w:rPr>
          <w:sz w:val="20"/>
          <w:szCs w:val="20"/>
          <w:color w:val="auto"/>
        </w:rPr>
      </w:pPr>
      <w:r>
        <w:rPr>
          <w:rFonts w:ascii="Arial" w:cs="Arial" w:eastAsia="Arial" w:hAnsi="Arial"/>
          <w:sz w:val="17"/>
          <w:szCs w:val="17"/>
          <w:color w:val="auto"/>
        </w:rPr>
        <w:t>As I write this letter the news is dominated by the latest development associated with COVID-19. At Leidos we have taken significant steps to protect our people. We have established a working group and have mobilized our company to make Leidos a leader in proactively addressing the health and safety of our employees and the risk of further spread of the virus. In addition, Leidos is at the forefront of finding global solutions to deal with this disease. In concert with our various customers, Leidos is supporting efforts to model the potential spread of the virus, research the cause and effect of the transmission, and fast track a vaccine through the FDA process.</w:t>
      </w:r>
    </w:p>
    <w:p>
      <w:pPr>
        <w:spacing w:after="0" w:line="191" w:lineRule="exact"/>
        <w:rPr>
          <w:sz w:val="20"/>
          <w:szCs w:val="20"/>
          <w:color w:val="auto"/>
        </w:rPr>
      </w:pPr>
    </w:p>
    <w:p>
      <w:pPr>
        <w:ind w:left="440" w:right="140"/>
        <w:spacing w:after="0" w:line="243" w:lineRule="auto"/>
        <w:rPr>
          <w:sz w:val="20"/>
          <w:szCs w:val="20"/>
          <w:color w:val="auto"/>
        </w:rPr>
      </w:pPr>
      <w:r>
        <w:rPr>
          <w:rFonts w:ascii="Arial" w:cs="Arial" w:eastAsia="Arial" w:hAnsi="Arial"/>
          <w:sz w:val="17"/>
          <w:szCs w:val="17"/>
          <w:color w:val="auto"/>
        </w:rPr>
        <w:t>I look forward to another solid year of performance and service to our stakeholders in 2020 and demonstrating value as a purposeful and profitable organization to you,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136525</wp:posOffset>
            </wp:positionV>
            <wp:extent cx="2105660" cy="532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05660" cy="532765"/>
                    </a:xfrm>
                    <a:prstGeom prst="rect">
                      <a:avLst/>
                    </a:prstGeom>
                    <a:noFill/>
                  </pic:spPr>
                </pic:pic>
              </a:graphicData>
            </a:graphic>
          </wp:anchor>
        </w:drawing>
      </w:r>
    </w:p>
    <w:p>
      <w:pPr>
        <w:sectPr>
          <w:pgSz w:w="11900" w:h="16838" w:orient="portrait"/>
          <w:cols w:equalWidth="0" w:num="1">
            <w:col w:w="10800"/>
          </w:cols>
          <w:pgMar w:left="320" w:top="441" w:right="77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60"/>
        <w:spacing w:after="0"/>
        <w:rPr>
          <w:sz w:val="20"/>
          <w:szCs w:val="20"/>
          <w:color w:val="auto"/>
        </w:rPr>
      </w:pPr>
      <w:r>
        <w:rPr>
          <w:rFonts w:ascii="Arial" w:cs="Arial" w:eastAsia="Arial" w:hAnsi="Arial"/>
          <w:sz w:val="37"/>
          <w:szCs w:val="37"/>
          <w:color w:val="483E65"/>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137795</wp:posOffset>
            </wp:positionV>
            <wp:extent cx="64547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20"/>
                <w:szCs w:val="20"/>
                <w:b w:val="1"/>
                <w:bCs w:val="1"/>
                <w:color w:val="483E65"/>
              </w:rPr>
              <w:t>Friday, May 1, 2020</w:t>
            </w:r>
          </w:p>
        </w:tc>
        <w:tc>
          <w:tcPr>
            <w:tcW w:w="3280" w:type="dxa"/>
            <w:vAlign w:val="bottom"/>
          </w:tcPr>
          <w:p>
            <w:pPr>
              <w:ind w:left="1560"/>
              <w:spacing w:after="0"/>
              <w:rPr>
                <w:sz w:val="20"/>
                <w:szCs w:val="20"/>
                <w:color w:val="auto"/>
              </w:rPr>
            </w:pPr>
            <w:r>
              <w:rPr>
                <w:rFonts w:ascii="Arial" w:cs="Arial" w:eastAsia="Arial" w:hAnsi="Arial"/>
                <w:sz w:val="17"/>
                <w:szCs w:val="17"/>
                <w:color w:val="483E65"/>
              </w:rPr>
              <w:t>Leidos Holdings, Inc.</w:t>
            </w:r>
          </w:p>
        </w:tc>
      </w:tr>
      <w:tr>
        <w:trPr>
          <w:trHeight w:val="217"/>
        </w:trPr>
        <w:tc>
          <w:tcPr>
            <w:tcW w:w="3400" w:type="dxa"/>
            <w:vAlign w:val="bottom"/>
          </w:tcPr>
          <w:p>
            <w:pPr>
              <w:spacing w:after="0" w:line="217" w:lineRule="exact"/>
              <w:rPr>
                <w:sz w:val="20"/>
                <w:szCs w:val="20"/>
                <w:color w:val="auto"/>
              </w:rPr>
            </w:pPr>
            <w:r>
              <w:rPr>
                <w:rFonts w:ascii="Arial" w:cs="Arial" w:eastAsia="Arial" w:hAnsi="Arial"/>
                <w:sz w:val="20"/>
                <w:szCs w:val="20"/>
                <w:b w:val="1"/>
                <w:bCs w:val="1"/>
                <w:color w:val="483E65"/>
              </w:rPr>
              <w:t>9:00 a.m., ET</w:t>
            </w:r>
          </w:p>
        </w:tc>
        <w:tc>
          <w:tcPr>
            <w:tcW w:w="3280" w:type="dxa"/>
            <w:vAlign w:val="bottom"/>
          </w:tcPr>
          <w:p>
            <w:pPr>
              <w:ind w:left="1560"/>
              <w:spacing w:after="0"/>
              <w:rPr>
                <w:sz w:val="20"/>
                <w:szCs w:val="20"/>
                <w:color w:val="auto"/>
              </w:rPr>
            </w:pPr>
            <w:r>
              <w:rPr>
                <w:rFonts w:ascii="Arial" w:cs="Arial" w:eastAsia="Arial" w:hAnsi="Arial"/>
                <w:sz w:val="17"/>
                <w:szCs w:val="17"/>
                <w:color w:val="483E65"/>
                <w:w w:val="98"/>
              </w:rPr>
              <w:t>1750 Presidents Street</w:t>
            </w:r>
          </w:p>
        </w:tc>
      </w:tr>
      <w:tr>
        <w:trPr>
          <w:trHeight w:val="203"/>
        </w:trPr>
        <w:tc>
          <w:tcPr>
            <w:tcW w:w="3400" w:type="dxa"/>
            <w:vAlign w:val="bottom"/>
          </w:tcPr>
          <w:p>
            <w:pPr>
              <w:spacing w:after="0"/>
              <w:rPr>
                <w:sz w:val="17"/>
                <w:szCs w:val="17"/>
                <w:color w:val="auto"/>
              </w:rPr>
            </w:pPr>
          </w:p>
        </w:tc>
        <w:tc>
          <w:tcPr>
            <w:tcW w:w="3280" w:type="dxa"/>
            <w:vAlign w:val="bottom"/>
          </w:tcPr>
          <w:p>
            <w:pPr>
              <w:ind w:left="1560"/>
              <w:spacing w:after="0"/>
              <w:rPr>
                <w:sz w:val="20"/>
                <w:szCs w:val="20"/>
                <w:color w:val="auto"/>
              </w:rPr>
            </w:pPr>
            <w:r>
              <w:rPr>
                <w:rFonts w:ascii="Arial" w:cs="Arial" w:eastAsia="Arial" w:hAnsi="Arial"/>
                <w:sz w:val="17"/>
                <w:szCs w:val="17"/>
                <w:color w:val="483E65"/>
                <w:w w:val="98"/>
              </w:rPr>
              <w:t>Reston, Virginia 20190</w:t>
            </w:r>
          </w:p>
        </w:tc>
      </w:tr>
    </w:tbl>
    <w:p>
      <w:pPr>
        <w:spacing w:after="0" w:line="177" w:lineRule="exact"/>
        <w:rPr>
          <w:sz w:val="20"/>
          <w:szCs w:val="20"/>
          <w:color w:val="auto"/>
        </w:rPr>
      </w:pPr>
    </w:p>
    <w:p>
      <w:pPr>
        <w:ind w:left="440" w:right="120"/>
        <w:spacing w:after="0" w:line="237" w:lineRule="auto"/>
        <w:rPr>
          <w:sz w:val="20"/>
          <w:szCs w:val="20"/>
          <w:color w:val="auto"/>
        </w:rPr>
      </w:pPr>
      <w:r>
        <w:rPr>
          <w:rFonts w:ascii="Arial" w:cs="Arial" w:eastAsia="Arial" w:hAnsi="Arial"/>
          <w:sz w:val="17"/>
          <w:szCs w:val="17"/>
          <w:color w:val="auto"/>
        </w:rPr>
        <w:t>This proxy statement is being furnished to the stockholders of Leidos Holdings, Inc., a Delaware corporation, in connection with the solicitation of proxies by our Board of Directors for use at our annual meeting of stockholders to be held at the company’s office at 1750 Presidents Street, Reston, Virginia, on Friday, May 1, 2020, at 9:00 a.m. ET. and at any and all adjournments, postponements or continuations of the meeting. This proxy statement and the proxy and voting instruction card are first being sent or made available to our stockholders on or about March , 2020.</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483E65"/>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90805</wp:posOffset>
            </wp:positionV>
            <wp:extent cx="64547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740" w:hanging="300"/>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elect thirteen directors;</w:t>
      </w:r>
    </w:p>
    <w:p>
      <w:pPr>
        <w:spacing w:after="0" w:line="223" w:lineRule="exact"/>
        <w:rPr>
          <w:rFonts w:ascii="Arial" w:cs="Arial" w:eastAsia="Arial" w:hAnsi="Arial"/>
          <w:sz w:val="17"/>
          <w:szCs w:val="17"/>
          <w:color w:val="auto"/>
        </w:rPr>
      </w:pPr>
    </w:p>
    <w:p>
      <w:pPr>
        <w:ind w:left="740" w:hanging="300"/>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by a non-binding, advisory vote, the compensation of our named executive officers;</w:t>
      </w:r>
    </w:p>
    <w:p>
      <w:pPr>
        <w:spacing w:after="0" w:line="223" w:lineRule="exact"/>
        <w:rPr>
          <w:rFonts w:ascii="Arial" w:cs="Arial" w:eastAsia="Arial" w:hAnsi="Arial"/>
          <w:sz w:val="17"/>
          <w:szCs w:val="17"/>
          <w:color w:val="auto"/>
        </w:rPr>
      </w:pPr>
    </w:p>
    <w:p>
      <w:pPr>
        <w:ind w:left="740" w:right="360" w:hanging="300"/>
        <w:spacing w:after="0" w:line="243"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ratify the appointment of Deloitte &amp; Touche LLP as our independent registered public accounting firm for the fiscal year ending January 1, 2021;</w:t>
      </w:r>
    </w:p>
    <w:p>
      <w:pPr>
        <w:spacing w:after="0" w:line="214" w:lineRule="exact"/>
        <w:rPr>
          <w:rFonts w:ascii="Arial" w:cs="Arial" w:eastAsia="Arial" w:hAnsi="Arial"/>
          <w:sz w:val="17"/>
          <w:szCs w:val="17"/>
          <w:color w:val="auto"/>
        </w:rPr>
      </w:pPr>
    </w:p>
    <w:p>
      <w:pPr>
        <w:ind w:left="740" w:hanging="300"/>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an amendment to our certificate of incorporation to eliminate cumulative voting;</w:t>
      </w:r>
    </w:p>
    <w:p>
      <w:pPr>
        <w:spacing w:after="0" w:line="223" w:lineRule="exact"/>
        <w:rPr>
          <w:rFonts w:ascii="Arial" w:cs="Arial" w:eastAsia="Arial" w:hAnsi="Arial"/>
          <w:sz w:val="17"/>
          <w:szCs w:val="17"/>
          <w:color w:val="auto"/>
        </w:rPr>
      </w:pPr>
    </w:p>
    <w:p>
      <w:pPr>
        <w:ind w:left="740" w:hanging="300"/>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an amendment to our certificate of incorporation to eliminate supermajority voting provisions;</w:t>
      </w:r>
    </w:p>
    <w:p>
      <w:pPr>
        <w:spacing w:after="0" w:line="223" w:lineRule="exact"/>
        <w:rPr>
          <w:rFonts w:ascii="Arial" w:cs="Arial" w:eastAsia="Arial" w:hAnsi="Arial"/>
          <w:sz w:val="17"/>
          <w:szCs w:val="17"/>
          <w:color w:val="auto"/>
        </w:rPr>
      </w:pPr>
    </w:p>
    <w:p>
      <w:pPr>
        <w:ind w:left="740" w:hanging="300"/>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consider a stockholder proposal regarding stockholder proxy access, if properly presented; and</w:t>
      </w:r>
    </w:p>
    <w:p>
      <w:pPr>
        <w:spacing w:after="0" w:line="223" w:lineRule="exact"/>
        <w:rPr>
          <w:rFonts w:ascii="Arial" w:cs="Arial" w:eastAsia="Arial" w:hAnsi="Arial"/>
          <w:sz w:val="17"/>
          <w:szCs w:val="17"/>
          <w:color w:val="auto"/>
        </w:rPr>
      </w:pPr>
    </w:p>
    <w:p>
      <w:pPr>
        <w:ind w:left="740" w:right="160" w:hanging="300"/>
        <w:spacing w:after="0" w:line="243"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meeting or any adjournments, postponements or continuations of the meeting.</w:t>
      </w:r>
    </w:p>
    <w:p>
      <w:pPr>
        <w:spacing w:after="0" w:line="168"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7"/>
          <w:szCs w:val="17"/>
          <w:b w:val="1"/>
          <w:bCs w:val="1"/>
          <w:color w:val="483E65"/>
        </w:rPr>
        <w:t>Record Date: March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90805</wp:posOffset>
            </wp:positionV>
            <wp:extent cx="64547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369" w:lineRule="exact"/>
        <w:rPr>
          <w:sz w:val="20"/>
          <w:szCs w:val="20"/>
          <w:color w:val="auto"/>
        </w:rPr>
      </w:pPr>
    </w:p>
    <w:p>
      <w:pPr>
        <w:ind w:left="2100" w:hanging="1387"/>
        <w:spacing w:after="0" w:line="268" w:lineRule="auto"/>
        <w:rPr>
          <w:sz w:val="20"/>
          <w:szCs w:val="20"/>
          <w:color w:val="auto"/>
        </w:rPr>
      </w:pPr>
      <w:r>
        <w:rPr>
          <w:rFonts w:ascii="Arial" w:cs="Arial" w:eastAsia="Arial" w:hAnsi="Arial"/>
          <w:sz w:val="17"/>
          <w:szCs w:val="17"/>
          <w:b w:val="1"/>
          <w:bCs w:val="1"/>
          <w:color w:val="483E65"/>
        </w:rPr>
        <w:t xml:space="preserve">Audio Webcast: </w:t>
      </w:r>
      <w:r>
        <w:rPr>
          <w:rFonts w:ascii="Arial" w:cs="Arial" w:eastAsia="Arial" w:hAnsi="Arial"/>
          <w:sz w:val="17"/>
          <w:szCs w:val="17"/>
          <w:color w:val="000000"/>
        </w:rPr>
        <w:t>The meeting will also be audio webcast simultaneously to the public through a link on the Investor Relations section</w:t>
      </w:r>
      <w:r>
        <w:rPr>
          <w:rFonts w:ascii="Arial" w:cs="Arial" w:eastAsia="Arial" w:hAnsi="Arial"/>
          <w:sz w:val="17"/>
          <w:szCs w:val="17"/>
          <w:b w:val="1"/>
          <w:bCs w:val="1"/>
          <w:color w:val="483E65"/>
        </w:rPr>
        <w:t xml:space="preserve"> </w:t>
      </w:r>
      <w:r>
        <w:rPr>
          <w:rFonts w:ascii="Arial" w:cs="Arial" w:eastAsia="Arial" w:hAnsi="Arial"/>
          <w:sz w:val="17"/>
          <w:szCs w:val="17"/>
          <w:color w:val="000000"/>
        </w:rPr>
        <w:t>of our website at www.leidos.com.</w:t>
      </w:r>
    </w:p>
    <w:p>
      <w:pPr>
        <w:spacing w:after="0" w:line="148" w:lineRule="exact"/>
        <w:rPr>
          <w:sz w:val="20"/>
          <w:szCs w:val="20"/>
          <w:color w:val="auto"/>
        </w:rPr>
      </w:pPr>
    </w:p>
    <w:p>
      <w:pPr>
        <w:ind w:left="2100" w:right="1500" w:hanging="1387"/>
        <w:spacing w:after="0" w:line="243" w:lineRule="auto"/>
        <w:tabs>
          <w:tab w:leader="none" w:pos="2080" w:val="left"/>
        </w:tabs>
        <w:rPr>
          <w:sz w:val="20"/>
          <w:szCs w:val="20"/>
          <w:color w:val="auto"/>
        </w:rPr>
      </w:pPr>
      <w:r>
        <w:rPr>
          <w:rFonts w:ascii="Arial" w:cs="Arial" w:eastAsia="Arial" w:hAnsi="Arial"/>
          <w:sz w:val="17"/>
          <w:szCs w:val="17"/>
          <w:b w:val="1"/>
          <w:bCs w:val="1"/>
          <w:color w:val="483E65"/>
        </w:rPr>
        <w:t>Annual Report:</w:t>
      </w:r>
      <w:r>
        <w:rPr>
          <w:sz w:val="20"/>
          <w:szCs w:val="20"/>
          <w:color w:val="auto"/>
        </w:rPr>
        <w:tab/>
      </w:r>
      <w:r>
        <w:rPr>
          <w:rFonts w:ascii="Arial" w:cs="Arial" w:eastAsia="Arial" w:hAnsi="Arial"/>
          <w:sz w:val="17"/>
          <w:szCs w:val="17"/>
          <w:color w:val="auto"/>
        </w:rPr>
        <w:t>The Leidos 2019 Annual Report on Form 10-K and the Leidos Proxy Statement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84455</wp:posOffset>
            </wp:positionV>
            <wp:extent cx="64547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308"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YOUR VOTE IS IMPORTANT!</w:t>
      </w:r>
    </w:p>
    <w:p>
      <w:pPr>
        <w:spacing w:after="0" w:line="198"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REVIEW YOUR PROXY STATEMENT AND VOTE IN ONE OF FOUR WAYS:</w:t>
      </w:r>
    </w:p>
    <w:p>
      <w:pPr>
        <w:spacing w:after="0" w:line="224" w:lineRule="exact"/>
        <w:rPr>
          <w:sz w:val="20"/>
          <w:szCs w:val="20"/>
          <w:color w:val="auto"/>
        </w:rPr>
      </w:pPr>
    </w:p>
    <w:p>
      <w:pPr>
        <w:ind w:left="1380"/>
        <w:spacing w:after="0"/>
        <w:tabs>
          <w:tab w:leader="none" w:pos="6540" w:val="left"/>
        </w:tabs>
        <w:rPr>
          <w:sz w:val="20"/>
          <w:szCs w:val="20"/>
          <w:color w:val="auto"/>
        </w:rPr>
      </w:pPr>
      <w:r>
        <w:rPr>
          <w:rFonts w:ascii="Arial" w:cs="Arial" w:eastAsia="Arial" w:hAnsi="Arial"/>
          <w:sz w:val="17"/>
          <w:szCs w:val="17"/>
          <w:b w:val="1"/>
          <w:bCs w:val="1"/>
          <w:color w:val="483E65"/>
        </w:rPr>
        <w:t>VIA THE INTERNET</w:t>
      </w:r>
      <w:r>
        <w:rPr>
          <w:sz w:val="20"/>
          <w:szCs w:val="20"/>
          <w:color w:val="auto"/>
        </w:rPr>
        <w:tab/>
      </w:r>
      <w:r>
        <w:rPr>
          <w:rFonts w:ascii="Arial" w:cs="Arial" w:eastAsia="Arial" w:hAnsi="Arial"/>
          <w:sz w:val="17"/>
          <w:szCs w:val="17"/>
          <w:b w:val="1"/>
          <w:bCs w:val="1"/>
          <w:color w:val="483E65"/>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-110490</wp:posOffset>
            </wp:positionV>
            <wp:extent cx="290195" cy="2095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0195" cy="209550"/>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-110490</wp:posOffset>
            </wp:positionV>
            <wp:extent cx="282575" cy="193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2575" cy="193675"/>
                    </a:xfrm>
                    <a:prstGeom prst="rect">
                      <a:avLst/>
                    </a:prstGeom>
                    <a:noFill/>
                  </pic:spPr>
                </pic:pic>
              </a:graphicData>
            </a:graphic>
          </wp:anchor>
        </w:drawing>
      </w:r>
    </w:p>
    <w:p>
      <w:pPr>
        <w:ind w:left="1380"/>
        <w:spacing w:after="0"/>
        <w:tabs>
          <w:tab w:leader="none" w:pos="6540" w:val="left"/>
        </w:tabs>
        <w:rPr>
          <w:sz w:val="20"/>
          <w:szCs w:val="20"/>
          <w:color w:val="auto"/>
        </w:rPr>
      </w:pPr>
      <w:r>
        <w:rPr>
          <w:rFonts w:ascii="Arial" w:cs="Arial" w:eastAsia="Arial" w:hAnsi="Arial"/>
          <w:sz w:val="17"/>
          <w:szCs w:val="17"/>
          <w:color w:val="auto"/>
        </w:rPr>
        <w:t>Go to www.proxyvote.com or scan the QR code on</w:t>
      </w:r>
      <w:r>
        <w:rPr>
          <w:sz w:val="20"/>
          <w:szCs w:val="20"/>
          <w:color w:val="auto"/>
        </w:rPr>
        <w:tab/>
      </w:r>
      <w:r>
        <w:rPr>
          <w:rFonts w:ascii="Arial" w:cs="Arial" w:eastAsia="Arial" w:hAnsi="Arial"/>
          <w:sz w:val="16"/>
          <w:szCs w:val="16"/>
          <w:color w:val="auto"/>
        </w:rPr>
        <w:t>Sign, date and return your proxy card in the enclosed</w:t>
      </w:r>
    </w:p>
    <w:p>
      <w:pPr>
        <w:ind w:left="1380"/>
        <w:spacing w:after="0" w:line="234" w:lineRule="auto"/>
        <w:tabs>
          <w:tab w:leader="none" w:pos="6540" w:val="left"/>
        </w:tabs>
        <w:rPr>
          <w:sz w:val="20"/>
          <w:szCs w:val="20"/>
          <w:color w:val="auto"/>
        </w:rPr>
      </w:pPr>
      <w:r>
        <w:rPr>
          <w:rFonts w:ascii="Arial" w:cs="Arial" w:eastAsia="Arial" w:hAnsi="Arial"/>
          <w:sz w:val="17"/>
          <w:szCs w:val="17"/>
          <w:color w:val="auto"/>
        </w:rPr>
        <w:t>your proxy and voting instruction card with a smart</w:t>
      </w:r>
      <w:r>
        <w:rPr>
          <w:sz w:val="20"/>
          <w:szCs w:val="20"/>
          <w:color w:val="auto"/>
        </w:rPr>
        <w:tab/>
      </w:r>
      <w:r>
        <w:rPr>
          <w:rFonts w:ascii="Arial" w:cs="Arial" w:eastAsia="Arial" w:hAnsi="Arial"/>
          <w:sz w:val="17"/>
          <w:szCs w:val="17"/>
          <w:color w:val="auto"/>
        </w:rPr>
        <w:t>envelope.</w:t>
      </w:r>
    </w:p>
    <w:p>
      <w:pPr>
        <w:ind w:left="1380"/>
        <w:spacing w:after="0"/>
        <w:rPr>
          <w:sz w:val="20"/>
          <w:szCs w:val="20"/>
          <w:color w:val="auto"/>
        </w:rPr>
      </w:pPr>
      <w:r>
        <w:rPr>
          <w:rFonts w:ascii="Arial" w:cs="Arial" w:eastAsia="Arial" w:hAnsi="Arial"/>
          <w:sz w:val="17"/>
          <w:szCs w:val="17"/>
          <w:color w:val="auto"/>
        </w:rPr>
        <w:t>phone.</w:t>
      </w:r>
    </w:p>
    <w:p>
      <w:pPr>
        <w:spacing w:after="0" w:line="331" w:lineRule="exact"/>
        <w:rPr>
          <w:sz w:val="20"/>
          <w:szCs w:val="20"/>
          <w:color w:val="auto"/>
        </w:rPr>
      </w:pPr>
    </w:p>
    <w:p>
      <w:pPr>
        <w:ind w:left="1380"/>
        <w:spacing w:after="0"/>
        <w:tabs>
          <w:tab w:leader="none" w:pos="6540" w:val="left"/>
        </w:tabs>
        <w:rPr>
          <w:sz w:val="20"/>
          <w:szCs w:val="20"/>
          <w:color w:val="auto"/>
        </w:rPr>
      </w:pPr>
      <w:r>
        <w:rPr>
          <w:rFonts w:ascii="Arial" w:cs="Arial" w:eastAsia="Arial" w:hAnsi="Arial"/>
          <w:sz w:val="17"/>
          <w:szCs w:val="17"/>
          <w:b w:val="1"/>
          <w:bCs w:val="1"/>
          <w:color w:val="483E65"/>
        </w:rPr>
        <w:t>BY TELEPHONE</w:t>
      </w:r>
      <w:r>
        <w:rPr>
          <w:sz w:val="20"/>
          <w:szCs w:val="20"/>
          <w:color w:val="auto"/>
        </w:rPr>
        <w:tab/>
      </w:r>
      <w:r>
        <w:rPr>
          <w:rFonts w:ascii="Arial" w:cs="Arial" w:eastAsia="Arial" w:hAnsi="Arial"/>
          <w:sz w:val="17"/>
          <w:szCs w:val="17"/>
          <w:b w:val="1"/>
          <w:bCs w:val="1"/>
          <w:color w:val="483E65"/>
        </w:rPr>
        <w:t>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-78105</wp:posOffset>
            </wp:positionV>
            <wp:extent cx="185420" cy="233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5420" cy="233680"/>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-110490</wp:posOffset>
            </wp:positionV>
            <wp:extent cx="185420" cy="266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5420" cy="266065"/>
                    </a:xfrm>
                    <a:prstGeom prst="rect">
                      <a:avLst/>
                    </a:prstGeom>
                    <a:noFill/>
                  </pic:spPr>
                </pic:pic>
              </a:graphicData>
            </a:graphic>
          </wp:anchor>
        </w:drawing>
      </w:r>
    </w:p>
    <w:p>
      <w:pPr>
        <w:ind w:left="1380"/>
        <w:spacing w:after="0"/>
        <w:tabs>
          <w:tab w:leader="none" w:pos="6540" w:val="left"/>
        </w:tabs>
        <w:rPr>
          <w:sz w:val="20"/>
          <w:szCs w:val="20"/>
          <w:color w:val="auto"/>
        </w:rPr>
      </w:pPr>
      <w:r>
        <w:rPr>
          <w:rFonts w:ascii="Arial" w:cs="Arial" w:eastAsia="Arial" w:hAnsi="Arial"/>
          <w:sz w:val="17"/>
          <w:szCs w:val="17"/>
          <w:color w:val="auto"/>
        </w:rPr>
        <w:t>Call 1-800-690-6903.</w:t>
      </w:r>
      <w:r>
        <w:rPr>
          <w:sz w:val="20"/>
          <w:szCs w:val="20"/>
          <w:color w:val="auto"/>
        </w:rPr>
        <w:tab/>
      </w:r>
      <w:r>
        <w:rPr>
          <w:rFonts w:ascii="Arial" w:cs="Arial" w:eastAsia="Arial" w:hAnsi="Arial"/>
          <w:sz w:val="16"/>
          <w:szCs w:val="16"/>
          <w:color w:val="auto"/>
        </w:rPr>
        <w:t>Attend the Annual Meeting in Reston, VA.</w:t>
      </w:r>
    </w:p>
    <w:p>
      <w:pPr>
        <w:spacing w:after="0" w:line="262"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By Order of the Board of Directors</w:t>
      </w:r>
    </w:p>
    <w:p>
      <w:pPr>
        <w:sectPr>
          <w:pgSz w:w="11900" w:h="16838" w:orient="portrait"/>
          <w:cols w:equalWidth="0" w:num="1">
            <w:col w:w="10740"/>
          </w:cols>
          <w:pgMar w:left="320" w:top="441" w:right="839" w:bottom="1440" w:gutter="0" w:footer="0" w:header="0"/>
        </w:sectPr>
      </w:pPr>
    </w:p>
    <w:p>
      <w:pPr>
        <w:spacing w:after="0" w:line="389" w:lineRule="exact"/>
        <w:rPr>
          <w:sz w:val="20"/>
          <w:szCs w:val="20"/>
          <w:color w:val="auto"/>
        </w:rPr>
      </w:pPr>
    </w:p>
    <w:p>
      <w:pPr>
        <w:ind w:left="5820"/>
        <w:spacing w:after="0"/>
        <w:tabs>
          <w:tab w:leader="none" w:pos="6500" w:val="left"/>
        </w:tabs>
        <w:rPr>
          <w:sz w:val="20"/>
          <w:szCs w:val="20"/>
          <w:color w:val="auto"/>
        </w:rPr>
      </w:pPr>
      <w:r>
        <w:rPr>
          <w:rFonts w:ascii="Arial" w:cs="Arial" w:eastAsia="Arial" w:hAnsi="Arial"/>
          <w:sz w:val="17"/>
          <w:szCs w:val="17"/>
          <w:color w:val="auto"/>
        </w:rPr>
        <w:t>March</w:t>
        <w:tab/>
        <w:t>, 2020</w:t>
      </w:r>
    </w:p>
    <w:p>
      <w:pPr>
        <w:sectPr>
          <w:pgSz w:w="11900" w:h="16838" w:orient="portrait"/>
          <w:cols w:equalWidth="0" w:num="1">
            <w:col w:w="10740"/>
          </w:cols>
          <w:pgMar w:left="320" w:top="441" w:right="839" w:bottom="1440" w:gutter="0" w:footer="0" w:header="0"/>
          <w:type w:val="continuous"/>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483E65"/>
        </w:rPr>
        <w:t>LEIDOS HOLDINGS, INC.</w:t>
      </w:r>
    </w:p>
    <w:p>
      <w:pPr>
        <w:spacing w:after="0" w:line="107" w:lineRule="exact"/>
        <w:rPr>
          <w:sz w:val="20"/>
          <w:szCs w:val="20"/>
          <w:color w:val="auto"/>
        </w:rPr>
      </w:pPr>
    </w:p>
    <w:p>
      <w:pPr>
        <w:ind w:left="4880"/>
        <w:spacing w:after="0"/>
        <w:rPr>
          <w:sz w:val="20"/>
          <w:szCs w:val="20"/>
          <w:color w:val="auto"/>
        </w:rPr>
      </w:pPr>
      <w:r>
        <w:rPr>
          <w:rFonts w:ascii="Arial" w:cs="Arial" w:eastAsia="Arial" w:hAnsi="Arial"/>
          <w:sz w:val="19"/>
          <w:szCs w:val="19"/>
          <w:b w:val="1"/>
          <w:bCs w:val="1"/>
          <w:color w:val="483E65"/>
        </w:rPr>
        <w:t>Proxy Statement</w:t>
      </w:r>
    </w:p>
    <w:p>
      <w:pPr>
        <w:spacing w:after="0" w:line="7" w:lineRule="exact"/>
        <w:rPr>
          <w:sz w:val="20"/>
          <w:szCs w:val="20"/>
          <w:color w:val="auto"/>
        </w:rPr>
      </w:pPr>
    </w:p>
    <w:p>
      <w:pPr>
        <w:ind w:left="4840"/>
        <w:spacing w:after="0"/>
        <w:rPr>
          <w:sz w:val="20"/>
          <w:szCs w:val="20"/>
          <w:color w:val="auto"/>
        </w:rPr>
      </w:pPr>
      <w:r>
        <w:rPr>
          <w:rFonts w:ascii="Arial" w:cs="Arial" w:eastAsia="Arial" w:hAnsi="Arial"/>
          <w:sz w:val="19"/>
          <w:szCs w:val="19"/>
          <w:b w:val="1"/>
          <w:bCs w:val="1"/>
          <w:color w:val="483E65"/>
        </w:rPr>
        <w:t>Table of Contents</w:t>
      </w:r>
    </w:p>
    <w:p>
      <w:pPr>
        <w:spacing w:after="0" w:line="187"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7420" w:type="dxa"/>
            <w:vAlign w:val="bottom"/>
            <w:gridSpan w:val="6"/>
          </w:tcPr>
          <w:p>
            <w:pPr>
              <w:spacing w:after="0"/>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Proposal 1 — Election of Directors</w:t>
              </w:r>
            </w:hyperlink>
          </w:p>
        </w:tc>
        <w:tc>
          <w:tcPr>
            <w:tcW w:w="2900" w:type="dxa"/>
            <w:vAlign w:val="bottom"/>
          </w:tcPr>
          <w:p>
            <w:pPr>
              <w:jc w:val="right"/>
              <w:spacing w:after="0"/>
              <w:rPr>
                <w:sz w:val="20"/>
                <w:szCs w:val="20"/>
                <w:color w:val="auto"/>
              </w:rPr>
            </w:pPr>
            <w:r>
              <w:rPr>
                <w:rFonts w:ascii="Arial" w:cs="Arial" w:eastAsia="Arial" w:hAnsi="Arial"/>
                <w:sz w:val="17"/>
                <w:szCs w:val="17"/>
                <w:b w:val="1"/>
                <w:bCs w:val="1"/>
                <w:color w:val="auto"/>
              </w:rPr>
              <w:t>1</w:t>
            </w:r>
          </w:p>
        </w:tc>
      </w:tr>
      <w:tr>
        <w:trPr>
          <w:trHeight w:val="20"/>
        </w:trPr>
        <w:tc>
          <w:tcPr>
            <w:tcW w:w="22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71"/>
        </w:trPr>
        <w:tc>
          <w:tcPr>
            <w:tcW w:w="220" w:type="dxa"/>
            <w:vAlign w:val="bottom"/>
          </w:tcPr>
          <w:p>
            <w:pPr>
              <w:spacing w:after="0"/>
              <w:rPr>
                <w:sz w:val="14"/>
                <w:szCs w:val="14"/>
                <w:color w:val="auto"/>
              </w:rPr>
            </w:pPr>
          </w:p>
        </w:tc>
        <w:tc>
          <w:tcPr>
            <w:tcW w:w="4400" w:type="dxa"/>
            <w:vAlign w:val="bottom"/>
            <w:tcBorders>
              <w:bottom w:val="single" w:sz="8" w:color="0000EE"/>
            </w:tcBorders>
            <w:gridSpan w:val="4"/>
          </w:tcPr>
          <w:p>
            <w:pPr>
              <w:spacing w:after="0" w:line="171" w:lineRule="exact"/>
              <w:rPr>
                <w:rFonts w:ascii="Arial" w:cs="Arial" w:eastAsia="Arial" w:hAnsi="Arial"/>
                <w:sz w:val="17"/>
                <w:szCs w:val="17"/>
                <w:color w:val="0000EE"/>
                <w:w w:val="99"/>
              </w:rPr>
            </w:pPr>
            <w:hyperlink w:anchor="page7">
              <w:r>
                <w:rPr>
                  <w:rFonts w:ascii="Arial" w:cs="Arial" w:eastAsia="Arial" w:hAnsi="Arial"/>
                  <w:sz w:val="17"/>
                  <w:szCs w:val="17"/>
                  <w:color w:val="0000EE"/>
                  <w:w w:val="99"/>
                </w:rPr>
                <w:t>Majority Voting Standard in Uncontested Director Elections</w:t>
              </w:r>
            </w:hyperlink>
          </w:p>
        </w:tc>
        <w:tc>
          <w:tcPr>
            <w:tcW w:w="2800" w:type="dxa"/>
            <w:vAlign w:val="bottom"/>
          </w:tcPr>
          <w:p>
            <w:pPr>
              <w:spacing w:after="0"/>
              <w:rPr>
                <w:sz w:val="14"/>
                <w:szCs w:val="14"/>
                <w:color w:val="auto"/>
              </w:rPr>
            </w:pPr>
          </w:p>
        </w:tc>
        <w:tc>
          <w:tcPr>
            <w:tcW w:w="2900" w:type="dxa"/>
            <w:vAlign w:val="bottom"/>
          </w:tcPr>
          <w:p>
            <w:pPr>
              <w:jc w:val="right"/>
              <w:spacing w:after="0" w:line="171" w:lineRule="exact"/>
              <w:rPr>
                <w:sz w:val="20"/>
                <w:szCs w:val="20"/>
                <w:color w:val="auto"/>
              </w:rPr>
            </w:pPr>
            <w:r>
              <w:rPr>
                <w:rFonts w:ascii="Arial" w:cs="Arial" w:eastAsia="Arial" w:hAnsi="Arial"/>
                <w:sz w:val="17"/>
                <w:szCs w:val="17"/>
                <w:color w:val="auto"/>
              </w:rPr>
              <w:t>1</w:t>
            </w:r>
          </w:p>
        </w:tc>
      </w:tr>
      <w:tr>
        <w:trPr>
          <w:trHeight w:val="171"/>
        </w:trPr>
        <w:tc>
          <w:tcPr>
            <w:tcW w:w="220" w:type="dxa"/>
            <w:vAlign w:val="bottom"/>
          </w:tcPr>
          <w:p>
            <w:pPr>
              <w:spacing w:after="0"/>
              <w:rPr>
                <w:sz w:val="14"/>
                <w:szCs w:val="14"/>
                <w:color w:val="auto"/>
              </w:rPr>
            </w:pPr>
          </w:p>
        </w:tc>
        <w:tc>
          <w:tcPr>
            <w:tcW w:w="7200" w:type="dxa"/>
            <w:vAlign w:val="bottom"/>
            <w:gridSpan w:val="5"/>
          </w:tcPr>
          <w:p>
            <w:pPr>
              <w:spacing w:after="0" w:line="171" w:lineRule="exact"/>
              <w:rPr>
                <w:rFonts w:ascii="Arial" w:cs="Arial" w:eastAsia="Arial" w:hAnsi="Arial"/>
                <w:sz w:val="17"/>
                <w:szCs w:val="17"/>
                <w:color w:val="0000EE"/>
              </w:rPr>
            </w:pPr>
            <w:hyperlink w:anchor="page7">
              <w:r>
                <w:rPr>
                  <w:rFonts w:ascii="Arial" w:cs="Arial" w:eastAsia="Arial" w:hAnsi="Arial"/>
                  <w:sz w:val="17"/>
                  <w:szCs w:val="17"/>
                  <w:color w:val="0000EE"/>
                </w:rPr>
                <w:t>Recommendation of the Board of Directors</w:t>
              </w:r>
            </w:hyperlink>
          </w:p>
        </w:tc>
        <w:tc>
          <w:tcPr>
            <w:tcW w:w="2900" w:type="dxa"/>
            <w:vAlign w:val="bottom"/>
          </w:tcPr>
          <w:p>
            <w:pPr>
              <w:jc w:val="right"/>
              <w:spacing w:after="0" w:line="171" w:lineRule="exact"/>
              <w:rPr>
                <w:sz w:val="20"/>
                <w:szCs w:val="20"/>
                <w:color w:val="auto"/>
              </w:rPr>
            </w:pPr>
            <w:r>
              <w:rPr>
                <w:rFonts w:ascii="Arial" w:cs="Arial" w:eastAsia="Arial" w:hAnsi="Arial"/>
                <w:sz w:val="17"/>
                <w:szCs w:val="17"/>
                <w:color w:val="auto"/>
              </w:rPr>
              <w:t>1</w:t>
            </w:r>
          </w:p>
        </w:tc>
      </w:tr>
      <w:tr>
        <w:trPr>
          <w:trHeight w:val="20"/>
        </w:trPr>
        <w:tc>
          <w:tcPr>
            <w:tcW w:w="220" w:type="dxa"/>
            <w:vAlign w:val="bottom"/>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71"/>
        </w:trPr>
        <w:tc>
          <w:tcPr>
            <w:tcW w:w="220" w:type="dxa"/>
            <w:vAlign w:val="bottom"/>
          </w:tcPr>
          <w:p>
            <w:pPr>
              <w:spacing w:after="0"/>
              <w:rPr>
                <w:sz w:val="14"/>
                <w:szCs w:val="14"/>
                <w:color w:val="auto"/>
              </w:rPr>
            </w:pPr>
          </w:p>
        </w:tc>
        <w:tc>
          <w:tcPr>
            <w:tcW w:w="3540" w:type="dxa"/>
            <w:vAlign w:val="bottom"/>
            <w:tcBorders>
              <w:bottom w:val="single" w:sz="8" w:color="0000EE"/>
            </w:tcBorders>
            <w:gridSpan w:val="3"/>
          </w:tcPr>
          <w:p>
            <w:pPr>
              <w:spacing w:after="0" w:line="171" w:lineRule="exact"/>
              <w:rPr>
                <w:rFonts w:ascii="Arial" w:cs="Arial" w:eastAsia="Arial" w:hAnsi="Arial"/>
                <w:sz w:val="17"/>
                <w:szCs w:val="17"/>
                <w:color w:val="0000EE"/>
                <w:w w:val="99"/>
              </w:rPr>
            </w:pPr>
            <w:hyperlink w:anchor="page7">
              <w:r>
                <w:rPr>
                  <w:rFonts w:ascii="Arial" w:cs="Arial" w:eastAsia="Arial" w:hAnsi="Arial"/>
                  <w:sz w:val="17"/>
                  <w:szCs w:val="17"/>
                  <w:color w:val="0000EE"/>
                  <w:w w:val="99"/>
                </w:rPr>
                <w:t>Nominees for Election to the Board of Directors</w:t>
              </w:r>
            </w:hyperlink>
          </w:p>
        </w:tc>
        <w:tc>
          <w:tcPr>
            <w:tcW w:w="3660" w:type="dxa"/>
            <w:vAlign w:val="bottom"/>
            <w:gridSpan w:val="2"/>
          </w:tcPr>
          <w:p>
            <w:pPr>
              <w:spacing w:after="0"/>
              <w:rPr>
                <w:sz w:val="14"/>
                <w:szCs w:val="14"/>
                <w:color w:val="auto"/>
              </w:rPr>
            </w:pPr>
          </w:p>
        </w:tc>
        <w:tc>
          <w:tcPr>
            <w:tcW w:w="2900" w:type="dxa"/>
            <w:vAlign w:val="bottom"/>
          </w:tcPr>
          <w:p>
            <w:pPr>
              <w:jc w:val="right"/>
              <w:spacing w:after="0" w:line="171" w:lineRule="exact"/>
              <w:rPr>
                <w:sz w:val="20"/>
                <w:szCs w:val="20"/>
                <w:color w:val="auto"/>
              </w:rPr>
            </w:pPr>
            <w:r>
              <w:rPr>
                <w:rFonts w:ascii="Arial" w:cs="Arial" w:eastAsia="Arial" w:hAnsi="Arial"/>
                <w:sz w:val="17"/>
                <w:szCs w:val="17"/>
                <w:color w:val="auto"/>
              </w:rPr>
              <w:t>1</w:t>
            </w:r>
          </w:p>
        </w:tc>
      </w:tr>
    </w:tbl>
    <w:p>
      <w:pPr>
        <w:spacing w:after="0" w:line="46"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1840" w:type="dxa"/>
            <w:vAlign w:val="bottom"/>
            <w:tcBorders>
              <w:bottom w:val="single" w:sz="8" w:color="0000EE"/>
            </w:tcBorders>
            <w:gridSpan w:val="7"/>
          </w:tcPr>
          <w:p>
            <w:pPr>
              <w:spacing w:after="0"/>
              <w:rPr>
                <w:rFonts w:ascii="Arial" w:cs="Arial" w:eastAsia="Arial" w:hAnsi="Arial"/>
                <w:sz w:val="17"/>
                <w:szCs w:val="17"/>
                <w:b w:val="1"/>
                <w:bCs w:val="1"/>
                <w:color w:val="0000EE"/>
                <w:w w:val="98"/>
              </w:rPr>
            </w:pPr>
            <w:hyperlink w:anchor="page15">
              <w:r>
                <w:rPr>
                  <w:rFonts w:ascii="Arial" w:cs="Arial" w:eastAsia="Arial" w:hAnsi="Arial"/>
                  <w:sz w:val="17"/>
                  <w:szCs w:val="17"/>
                  <w:b w:val="1"/>
                  <w:bCs w:val="1"/>
                  <w:color w:val="0000EE"/>
                  <w:w w:val="98"/>
                </w:rPr>
                <w:t>Corporate Governance</w:t>
              </w:r>
            </w:hyperlink>
          </w:p>
        </w:tc>
        <w:tc>
          <w:tcPr>
            <w:tcW w:w="6360" w:type="dxa"/>
            <w:vAlign w:val="bottom"/>
            <w:gridSpan w:val="30"/>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7"/>
                <w:szCs w:val="17"/>
                <w:b w:val="1"/>
                <w:bCs w:val="1"/>
                <w:color w:val="auto"/>
              </w:rPr>
              <w:t>9</w:t>
            </w:r>
          </w:p>
        </w:tc>
      </w:tr>
      <w:tr>
        <w:trPr>
          <w:trHeight w:val="171"/>
        </w:trPr>
        <w:tc>
          <w:tcPr>
            <w:tcW w:w="160" w:type="dxa"/>
            <w:vAlign w:val="bottom"/>
          </w:tcPr>
          <w:p>
            <w:pPr>
              <w:spacing w:after="0"/>
              <w:rPr>
                <w:sz w:val="14"/>
                <w:szCs w:val="14"/>
                <w:color w:val="auto"/>
              </w:rPr>
            </w:pPr>
          </w:p>
        </w:tc>
        <w:tc>
          <w:tcPr>
            <w:tcW w:w="2580" w:type="dxa"/>
            <w:vAlign w:val="bottom"/>
            <w:tcBorders>
              <w:bottom w:val="single" w:sz="8" w:color="0000EE"/>
            </w:tcBorders>
            <w:gridSpan w:val="17"/>
          </w:tcPr>
          <w:p>
            <w:pPr>
              <w:spacing w:after="0" w:line="171" w:lineRule="exact"/>
              <w:rPr>
                <w:rFonts w:ascii="Arial" w:cs="Arial" w:eastAsia="Arial" w:hAnsi="Arial"/>
                <w:sz w:val="17"/>
                <w:szCs w:val="17"/>
                <w:color w:val="0000EE"/>
                <w:w w:val="99"/>
              </w:rPr>
            </w:pPr>
            <w:hyperlink w:anchor="page15">
              <w:r>
                <w:rPr>
                  <w:rFonts w:ascii="Arial" w:cs="Arial" w:eastAsia="Arial" w:hAnsi="Arial"/>
                  <w:sz w:val="17"/>
                  <w:szCs w:val="17"/>
                  <w:color w:val="0000EE"/>
                  <w:w w:val="99"/>
                </w:rPr>
                <w:t>Corporate Governance Guidelines</w:t>
              </w:r>
            </w:hyperlink>
          </w:p>
        </w:tc>
        <w:tc>
          <w:tcPr>
            <w:tcW w:w="5460" w:type="dxa"/>
            <w:vAlign w:val="bottom"/>
            <w:gridSpan w:val="19"/>
          </w:tcPr>
          <w:p>
            <w:pPr>
              <w:spacing w:after="0"/>
              <w:rPr>
                <w:sz w:val="14"/>
                <w:szCs w:val="14"/>
                <w:color w:val="auto"/>
              </w:rPr>
            </w:pPr>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9</w:t>
            </w:r>
          </w:p>
        </w:tc>
      </w:tr>
      <w:tr>
        <w:trPr>
          <w:trHeight w:val="171"/>
        </w:trPr>
        <w:tc>
          <w:tcPr>
            <w:tcW w:w="160" w:type="dxa"/>
            <w:vAlign w:val="bottom"/>
          </w:tcPr>
          <w:p>
            <w:pPr>
              <w:spacing w:after="0"/>
              <w:rPr>
                <w:sz w:val="14"/>
                <w:szCs w:val="14"/>
                <w:color w:val="auto"/>
              </w:rPr>
            </w:pPr>
          </w:p>
        </w:tc>
        <w:tc>
          <w:tcPr>
            <w:tcW w:w="8040" w:type="dxa"/>
            <w:vAlign w:val="bottom"/>
            <w:gridSpan w:val="36"/>
          </w:tcPr>
          <w:p>
            <w:pPr>
              <w:spacing w:after="0" w:line="171" w:lineRule="exact"/>
              <w:rPr>
                <w:rFonts w:ascii="Arial" w:cs="Arial" w:eastAsia="Arial" w:hAnsi="Arial"/>
                <w:sz w:val="17"/>
                <w:szCs w:val="17"/>
                <w:color w:val="0000EE"/>
              </w:rPr>
            </w:pPr>
            <w:hyperlink w:anchor="page15">
              <w:r>
                <w:rPr>
                  <w:rFonts w:ascii="Arial" w:cs="Arial" w:eastAsia="Arial" w:hAnsi="Arial"/>
                  <w:sz w:val="17"/>
                  <w:szCs w:val="17"/>
                  <w:color w:val="0000EE"/>
                </w:rPr>
                <w:t>Codes of Conduct</w:t>
              </w:r>
            </w:hyperlink>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9</w:t>
            </w:r>
          </w:p>
        </w:tc>
      </w:tr>
      <w:tr>
        <w:trPr>
          <w:trHeight w:val="20"/>
        </w:trPr>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71"/>
        </w:trPr>
        <w:tc>
          <w:tcPr>
            <w:tcW w:w="160" w:type="dxa"/>
            <w:vAlign w:val="bottom"/>
          </w:tcPr>
          <w:p>
            <w:pPr>
              <w:spacing w:after="0"/>
              <w:rPr>
                <w:sz w:val="14"/>
                <w:szCs w:val="14"/>
                <w:color w:val="auto"/>
              </w:rPr>
            </w:pPr>
          </w:p>
        </w:tc>
        <w:tc>
          <w:tcPr>
            <w:tcW w:w="8040" w:type="dxa"/>
            <w:vAlign w:val="bottom"/>
            <w:gridSpan w:val="36"/>
          </w:tcPr>
          <w:p>
            <w:pPr>
              <w:spacing w:after="0" w:line="171" w:lineRule="exact"/>
              <w:rPr>
                <w:rFonts w:ascii="Arial" w:cs="Arial" w:eastAsia="Arial" w:hAnsi="Arial"/>
                <w:sz w:val="17"/>
                <w:szCs w:val="17"/>
                <w:color w:val="0000EE"/>
              </w:rPr>
            </w:pPr>
            <w:hyperlink w:anchor="page15">
              <w:r>
                <w:rPr>
                  <w:rFonts w:ascii="Arial" w:cs="Arial" w:eastAsia="Arial" w:hAnsi="Arial"/>
                  <w:sz w:val="17"/>
                  <w:szCs w:val="17"/>
                  <w:color w:val="0000EE"/>
                </w:rPr>
                <w:t>Director Independence</w:t>
              </w:r>
            </w:hyperlink>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9</w:t>
            </w:r>
          </w:p>
        </w:tc>
      </w:tr>
      <w:tr>
        <w:trPr>
          <w:trHeight w:val="20"/>
        </w:trPr>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71"/>
        </w:trPr>
        <w:tc>
          <w:tcPr>
            <w:tcW w:w="160" w:type="dxa"/>
            <w:vAlign w:val="bottom"/>
          </w:tcPr>
          <w:p>
            <w:pPr>
              <w:spacing w:after="0"/>
              <w:rPr>
                <w:sz w:val="14"/>
                <w:szCs w:val="14"/>
                <w:color w:val="auto"/>
              </w:rPr>
            </w:pPr>
          </w:p>
        </w:tc>
        <w:tc>
          <w:tcPr>
            <w:tcW w:w="2280" w:type="dxa"/>
            <w:vAlign w:val="bottom"/>
            <w:tcBorders>
              <w:bottom w:val="single" w:sz="8" w:color="0000EE"/>
            </w:tcBorders>
            <w:gridSpan w:val="15"/>
          </w:tcPr>
          <w:p>
            <w:pPr>
              <w:spacing w:after="0" w:line="171" w:lineRule="exact"/>
              <w:rPr>
                <w:rFonts w:ascii="Arial" w:cs="Arial" w:eastAsia="Arial" w:hAnsi="Arial"/>
                <w:sz w:val="17"/>
                <w:szCs w:val="17"/>
                <w:color w:val="0000EE"/>
                <w:w w:val="99"/>
              </w:rPr>
            </w:pPr>
            <w:hyperlink w:anchor="page16">
              <w:r>
                <w:rPr>
                  <w:rFonts w:ascii="Arial" w:cs="Arial" w:eastAsia="Arial" w:hAnsi="Arial"/>
                  <w:sz w:val="17"/>
                  <w:szCs w:val="17"/>
                  <w:color w:val="0000EE"/>
                  <w:w w:val="99"/>
                </w:rPr>
                <w:t>Criteria for Board Membership</w:t>
              </w:r>
            </w:hyperlink>
          </w:p>
        </w:tc>
        <w:tc>
          <w:tcPr>
            <w:tcW w:w="5760" w:type="dxa"/>
            <w:vAlign w:val="bottom"/>
            <w:gridSpan w:val="21"/>
          </w:tcPr>
          <w:p>
            <w:pPr>
              <w:spacing w:after="0"/>
              <w:rPr>
                <w:sz w:val="14"/>
                <w:szCs w:val="14"/>
                <w:color w:val="auto"/>
              </w:rPr>
            </w:pPr>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10</w:t>
            </w:r>
          </w:p>
        </w:tc>
      </w:tr>
      <w:tr>
        <w:trPr>
          <w:trHeight w:val="171"/>
        </w:trPr>
        <w:tc>
          <w:tcPr>
            <w:tcW w:w="160" w:type="dxa"/>
            <w:vAlign w:val="bottom"/>
          </w:tcPr>
          <w:p>
            <w:pPr>
              <w:spacing w:after="0"/>
              <w:rPr>
                <w:sz w:val="14"/>
                <w:szCs w:val="14"/>
                <w:color w:val="auto"/>
              </w:rPr>
            </w:pPr>
          </w:p>
        </w:tc>
        <w:tc>
          <w:tcPr>
            <w:tcW w:w="8040" w:type="dxa"/>
            <w:vAlign w:val="bottom"/>
            <w:gridSpan w:val="36"/>
          </w:tcPr>
          <w:p>
            <w:pPr>
              <w:spacing w:after="0" w:line="171" w:lineRule="exact"/>
              <w:rPr>
                <w:rFonts w:ascii="Arial" w:cs="Arial" w:eastAsia="Arial" w:hAnsi="Arial"/>
                <w:sz w:val="17"/>
                <w:szCs w:val="17"/>
                <w:color w:val="0000EE"/>
              </w:rPr>
            </w:pPr>
            <w:hyperlink w:anchor="page16">
              <w:r>
                <w:rPr>
                  <w:rFonts w:ascii="Arial" w:cs="Arial" w:eastAsia="Arial" w:hAnsi="Arial"/>
                  <w:sz w:val="17"/>
                  <w:szCs w:val="17"/>
                  <w:color w:val="0000EE"/>
                </w:rPr>
                <w:t>Board Leadership Structure</w:t>
              </w:r>
            </w:hyperlink>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10</w:t>
            </w:r>
          </w:p>
        </w:tc>
      </w:tr>
      <w:tr>
        <w:trPr>
          <w:trHeight w:val="20"/>
        </w:trPr>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71"/>
        </w:trPr>
        <w:tc>
          <w:tcPr>
            <w:tcW w:w="160" w:type="dxa"/>
            <w:vAlign w:val="bottom"/>
          </w:tcPr>
          <w:p>
            <w:pPr>
              <w:spacing w:after="0"/>
              <w:rPr>
                <w:sz w:val="14"/>
                <w:szCs w:val="14"/>
                <w:color w:val="auto"/>
              </w:rPr>
            </w:pPr>
          </w:p>
        </w:tc>
        <w:tc>
          <w:tcPr>
            <w:tcW w:w="8040" w:type="dxa"/>
            <w:vAlign w:val="bottom"/>
            <w:gridSpan w:val="36"/>
          </w:tcPr>
          <w:p>
            <w:pPr>
              <w:spacing w:after="0" w:line="171" w:lineRule="exact"/>
              <w:rPr>
                <w:rFonts w:ascii="Arial" w:cs="Arial" w:eastAsia="Arial" w:hAnsi="Arial"/>
                <w:sz w:val="17"/>
                <w:szCs w:val="17"/>
                <w:color w:val="0000EE"/>
              </w:rPr>
            </w:pPr>
            <w:hyperlink w:anchor="page17">
              <w:r>
                <w:rPr>
                  <w:rFonts w:ascii="Arial" w:cs="Arial" w:eastAsia="Arial" w:hAnsi="Arial"/>
                  <w:sz w:val="17"/>
                  <w:szCs w:val="17"/>
                  <w:color w:val="0000EE"/>
                </w:rPr>
                <w:t>The Board’s Role in Risk Oversight</w:t>
              </w:r>
            </w:hyperlink>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11</w:t>
            </w:r>
          </w:p>
        </w:tc>
      </w:tr>
      <w:tr>
        <w:trPr>
          <w:trHeight w:val="171"/>
        </w:trPr>
        <w:tc>
          <w:tcPr>
            <w:tcW w:w="160" w:type="dxa"/>
            <w:vAlign w:val="bottom"/>
          </w:tcPr>
          <w:p>
            <w:pPr>
              <w:spacing w:after="0"/>
              <w:rPr>
                <w:sz w:val="14"/>
                <w:szCs w:val="14"/>
                <w:color w:val="auto"/>
              </w:rPr>
            </w:pPr>
          </w:p>
        </w:tc>
        <w:tc>
          <w:tcPr>
            <w:tcW w:w="2640" w:type="dxa"/>
            <w:vAlign w:val="bottom"/>
            <w:tcBorders>
              <w:top w:val="single" w:sz="8" w:color="0000EE"/>
            </w:tcBorders>
            <w:gridSpan w:val="18"/>
          </w:tcPr>
          <w:p>
            <w:pPr>
              <w:spacing w:after="0" w:line="171" w:lineRule="exact"/>
              <w:rPr>
                <w:rFonts w:ascii="Arial" w:cs="Arial" w:eastAsia="Arial" w:hAnsi="Arial"/>
                <w:sz w:val="17"/>
                <w:szCs w:val="17"/>
                <w:color w:val="0000EE"/>
              </w:rPr>
            </w:pPr>
            <w:hyperlink w:anchor="page17">
              <w:r>
                <w:rPr>
                  <w:rFonts w:ascii="Arial" w:cs="Arial" w:eastAsia="Arial" w:hAnsi="Arial"/>
                  <w:sz w:val="17"/>
                  <w:szCs w:val="17"/>
                  <w:color w:val="0000EE"/>
                </w:rPr>
                <w:t>Board of Directors Meeting</w:t>
              </w:r>
            </w:hyperlink>
          </w:p>
        </w:tc>
        <w:tc>
          <w:tcPr>
            <w:tcW w:w="5400" w:type="dxa"/>
            <w:vAlign w:val="bottom"/>
            <w:gridSpan w:val="18"/>
          </w:tcPr>
          <w:p>
            <w:pPr>
              <w:spacing w:after="0"/>
              <w:rPr>
                <w:sz w:val="14"/>
                <w:szCs w:val="14"/>
                <w:color w:val="auto"/>
              </w:rPr>
            </w:pPr>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11</w:t>
            </w:r>
          </w:p>
        </w:tc>
      </w:tr>
      <w:tr>
        <w:trPr>
          <w:trHeight w:val="171"/>
        </w:trPr>
        <w:tc>
          <w:tcPr>
            <w:tcW w:w="160" w:type="dxa"/>
            <w:vAlign w:val="bottom"/>
          </w:tcPr>
          <w:p>
            <w:pPr>
              <w:spacing w:after="0"/>
              <w:rPr>
                <w:sz w:val="14"/>
                <w:szCs w:val="14"/>
                <w:color w:val="auto"/>
              </w:rPr>
            </w:pPr>
          </w:p>
        </w:tc>
        <w:tc>
          <w:tcPr>
            <w:tcW w:w="1420" w:type="dxa"/>
            <w:vAlign w:val="bottom"/>
            <w:tcBorders>
              <w:top w:val="single" w:sz="8" w:color="0000EE"/>
              <w:bottom w:val="single" w:sz="8" w:color="0000EE"/>
            </w:tcBorders>
            <w:gridSpan w:val="4"/>
          </w:tcPr>
          <w:p>
            <w:pPr>
              <w:spacing w:after="0" w:line="171" w:lineRule="exact"/>
              <w:rPr>
                <w:rFonts w:ascii="Arial" w:cs="Arial" w:eastAsia="Arial" w:hAnsi="Arial"/>
                <w:sz w:val="17"/>
                <w:szCs w:val="17"/>
                <w:color w:val="0000EE"/>
                <w:w w:val="99"/>
              </w:rPr>
            </w:pPr>
            <w:hyperlink w:anchor="page18">
              <w:r>
                <w:rPr>
                  <w:rFonts w:ascii="Arial" w:cs="Arial" w:eastAsia="Arial" w:hAnsi="Arial"/>
                  <w:sz w:val="17"/>
                  <w:szCs w:val="17"/>
                  <w:color w:val="0000EE"/>
                  <w:w w:val="99"/>
                </w:rPr>
                <w:t>Board Committees</w:t>
              </w:r>
            </w:hyperlink>
          </w:p>
        </w:tc>
        <w:tc>
          <w:tcPr>
            <w:tcW w:w="600" w:type="dxa"/>
            <w:vAlign w:val="bottom"/>
            <w:tcBorders>
              <w:top w:val="single" w:sz="8" w:color="0000EE"/>
            </w:tcBorders>
            <w:gridSpan w:val="7"/>
          </w:tcPr>
          <w:p>
            <w:pPr>
              <w:spacing w:after="0"/>
              <w:rPr>
                <w:sz w:val="14"/>
                <w:szCs w:val="14"/>
                <w:color w:val="auto"/>
              </w:rPr>
            </w:pPr>
          </w:p>
        </w:tc>
        <w:tc>
          <w:tcPr>
            <w:tcW w:w="6020" w:type="dxa"/>
            <w:vAlign w:val="bottom"/>
            <w:gridSpan w:val="25"/>
          </w:tcPr>
          <w:p>
            <w:pPr>
              <w:spacing w:after="0"/>
              <w:rPr>
                <w:sz w:val="14"/>
                <w:szCs w:val="14"/>
                <w:color w:val="auto"/>
              </w:rPr>
            </w:pPr>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12</w:t>
            </w:r>
          </w:p>
        </w:tc>
      </w:tr>
      <w:tr>
        <w:trPr>
          <w:trHeight w:val="171"/>
        </w:trPr>
        <w:tc>
          <w:tcPr>
            <w:tcW w:w="160" w:type="dxa"/>
            <w:vAlign w:val="bottom"/>
          </w:tcPr>
          <w:p>
            <w:pPr>
              <w:spacing w:after="0"/>
              <w:rPr>
                <w:sz w:val="14"/>
                <w:szCs w:val="14"/>
                <w:color w:val="auto"/>
              </w:rPr>
            </w:pPr>
          </w:p>
        </w:tc>
        <w:tc>
          <w:tcPr>
            <w:tcW w:w="2080" w:type="dxa"/>
            <w:vAlign w:val="bottom"/>
            <w:tcBorders>
              <w:bottom w:val="single" w:sz="8" w:color="0000EE"/>
            </w:tcBorders>
            <w:gridSpan w:val="13"/>
          </w:tcPr>
          <w:p>
            <w:pPr>
              <w:spacing w:after="0" w:line="171" w:lineRule="exact"/>
              <w:rPr>
                <w:rFonts w:ascii="Arial" w:cs="Arial" w:eastAsia="Arial" w:hAnsi="Arial"/>
                <w:sz w:val="17"/>
                <w:szCs w:val="17"/>
                <w:color w:val="0000EE"/>
                <w:w w:val="99"/>
              </w:rPr>
            </w:pPr>
            <w:hyperlink w:anchor="page18">
              <w:r>
                <w:rPr>
                  <w:rFonts w:ascii="Arial" w:cs="Arial" w:eastAsia="Arial" w:hAnsi="Arial"/>
                  <w:sz w:val="17"/>
                  <w:szCs w:val="17"/>
                  <w:color w:val="0000EE"/>
                  <w:w w:val="99"/>
                </w:rPr>
                <w:t>Committee Responsibilities</w:t>
              </w:r>
            </w:hyperlink>
          </w:p>
        </w:tc>
        <w:tc>
          <w:tcPr>
            <w:tcW w:w="5960" w:type="dxa"/>
            <w:vAlign w:val="bottom"/>
            <w:gridSpan w:val="23"/>
          </w:tcPr>
          <w:p>
            <w:pPr>
              <w:spacing w:after="0"/>
              <w:rPr>
                <w:sz w:val="14"/>
                <w:szCs w:val="14"/>
                <w:color w:val="auto"/>
              </w:rPr>
            </w:pPr>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12</w:t>
            </w:r>
          </w:p>
        </w:tc>
      </w:tr>
      <w:tr>
        <w:trPr>
          <w:trHeight w:val="171"/>
        </w:trPr>
        <w:tc>
          <w:tcPr>
            <w:tcW w:w="160" w:type="dxa"/>
            <w:vAlign w:val="bottom"/>
          </w:tcPr>
          <w:p>
            <w:pPr>
              <w:spacing w:after="0"/>
              <w:rPr>
                <w:sz w:val="14"/>
                <w:szCs w:val="14"/>
                <w:color w:val="auto"/>
              </w:rPr>
            </w:pPr>
          </w:p>
        </w:tc>
        <w:tc>
          <w:tcPr>
            <w:tcW w:w="8040" w:type="dxa"/>
            <w:vAlign w:val="bottom"/>
            <w:gridSpan w:val="36"/>
          </w:tcPr>
          <w:p>
            <w:pPr>
              <w:spacing w:after="0" w:line="171" w:lineRule="exact"/>
              <w:rPr>
                <w:rFonts w:ascii="Arial" w:cs="Arial" w:eastAsia="Arial" w:hAnsi="Arial"/>
                <w:sz w:val="17"/>
                <w:szCs w:val="17"/>
                <w:color w:val="0000EE"/>
              </w:rPr>
            </w:pPr>
            <w:hyperlink w:anchor="page21">
              <w:r>
                <w:rPr>
                  <w:rFonts w:ascii="Arial" w:cs="Arial" w:eastAsia="Arial" w:hAnsi="Arial"/>
                  <w:sz w:val="17"/>
                  <w:szCs w:val="17"/>
                  <w:color w:val="0000EE"/>
                </w:rPr>
                <w:t>Director Compensation</w:t>
              </w:r>
            </w:hyperlink>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15</w:t>
            </w:r>
          </w:p>
        </w:tc>
      </w:tr>
      <w:tr>
        <w:trPr>
          <w:trHeight w:val="20"/>
        </w:trPr>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71"/>
        </w:trPr>
        <w:tc>
          <w:tcPr>
            <w:tcW w:w="160" w:type="dxa"/>
            <w:vAlign w:val="bottom"/>
          </w:tcPr>
          <w:p>
            <w:pPr>
              <w:spacing w:after="0"/>
              <w:rPr>
                <w:sz w:val="14"/>
                <w:szCs w:val="14"/>
                <w:color w:val="auto"/>
              </w:rPr>
            </w:pPr>
          </w:p>
        </w:tc>
        <w:tc>
          <w:tcPr>
            <w:tcW w:w="8040" w:type="dxa"/>
            <w:vAlign w:val="bottom"/>
            <w:gridSpan w:val="36"/>
          </w:tcPr>
          <w:p>
            <w:pPr>
              <w:spacing w:after="0" w:line="171" w:lineRule="exact"/>
              <w:rPr>
                <w:rFonts w:ascii="Arial" w:cs="Arial" w:eastAsia="Arial" w:hAnsi="Arial"/>
                <w:sz w:val="17"/>
                <w:szCs w:val="17"/>
                <w:color w:val="0000EE"/>
              </w:rPr>
            </w:pPr>
            <w:hyperlink w:anchor="page23">
              <w:r>
                <w:rPr>
                  <w:rFonts w:ascii="Arial" w:cs="Arial" w:eastAsia="Arial" w:hAnsi="Arial"/>
                  <w:sz w:val="17"/>
                  <w:szCs w:val="17"/>
                  <w:color w:val="0000EE"/>
                </w:rPr>
                <w:t>Related Party Transactions</w:t>
              </w:r>
            </w:hyperlink>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17</w:t>
            </w:r>
          </w:p>
        </w:tc>
      </w:tr>
      <w:tr>
        <w:trPr>
          <w:trHeight w:val="20"/>
        </w:trPr>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71"/>
        </w:trPr>
        <w:tc>
          <w:tcPr>
            <w:tcW w:w="160" w:type="dxa"/>
            <w:vAlign w:val="bottom"/>
          </w:tcPr>
          <w:p>
            <w:pPr>
              <w:spacing w:after="0"/>
              <w:rPr>
                <w:sz w:val="14"/>
                <w:szCs w:val="14"/>
                <w:color w:val="auto"/>
              </w:rPr>
            </w:pPr>
          </w:p>
        </w:tc>
        <w:tc>
          <w:tcPr>
            <w:tcW w:w="3320" w:type="dxa"/>
            <w:vAlign w:val="bottom"/>
            <w:tcBorders>
              <w:bottom w:val="single" w:sz="8" w:color="0000EE"/>
            </w:tcBorders>
            <w:gridSpan w:val="24"/>
          </w:tcPr>
          <w:p>
            <w:pPr>
              <w:spacing w:after="0" w:line="171" w:lineRule="exact"/>
              <w:rPr>
                <w:rFonts w:ascii="Arial" w:cs="Arial" w:eastAsia="Arial" w:hAnsi="Arial"/>
                <w:sz w:val="17"/>
                <w:szCs w:val="17"/>
                <w:color w:val="0000EE"/>
                <w:w w:val="99"/>
              </w:rPr>
            </w:pPr>
            <w:hyperlink w:anchor="page24">
              <w:r>
                <w:rPr>
                  <w:rFonts w:ascii="Arial" w:cs="Arial" w:eastAsia="Arial" w:hAnsi="Arial"/>
                  <w:sz w:val="17"/>
                  <w:szCs w:val="17"/>
                  <w:color w:val="0000EE"/>
                  <w:w w:val="99"/>
                </w:rPr>
                <w:t>Communications with the Board of Directors</w:t>
              </w:r>
            </w:hyperlink>
          </w:p>
        </w:tc>
        <w:tc>
          <w:tcPr>
            <w:tcW w:w="4720" w:type="dxa"/>
            <w:vAlign w:val="bottom"/>
            <w:gridSpan w:val="12"/>
          </w:tcPr>
          <w:p>
            <w:pPr>
              <w:spacing w:after="0"/>
              <w:rPr>
                <w:sz w:val="14"/>
                <w:szCs w:val="14"/>
                <w:color w:val="auto"/>
              </w:rPr>
            </w:pPr>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18</w:t>
            </w:r>
          </w:p>
        </w:tc>
      </w:tr>
      <w:tr>
        <w:trPr>
          <w:trHeight w:val="234"/>
        </w:trPr>
        <w:tc>
          <w:tcPr>
            <w:tcW w:w="4580" w:type="dxa"/>
            <w:vAlign w:val="bottom"/>
            <w:tcBorders>
              <w:bottom w:val="single" w:sz="8" w:color="0000EE"/>
            </w:tcBorders>
            <w:gridSpan w:val="31"/>
          </w:tcPr>
          <w:p>
            <w:pPr>
              <w:spacing w:after="0"/>
              <w:rPr>
                <w:rFonts w:ascii="Arial" w:cs="Arial" w:eastAsia="Arial" w:hAnsi="Arial"/>
                <w:sz w:val="17"/>
                <w:szCs w:val="17"/>
                <w:b w:val="1"/>
                <w:bCs w:val="1"/>
                <w:color w:val="0000EE"/>
                <w:w w:val="99"/>
              </w:rPr>
            </w:pPr>
            <w:hyperlink w:anchor="page25">
              <w:r>
                <w:rPr>
                  <w:rFonts w:ascii="Arial" w:cs="Arial" w:eastAsia="Arial" w:hAnsi="Arial"/>
                  <w:sz w:val="17"/>
                  <w:szCs w:val="17"/>
                  <w:b w:val="1"/>
                  <w:bCs w:val="1"/>
                  <w:color w:val="0000EE"/>
                  <w:w w:val="99"/>
                </w:rPr>
                <w:t>Proposal 2 — Advisory Vote on Executive Compensation</w:t>
              </w:r>
            </w:hyperlink>
          </w:p>
        </w:tc>
        <w:tc>
          <w:tcPr>
            <w:tcW w:w="3620" w:type="dxa"/>
            <w:vAlign w:val="bottom"/>
            <w:gridSpan w:val="6"/>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7"/>
                <w:szCs w:val="17"/>
                <w:b w:val="1"/>
                <w:bCs w:val="1"/>
                <w:color w:val="auto"/>
              </w:rPr>
              <w:t>19</w:t>
            </w:r>
          </w:p>
        </w:tc>
      </w:tr>
      <w:tr>
        <w:trPr>
          <w:trHeight w:val="234"/>
        </w:trPr>
        <w:tc>
          <w:tcPr>
            <w:tcW w:w="3060" w:type="dxa"/>
            <w:vAlign w:val="bottom"/>
            <w:tcBorders>
              <w:bottom w:val="single" w:sz="8" w:color="0000EE"/>
            </w:tcBorders>
            <w:gridSpan w:val="23"/>
          </w:tcPr>
          <w:p>
            <w:pPr>
              <w:spacing w:after="0"/>
              <w:rPr>
                <w:rFonts w:ascii="Arial" w:cs="Arial" w:eastAsia="Arial" w:hAnsi="Arial"/>
                <w:sz w:val="17"/>
                <w:szCs w:val="17"/>
                <w:b w:val="1"/>
                <w:bCs w:val="1"/>
                <w:color w:val="0000EE"/>
                <w:w w:val="98"/>
              </w:rPr>
            </w:pPr>
            <w:hyperlink w:anchor="page26">
              <w:r>
                <w:rPr>
                  <w:rFonts w:ascii="Arial" w:cs="Arial" w:eastAsia="Arial" w:hAnsi="Arial"/>
                  <w:sz w:val="17"/>
                  <w:szCs w:val="17"/>
                  <w:b w:val="1"/>
                  <w:bCs w:val="1"/>
                  <w:color w:val="0000EE"/>
                  <w:w w:val="98"/>
                </w:rPr>
                <w:t>Compensation Discussion &amp; Analysis</w:t>
              </w:r>
            </w:hyperlink>
          </w:p>
        </w:tc>
        <w:tc>
          <w:tcPr>
            <w:tcW w:w="5140" w:type="dxa"/>
            <w:vAlign w:val="bottom"/>
            <w:gridSpan w:val="14"/>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7"/>
                <w:szCs w:val="17"/>
                <w:b w:val="1"/>
                <w:bCs w:val="1"/>
                <w:color w:val="auto"/>
              </w:rPr>
              <w:t>20</w:t>
            </w:r>
          </w:p>
        </w:tc>
      </w:tr>
      <w:tr>
        <w:trPr>
          <w:trHeight w:val="171"/>
        </w:trPr>
        <w:tc>
          <w:tcPr>
            <w:tcW w:w="160" w:type="dxa"/>
            <w:vAlign w:val="bottom"/>
          </w:tcPr>
          <w:p>
            <w:pPr>
              <w:spacing w:after="0"/>
              <w:rPr>
                <w:sz w:val="14"/>
                <w:szCs w:val="14"/>
                <w:color w:val="auto"/>
              </w:rPr>
            </w:pPr>
          </w:p>
        </w:tc>
        <w:tc>
          <w:tcPr>
            <w:tcW w:w="8040" w:type="dxa"/>
            <w:vAlign w:val="bottom"/>
            <w:gridSpan w:val="36"/>
          </w:tcPr>
          <w:p>
            <w:pPr>
              <w:spacing w:after="0" w:line="171" w:lineRule="exact"/>
              <w:rPr>
                <w:rFonts w:ascii="Arial" w:cs="Arial" w:eastAsia="Arial" w:hAnsi="Arial"/>
                <w:sz w:val="17"/>
                <w:szCs w:val="17"/>
                <w:color w:val="0000EE"/>
              </w:rPr>
            </w:pPr>
            <w:hyperlink w:anchor="page38">
              <w:r>
                <w:rPr>
                  <w:rFonts w:ascii="Arial" w:cs="Arial" w:eastAsia="Arial" w:hAnsi="Arial"/>
                  <w:sz w:val="17"/>
                  <w:szCs w:val="17"/>
                  <w:color w:val="0000EE"/>
                </w:rPr>
                <w:t>Human Resources and Compensation Committee Report</w:t>
              </w:r>
            </w:hyperlink>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32</w:t>
            </w:r>
          </w:p>
        </w:tc>
      </w:tr>
      <w:tr>
        <w:trPr>
          <w:trHeight w:val="20"/>
        </w:trPr>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34"/>
        </w:trPr>
        <w:tc>
          <w:tcPr>
            <w:tcW w:w="2020" w:type="dxa"/>
            <w:vAlign w:val="bottom"/>
            <w:tcBorders>
              <w:bottom w:val="single" w:sz="8" w:color="0000EE"/>
            </w:tcBorders>
            <w:gridSpan w:val="10"/>
          </w:tcPr>
          <w:p>
            <w:pPr>
              <w:spacing w:after="0"/>
              <w:rPr>
                <w:rFonts w:ascii="Arial" w:cs="Arial" w:eastAsia="Arial" w:hAnsi="Arial"/>
                <w:sz w:val="17"/>
                <w:szCs w:val="17"/>
                <w:b w:val="1"/>
                <w:bCs w:val="1"/>
                <w:color w:val="0000EE"/>
                <w:w w:val="98"/>
              </w:rPr>
            </w:pPr>
            <w:hyperlink w:anchor="page39">
              <w:r>
                <w:rPr>
                  <w:rFonts w:ascii="Arial" w:cs="Arial" w:eastAsia="Arial" w:hAnsi="Arial"/>
                  <w:sz w:val="17"/>
                  <w:szCs w:val="17"/>
                  <w:b w:val="1"/>
                  <w:bCs w:val="1"/>
                  <w:color w:val="0000EE"/>
                  <w:w w:val="98"/>
                </w:rPr>
                <w:t>Executive Compensation</w:t>
              </w:r>
            </w:hyperlink>
          </w:p>
        </w:tc>
        <w:tc>
          <w:tcPr>
            <w:tcW w:w="6180" w:type="dxa"/>
            <w:vAlign w:val="bottom"/>
            <w:gridSpan w:val="27"/>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7"/>
                <w:szCs w:val="17"/>
                <w:b w:val="1"/>
                <w:bCs w:val="1"/>
                <w:color w:val="auto"/>
              </w:rPr>
              <w:t>33</w:t>
            </w:r>
          </w:p>
        </w:tc>
      </w:tr>
      <w:tr>
        <w:trPr>
          <w:trHeight w:val="171"/>
        </w:trPr>
        <w:tc>
          <w:tcPr>
            <w:tcW w:w="160" w:type="dxa"/>
            <w:vAlign w:val="bottom"/>
          </w:tcPr>
          <w:p>
            <w:pPr>
              <w:spacing w:after="0"/>
              <w:rPr>
                <w:sz w:val="14"/>
                <w:szCs w:val="14"/>
                <w:color w:val="auto"/>
              </w:rPr>
            </w:pPr>
          </w:p>
        </w:tc>
        <w:tc>
          <w:tcPr>
            <w:tcW w:w="8040" w:type="dxa"/>
            <w:vAlign w:val="bottom"/>
            <w:gridSpan w:val="36"/>
          </w:tcPr>
          <w:p>
            <w:pPr>
              <w:spacing w:after="0" w:line="171" w:lineRule="exact"/>
              <w:rPr>
                <w:rFonts w:ascii="Arial" w:cs="Arial" w:eastAsia="Arial" w:hAnsi="Arial"/>
                <w:sz w:val="17"/>
                <w:szCs w:val="17"/>
                <w:color w:val="0000EE"/>
              </w:rPr>
            </w:pPr>
            <w:hyperlink w:anchor="page39">
              <w:r>
                <w:rPr>
                  <w:rFonts w:ascii="Arial" w:cs="Arial" w:eastAsia="Arial" w:hAnsi="Arial"/>
                  <w:sz w:val="17"/>
                  <w:szCs w:val="17"/>
                  <w:color w:val="0000EE"/>
                </w:rPr>
                <w:t>Summary Compensation Table</w:t>
              </w:r>
            </w:hyperlink>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33</w:t>
            </w:r>
          </w:p>
        </w:tc>
      </w:tr>
      <w:tr>
        <w:trPr>
          <w:trHeight w:val="171"/>
        </w:trPr>
        <w:tc>
          <w:tcPr>
            <w:tcW w:w="160" w:type="dxa"/>
            <w:vAlign w:val="bottom"/>
          </w:tcPr>
          <w:p>
            <w:pPr>
              <w:spacing w:after="0"/>
              <w:rPr>
                <w:sz w:val="14"/>
                <w:szCs w:val="14"/>
                <w:color w:val="auto"/>
              </w:rPr>
            </w:pPr>
          </w:p>
        </w:tc>
        <w:tc>
          <w:tcPr>
            <w:tcW w:w="2240" w:type="dxa"/>
            <w:vAlign w:val="bottom"/>
            <w:tcBorders>
              <w:top w:val="single" w:sz="8" w:color="0000EE"/>
              <w:bottom w:val="single" w:sz="8" w:color="0000EE"/>
            </w:tcBorders>
            <w:gridSpan w:val="14"/>
          </w:tcPr>
          <w:p>
            <w:pPr>
              <w:spacing w:after="0" w:line="171" w:lineRule="exact"/>
              <w:rPr>
                <w:rFonts w:ascii="Arial" w:cs="Arial" w:eastAsia="Arial" w:hAnsi="Arial"/>
                <w:sz w:val="17"/>
                <w:szCs w:val="17"/>
                <w:color w:val="0000EE"/>
                <w:w w:val="99"/>
              </w:rPr>
            </w:pPr>
            <w:hyperlink w:anchor="page40">
              <w:r>
                <w:rPr>
                  <w:rFonts w:ascii="Arial" w:cs="Arial" w:eastAsia="Arial" w:hAnsi="Arial"/>
                  <w:sz w:val="17"/>
                  <w:szCs w:val="17"/>
                  <w:color w:val="0000EE"/>
                  <w:w w:val="99"/>
                </w:rPr>
                <w:t>Grants of Plan-Based Awards</w:t>
              </w:r>
            </w:hyperlink>
          </w:p>
        </w:tc>
        <w:tc>
          <w:tcPr>
            <w:tcW w:w="80" w:type="dxa"/>
            <w:vAlign w:val="bottom"/>
            <w:tcBorders>
              <w:top w:val="single" w:sz="8" w:color="0000EE"/>
            </w:tcBorders>
            <w:gridSpan w:val="2"/>
          </w:tcPr>
          <w:p>
            <w:pPr>
              <w:spacing w:after="0"/>
              <w:rPr>
                <w:sz w:val="14"/>
                <w:szCs w:val="14"/>
                <w:color w:val="auto"/>
              </w:rPr>
            </w:pPr>
          </w:p>
        </w:tc>
        <w:tc>
          <w:tcPr>
            <w:tcW w:w="5720" w:type="dxa"/>
            <w:vAlign w:val="bottom"/>
            <w:gridSpan w:val="20"/>
          </w:tcPr>
          <w:p>
            <w:pPr>
              <w:spacing w:after="0"/>
              <w:rPr>
                <w:sz w:val="14"/>
                <w:szCs w:val="14"/>
                <w:color w:val="auto"/>
              </w:rPr>
            </w:pPr>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34</w:t>
            </w:r>
          </w:p>
        </w:tc>
      </w:tr>
      <w:tr>
        <w:trPr>
          <w:trHeight w:val="171"/>
        </w:trPr>
        <w:tc>
          <w:tcPr>
            <w:tcW w:w="160" w:type="dxa"/>
            <w:vAlign w:val="bottom"/>
          </w:tcPr>
          <w:p>
            <w:pPr>
              <w:spacing w:after="0"/>
              <w:rPr>
                <w:sz w:val="14"/>
                <w:szCs w:val="14"/>
                <w:color w:val="auto"/>
              </w:rPr>
            </w:pPr>
          </w:p>
        </w:tc>
        <w:tc>
          <w:tcPr>
            <w:tcW w:w="3480" w:type="dxa"/>
            <w:vAlign w:val="bottom"/>
            <w:tcBorders>
              <w:bottom w:val="single" w:sz="8" w:color="0000EE"/>
            </w:tcBorders>
            <w:gridSpan w:val="26"/>
          </w:tcPr>
          <w:p>
            <w:pPr>
              <w:spacing w:after="0" w:line="171" w:lineRule="exact"/>
              <w:rPr>
                <w:rFonts w:ascii="Arial" w:cs="Arial" w:eastAsia="Arial" w:hAnsi="Arial"/>
                <w:sz w:val="17"/>
                <w:szCs w:val="17"/>
                <w:color w:val="0000EE"/>
                <w:w w:val="98"/>
              </w:rPr>
            </w:pPr>
            <w:hyperlink w:anchor="page41">
              <w:r>
                <w:rPr>
                  <w:rFonts w:ascii="Arial" w:cs="Arial" w:eastAsia="Arial" w:hAnsi="Arial"/>
                  <w:sz w:val="17"/>
                  <w:szCs w:val="17"/>
                  <w:color w:val="0000EE"/>
                  <w:w w:val="98"/>
                </w:rPr>
                <w:t>Outstanding Equity Awards at Fiscal Year-End</w:t>
              </w:r>
            </w:hyperlink>
          </w:p>
        </w:tc>
        <w:tc>
          <w:tcPr>
            <w:tcW w:w="4560" w:type="dxa"/>
            <w:vAlign w:val="bottom"/>
            <w:gridSpan w:val="10"/>
          </w:tcPr>
          <w:p>
            <w:pPr>
              <w:spacing w:after="0"/>
              <w:rPr>
                <w:sz w:val="14"/>
                <w:szCs w:val="14"/>
                <w:color w:val="auto"/>
              </w:rPr>
            </w:pPr>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35</w:t>
            </w:r>
          </w:p>
        </w:tc>
      </w:tr>
      <w:tr>
        <w:trPr>
          <w:trHeight w:val="171"/>
        </w:trPr>
        <w:tc>
          <w:tcPr>
            <w:tcW w:w="160" w:type="dxa"/>
            <w:vAlign w:val="bottom"/>
          </w:tcPr>
          <w:p>
            <w:pPr>
              <w:spacing w:after="0"/>
              <w:rPr>
                <w:sz w:val="14"/>
                <w:szCs w:val="14"/>
                <w:color w:val="auto"/>
              </w:rPr>
            </w:pPr>
          </w:p>
        </w:tc>
        <w:tc>
          <w:tcPr>
            <w:tcW w:w="2660" w:type="dxa"/>
            <w:vAlign w:val="bottom"/>
            <w:tcBorders>
              <w:bottom w:val="single" w:sz="8" w:color="0000EE"/>
            </w:tcBorders>
            <w:gridSpan w:val="19"/>
          </w:tcPr>
          <w:p>
            <w:pPr>
              <w:spacing w:after="0" w:line="171" w:lineRule="exact"/>
              <w:rPr>
                <w:rFonts w:ascii="Arial" w:cs="Arial" w:eastAsia="Arial" w:hAnsi="Arial"/>
                <w:sz w:val="17"/>
                <w:szCs w:val="17"/>
                <w:color w:val="0000EE"/>
                <w:w w:val="99"/>
              </w:rPr>
            </w:pPr>
            <w:hyperlink w:anchor="page42">
              <w:r>
                <w:rPr>
                  <w:rFonts w:ascii="Arial" w:cs="Arial" w:eastAsia="Arial" w:hAnsi="Arial"/>
                  <w:sz w:val="17"/>
                  <w:szCs w:val="17"/>
                  <w:color w:val="0000EE"/>
                  <w:w w:val="99"/>
                </w:rPr>
                <w:t>Option Exercises and Stock Vested</w:t>
              </w:r>
            </w:hyperlink>
          </w:p>
        </w:tc>
        <w:tc>
          <w:tcPr>
            <w:tcW w:w="5380" w:type="dxa"/>
            <w:vAlign w:val="bottom"/>
            <w:gridSpan w:val="17"/>
          </w:tcPr>
          <w:p>
            <w:pPr>
              <w:spacing w:after="0"/>
              <w:rPr>
                <w:sz w:val="14"/>
                <w:szCs w:val="14"/>
                <w:color w:val="auto"/>
              </w:rPr>
            </w:pPr>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36</w:t>
            </w:r>
          </w:p>
        </w:tc>
      </w:tr>
      <w:tr>
        <w:trPr>
          <w:trHeight w:val="171"/>
        </w:trPr>
        <w:tc>
          <w:tcPr>
            <w:tcW w:w="160" w:type="dxa"/>
            <w:vAlign w:val="bottom"/>
          </w:tcPr>
          <w:p>
            <w:pPr>
              <w:spacing w:after="0"/>
              <w:rPr>
                <w:sz w:val="14"/>
                <w:szCs w:val="14"/>
                <w:color w:val="auto"/>
              </w:rPr>
            </w:pPr>
          </w:p>
        </w:tc>
        <w:tc>
          <w:tcPr>
            <w:tcW w:w="2820" w:type="dxa"/>
            <w:vAlign w:val="bottom"/>
            <w:tcBorders>
              <w:bottom w:val="single" w:sz="8" w:color="0000EE"/>
            </w:tcBorders>
            <w:gridSpan w:val="21"/>
          </w:tcPr>
          <w:p>
            <w:pPr>
              <w:spacing w:after="0" w:line="171" w:lineRule="exact"/>
              <w:rPr>
                <w:rFonts w:ascii="Arial" w:cs="Arial" w:eastAsia="Arial" w:hAnsi="Arial"/>
                <w:sz w:val="17"/>
                <w:szCs w:val="17"/>
                <w:color w:val="0000EE"/>
              </w:rPr>
            </w:pPr>
            <w:hyperlink w:anchor="page42">
              <w:r>
                <w:rPr>
                  <w:rFonts w:ascii="Arial" w:cs="Arial" w:eastAsia="Arial" w:hAnsi="Arial"/>
                  <w:sz w:val="17"/>
                  <w:szCs w:val="17"/>
                  <w:color w:val="0000EE"/>
                </w:rPr>
                <w:t>Nonqualified Deferred Compensation</w:t>
              </w:r>
            </w:hyperlink>
          </w:p>
        </w:tc>
        <w:tc>
          <w:tcPr>
            <w:tcW w:w="5220" w:type="dxa"/>
            <w:vAlign w:val="bottom"/>
            <w:gridSpan w:val="15"/>
          </w:tcPr>
          <w:p>
            <w:pPr>
              <w:spacing w:after="0"/>
              <w:rPr>
                <w:sz w:val="14"/>
                <w:szCs w:val="14"/>
                <w:color w:val="auto"/>
              </w:rPr>
            </w:pPr>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36</w:t>
            </w:r>
          </w:p>
        </w:tc>
      </w:tr>
      <w:tr>
        <w:trPr>
          <w:trHeight w:val="171"/>
        </w:trPr>
        <w:tc>
          <w:tcPr>
            <w:tcW w:w="160" w:type="dxa"/>
            <w:vAlign w:val="bottom"/>
          </w:tcPr>
          <w:p>
            <w:pPr>
              <w:spacing w:after="0"/>
              <w:rPr>
                <w:sz w:val="14"/>
                <w:szCs w:val="14"/>
                <w:color w:val="auto"/>
              </w:rPr>
            </w:pPr>
          </w:p>
        </w:tc>
        <w:tc>
          <w:tcPr>
            <w:tcW w:w="4600" w:type="dxa"/>
            <w:vAlign w:val="bottom"/>
            <w:tcBorders>
              <w:bottom w:val="single" w:sz="8" w:color="0000EE"/>
            </w:tcBorders>
            <w:gridSpan w:val="31"/>
          </w:tcPr>
          <w:p>
            <w:pPr>
              <w:spacing w:after="0" w:line="171" w:lineRule="exact"/>
              <w:rPr>
                <w:rFonts w:ascii="Arial" w:cs="Arial" w:eastAsia="Arial" w:hAnsi="Arial"/>
                <w:sz w:val="17"/>
                <w:szCs w:val="17"/>
                <w:color w:val="0000EE"/>
                <w:w w:val="99"/>
              </w:rPr>
            </w:pPr>
            <w:hyperlink w:anchor="page44">
              <w:r>
                <w:rPr>
                  <w:rFonts w:ascii="Arial" w:cs="Arial" w:eastAsia="Arial" w:hAnsi="Arial"/>
                  <w:sz w:val="17"/>
                  <w:szCs w:val="17"/>
                  <w:color w:val="0000EE"/>
                  <w:w w:val="99"/>
                </w:rPr>
                <w:t>Potential Payments Upon Termination or a Change in Control</w:t>
              </w:r>
            </w:hyperlink>
          </w:p>
        </w:tc>
        <w:tc>
          <w:tcPr>
            <w:tcW w:w="3440" w:type="dxa"/>
            <w:vAlign w:val="bottom"/>
            <w:gridSpan w:val="5"/>
          </w:tcPr>
          <w:p>
            <w:pPr>
              <w:spacing w:after="0"/>
              <w:rPr>
                <w:sz w:val="14"/>
                <w:szCs w:val="14"/>
                <w:color w:val="auto"/>
              </w:rPr>
            </w:pPr>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38</w:t>
            </w:r>
          </w:p>
        </w:tc>
      </w:tr>
      <w:tr>
        <w:trPr>
          <w:trHeight w:val="171"/>
        </w:trPr>
        <w:tc>
          <w:tcPr>
            <w:tcW w:w="160" w:type="dxa"/>
            <w:vAlign w:val="bottom"/>
          </w:tcPr>
          <w:p>
            <w:pPr>
              <w:spacing w:after="0"/>
              <w:rPr>
                <w:sz w:val="14"/>
                <w:szCs w:val="14"/>
                <w:color w:val="auto"/>
              </w:rPr>
            </w:pPr>
          </w:p>
        </w:tc>
        <w:tc>
          <w:tcPr>
            <w:tcW w:w="3440" w:type="dxa"/>
            <w:vAlign w:val="bottom"/>
            <w:tcBorders>
              <w:bottom w:val="single" w:sz="8" w:color="0000EE"/>
            </w:tcBorders>
            <w:gridSpan w:val="25"/>
          </w:tcPr>
          <w:p>
            <w:pPr>
              <w:spacing w:after="0" w:line="171" w:lineRule="exact"/>
              <w:rPr>
                <w:rFonts w:ascii="Arial" w:cs="Arial" w:eastAsia="Arial" w:hAnsi="Arial"/>
                <w:sz w:val="17"/>
                <w:szCs w:val="17"/>
                <w:color w:val="0000EE"/>
                <w:w w:val="98"/>
              </w:rPr>
            </w:pPr>
            <w:hyperlink w:anchor="page47">
              <w:r>
                <w:rPr>
                  <w:rFonts w:ascii="Arial" w:cs="Arial" w:eastAsia="Arial" w:hAnsi="Arial"/>
                  <w:sz w:val="17"/>
                  <w:szCs w:val="17"/>
                  <w:color w:val="0000EE"/>
                  <w:w w:val="98"/>
                </w:rPr>
                <w:t>Treatment of Equity Awards upon Termination</w:t>
              </w:r>
            </w:hyperlink>
          </w:p>
        </w:tc>
        <w:tc>
          <w:tcPr>
            <w:tcW w:w="4600" w:type="dxa"/>
            <w:vAlign w:val="bottom"/>
            <w:gridSpan w:val="11"/>
          </w:tcPr>
          <w:p>
            <w:pPr>
              <w:spacing w:after="0"/>
              <w:rPr>
                <w:sz w:val="14"/>
                <w:szCs w:val="14"/>
                <w:color w:val="auto"/>
              </w:rPr>
            </w:pPr>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41</w:t>
            </w:r>
          </w:p>
        </w:tc>
      </w:tr>
      <w:tr>
        <w:trPr>
          <w:trHeight w:val="171"/>
        </w:trPr>
        <w:tc>
          <w:tcPr>
            <w:tcW w:w="160" w:type="dxa"/>
            <w:vAlign w:val="bottom"/>
          </w:tcPr>
          <w:p>
            <w:pPr>
              <w:spacing w:after="0"/>
              <w:rPr>
                <w:sz w:val="14"/>
                <w:szCs w:val="14"/>
                <w:color w:val="auto"/>
              </w:rPr>
            </w:pPr>
          </w:p>
        </w:tc>
        <w:tc>
          <w:tcPr>
            <w:tcW w:w="8040" w:type="dxa"/>
            <w:vAlign w:val="bottom"/>
            <w:gridSpan w:val="36"/>
          </w:tcPr>
          <w:p>
            <w:pPr>
              <w:spacing w:after="0" w:line="171" w:lineRule="exact"/>
              <w:rPr>
                <w:rFonts w:ascii="Arial" w:cs="Arial" w:eastAsia="Arial" w:hAnsi="Arial"/>
                <w:sz w:val="17"/>
                <w:szCs w:val="17"/>
                <w:color w:val="0000EE"/>
              </w:rPr>
            </w:pPr>
            <w:hyperlink w:anchor="page47">
              <w:r>
                <w:rPr>
                  <w:rFonts w:ascii="Arial" w:cs="Arial" w:eastAsia="Arial" w:hAnsi="Arial"/>
                  <w:sz w:val="17"/>
                  <w:szCs w:val="17"/>
                  <w:color w:val="0000EE"/>
                </w:rPr>
                <w:t>Pay Ratio Disclosure</w:t>
              </w:r>
            </w:hyperlink>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41</w:t>
            </w:r>
          </w:p>
        </w:tc>
      </w:tr>
      <w:tr>
        <w:trPr>
          <w:trHeight w:val="20"/>
        </w:trPr>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860" w:type="dxa"/>
            <w:vAlign w:val="bottom"/>
            <w:gridSpan w:val="1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34"/>
        </w:trPr>
        <w:tc>
          <w:tcPr>
            <w:tcW w:w="7480" w:type="dxa"/>
            <w:vAlign w:val="bottom"/>
            <w:tcBorders>
              <w:bottom w:val="single" w:sz="8" w:color="0000EE"/>
            </w:tcBorders>
            <w:gridSpan w:val="35"/>
          </w:tcPr>
          <w:p>
            <w:pPr>
              <w:spacing w:after="0"/>
              <w:rPr>
                <w:rFonts w:ascii="Arial" w:cs="Arial" w:eastAsia="Arial" w:hAnsi="Arial"/>
                <w:sz w:val="17"/>
                <w:szCs w:val="17"/>
                <w:b w:val="1"/>
                <w:bCs w:val="1"/>
                <w:color w:val="0000EE"/>
                <w:w w:val="99"/>
              </w:rPr>
            </w:pPr>
            <w:hyperlink w:anchor="page49">
              <w:r>
                <w:rPr>
                  <w:rFonts w:ascii="Arial" w:cs="Arial" w:eastAsia="Arial" w:hAnsi="Arial"/>
                  <w:sz w:val="17"/>
                  <w:szCs w:val="17"/>
                  <w:b w:val="1"/>
                  <w:bCs w:val="1"/>
                  <w:color w:val="0000EE"/>
                  <w:w w:val="99"/>
                </w:rPr>
                <w:t>Proposal 3 — Ratification of Appointment of Independent Registered Public Accounting Firm</w:t>
              </w:r>
            </w:hyperlink>
          </w:p>
        </w:tc>
        <w:tc>
          <w:tcPr>
            <w:tcW w:w="720" w:type="dxa"/>
            <w:vAlign w:val="bottom"/>
            <w:gridSpan w:val="2"/>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7"/>
                <w:szCs w:val="17"/>
                <w:b w:val="1"/>
                <w:bCs w:val="1"/>
                <w:color w:val="auto"/>
              </w:rPr>
              <w:t>43</w:t>
            </w:r>
          </w:p>
        </w:tc>
      </w:tr>
      <w:tr>
        <w:trPr>
          <w:trHeight w:val="234"/>
        </w:trPr>
        <w:tc>
          <w:tcPr>
            <w:tcW w:w="8200" w:type="dxa"/>
            <w:vAlign w:val="bottom"/>
            <w:gridSpan w:val="37"/>
          </w:tcPr>
          <w:p>
            <w:pPr>
              <w:spacing w:after="0"/>
              <w:rPr>
                <w:rFonts w:ascii="Arial" w:cs="Arial" w:eastAsia="Arial" w:hAnsi="Arial"/>
                <w:sz w:val="17"/>
                <w:szCs w:val="17"/>
                <w:b w:val="1"/>
                <w:bCs w:val="1"/>
                <w:color w:val="0000EE"/>
              </w:rPr>
            </w:pPr>
            <w:hyperlink w:anchor="page50">
              <w:r>
                <w:rPr>
                  <w:rFonts w:ascii="Arial" w:cs="Arial" w:eastAsia="Arial" w:hAnsi="Arial"/>
                  <w:sz w:val="17"/>
                  <w:szCs w:val="17"/>
                  <w:b w:val="1"/>
                  <w:bCs w:val="1"/>
                  <w:color w:val="0000EE"/>
                </w:rPr>
                <w:t>Audit Matters</w:t>
              </w:r>
            </w:hyperlink>
          </w:p>
        </w:tc>
        <w:tc>
          <w:tcPr>
            <w:tcW w:w="2120" w:type="dxa"/>
            <w:vAlign w:val="bottom"/>
          </w:tcPr>
          <w:p>
            <w:pPr>
              <w:jc w:val="right"/>
              <w:spacing w:after="0"/>
              <w:rPr>
                <w:sz w:val="20"/>
                <w:szCs w:val="20"/>
                <w:color w:val="auto"/>
              </w:rPr>
            </w:pPr>
            <w:r>
              <w:rPr>
                <w:rFonts w:ascii="Arial" w:cs="Arial" w:eastAsia="Arial" w:hAnsi="Arial"/>
                <w:sz w:val="17"/>
                <w:szCs w:val="17"/>
                <w:b w:val="1"/>
                <w:bCs w:val="1"/>
                <w:color w:val="auto"/>
              </w:rPr>
              <w:t>44</w:t>
            </w:r>
          </w:p>
        </w:tc>
      </w:tr>
      <w:tr>
        <w:trPr>
          <w:trHeight w:val="20"/>
        </w:trPr>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860" w:type="dxa"/>
            <w:vAlign w:val="bottom"/>
            <w:gridSpan w:val="1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71"/>
        </w:trPr>
        <w:tc>
          <w:tcPr>
            <w:tcW w:w="160" w:type="dxa"/>
            <w:vAlign w:val="bottom"/>
          </w:tcPr>
          <w:p>
            <w:pPr>
              <w:spacing w:after="0"/>
              <w:rPr>
                <w:sz w:val="14"/>
                <w:szCs w:val="14"/>
                <w:color w:val="auto"/>
              </w:rPr>
            </w:pPr>
          </w:p>
        </w:tc>
        <w:tc>
          <w:tcPr>
            <w:tcW w:w="2800" w:type="dxa"/>
            <w:vAlign w:val="bottom"/>
            <w:tcBorders>
              <w:bottom w:val="single" w:sz="8" w:color="0000EE"/>
            </w:tcBorders>
            <w:gridSpan w:val="20"/>
          </w:tcPr>
          <w:p>
            <w:pPr>
              <w:spacing w:after="0" w:line="171" w:lineRule="exact"/>
              <w:rPr>
                <w:rFonts w:ascii="Arial" w:cs="Arial" w:eastAsia="Arial" w:hAnsi="Arial"/>
                <w:sz w:val="17"/>
                <w:szCs w:val="17"/>
                <w:color w:val="0000EE"/>
                <w:w w:val="99"/>
              </w:rPr>
            </w:pPr>
            <w:hyperlink w:anchor="page50">
              <w:r>
                <w:rPr>
                  <w:rFonts w:ascii="Arial" w:cs="Arial" w:eastAsia="Arial" w:hAnsi="Arial"/>
                  <w:sz w:val="17"/>
                  <w:szCs w:val="17"/>
                  <w:color w:val="0000EE"/>
                  <w:w w:val="99"/>
                </w:rPr>
                <w:t>Audit and Finance Committee Report</w:t>
              </w:r>
            </w:hyperlink>
          </w:p>
        </w:tc>
        <w:tc>
          <w:tcPr>
            <w:tcW w:w="5240" w:type="dxa"/>
            <w:vAlign w:val="bottom"/>
            <w:gridSpan w:val="16"/>
          </w:tcPr>
          <w:p>
            <w:pPr>
              <w:spacing w:after="0"/>
              <w:rPr>
                <w:sz w:val="14"/>
                <w:szCs w:val="14"/>
                <w:color w:val="auto"/>
              </w:rPr>
            </w:pPr>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44</w:t>
            </w:r>
          </w:p>
        </w:tc>
      </w:tr>
      <w:tr>
        <w:trPr>
          <w:trHeight w:val="171"/>
        </w:trPr>
        <w:tc>
          <w:tcPr>
            <w:tcW w:w="160" w:type="dxa"/>
            <w:vAlign w:val="bottom"/>
          </w:tcPr>
          <w:p>
            <w:pPr>
              <w:spacing w:after="0"/>
              <w:rPr>
                <w:sz w:val="14"/>
                <w:szCs w:val="14"/>
                <w:color w:val="auto"/>
              </w:rPr>
            </w:pPr>
          </w:p>
        </w:tc>
        <w:tc>
          <w:tcPr>
            <w:tcW w:w="3600" w:type="dxa"/>
            <w:vAlign w:val="bottom"/>
            <w:tcBorders>
              <w:bottom w:val="single" w:sz="8" w:color="0000EE"/>
            </w:tcBorders>
            <w:gridSpan w:val="27"/>
          </w:tcPr>
          <w:p>
            <w:pPr>
              <w:spacing w:after="0" w:line="171" w:lineRule="exact"/>
              <w:rPr>
                <w:rFonts w:ascii="Arial" w:cs="Arial" w:eastAsia="Arial" w:hAnsi="Arial"/>
                <w:sz w:val="17"/>
                <w:szCs w:val="17"/>
                <w:color w:val="0000EE"/>
                <w:w w:val="99"/>
              </w:rPr>
            </w:pPr>
            <w:hyperlink w:anchor="page51">
              <w:r>
                <w:rPr>
                  <w:rFonts w:ascii="Arial" w:cs="Arial" w:eastAsia="Arial" w:hAnsi="Arial"/>
                  <w:sz w:val="17"/>
                  <w:szCs w:val="17"/>
                  <w:color w:val="0000EE"/>
                  <w:w w:val="99"/>
                </w:rPr>
                <w:t>Independent Registered Public Accounting Firm</w:t>
              </w:r>
            </w:hyperlink>
          </w:p>
        </w:tc>
        <w:tc>
          <w:tcPr>
            <w:tcW w:w="4440" w:type="dxa"/>
            <w:vAlign w:val="bottom"/>
            <w:gridSpan w:val="9"/>
          </w:tcPr>
          <w:p>
            <w:pPr>
              <w:spacing w:after="0"/>
              <w:rPr>
                <w:sz w:val="14"/>
                <w:szCs w:val="14"/>
                <w:color w:val="auto"/>
              </w:rPr>
            </w:pPr>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45</w:t>
            </w:r>
          </w:p>
        </w:tc>
      </w:tr>
      <w:tr>
        <w:trPr>
          <w:trHeight w:val="171"/>
        </w:trPr>
        <w:tc>
          <w:tcPr>
            <w:tcW w:w="160" w:type="dxa"/>
            <w:vAlign w:val="bottom"/>
          </w:tcPr>
          <w:p>
            <w:pPr>
              <w:spacing w:after="0"/>
              <w:rPr>
                <w:sz w:val="14"/>
                <w:szCs w:val="14"/>
                <w:color w:val="auto"/>
              </w:rPr>
            </w:pPr>
          </w:p>
        </w:tc>
        <w:tc>
          <w:tcPr>
            <w:tcW w:w="8040" w:type="dxa"/>
            <w:vAlign w:val="bottom"/>
            <w:gridSpan w:val="36"/>
          </w:tcPr>
          <w:p>
            <w:pPr>
              <w:spacing w:after="0" w:line="171" w:lineRule="exact"/>
              <w:rPr>
                <w:rFonts w:ascii="Arial" w:cs="Arial" w:eastAsia="Arial" w:hAnsi="Arial"/>
                <w:sz w:val="17"/>
                <w:szCs w:val="17"/>
                <w:color w:val="0000EE"/>
              </w:rPr>
            </w:pPr>
            <w:hyperlink w:anchor="page51">
              <w:r>
                <w:rPr>
                  <w:rFonts w:ascii="Arial" w:cs="Arial" w:eastAsia="Arial" w:hAnsi="Arial"/>
                  <w:sz w:val="17"/>
                  <w:szCs w:val="17"/>
                  <w:color w:val="0000EE"/>
                </w:rPr>
                <w:t>Audit and Non-Audit Fees</w:t>
              </w:r>
            </w:hyperlink>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45</w:t>
            </w:r>
          </w:p>
        </w:tc>
      </w:tr>
      <w:tr>
        <w:trPr>
          <w:trHeight w:val="20"/>
        </w:trPr>
        <w:tc>
          <w:tcPr>
            <w:tcW w:w="16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60" w:type="dxa"/>
            <w:vAlign w:val="bottom"/>
            <w:gridSpan w:val="8"/>
            <w:shd w:val="clear" w:color="auto" w:fill="0000EE"/>
          </w:tcPr>
          <w:p>
            <w:pPr>
              <w:spacing w:after="0" w:line="20" w:lineRule="exact"/>
              <w:rPr>
                <w:sz w:val="1"/>
                <w:szCs w:val="1"/>
                <w:color w:val="auto"/>
              </w:rPr>
            </w:pPr>
          </w:p>
        </w:tc>
        <w:tc>
          <w:tcPr>
            <w:tcW w:w="960" w:type="dxa"/>
            <w:vAlign w:val="bottom"/>
            <w:gridSpan w:val="1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34"/>
        </w:trPr>
        <w:tc>
          <w:tcPr>
            <w:tcW w:w="8060" w:type="dxa"/>
            <w:vAlign w:val="bottom"/>
            <w:tcBorders>
              <w:bottom w:val="single" w:sz="8" w:color="0000EE"/>
            </w:tcBorders>
            <w:gridSpan w:val="36"/>
          </w:tcPr>
          <w:p>
            <w:pPr>
              <w:spacing w:after="0"/>
              <w:rPr>
                <w:rFonts w:ascii="Arial" w:cs="Arial" w:eastAsia="Arial" w:hAnsi="Arial"/>
                <w:sz w:val="17"/>
                <w:szCs w:val="17"/>
                <w:b w:val="1"/>
                <w:bCs w:val="1"/>
                <w:color w:val="0000EE"/>
                <w:w w:val="99"/>
              </w:rPr>
            </w:pPr>
            <w:hyperlink w:anchor="page52">
              <w:r>
                <w:rPr>
                  <w:rFonts w:ascii="Arial" w:cs="Arial" w:eastAsia="Arial" w:hAnsi="Arial"/>
                  <w:sz w:val="17"/>
                  <w:szCs w:val="17"/>
                  <w:b w:val="1"/>
                  <w:bCs w:val="1"/>
                  <w:color w:val="0000EE"/>
                  <w:w w:val="99"/>
                </w:rPr>
                <w:t>Proposal 4 — Approval of Amendment to Certificate of Incorporation to Eliminate Cumulative Voting</w:t>
              </w:r>
            </w:hyperlink>
          </w:p>
        </w:tc>
        <w:tc>
          <w:tcPr>
            <w:tcW w:w="14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7"/>
                <w:szCs w:val="17"/>
                <w:b w:val="1"/>
                <w:bCs w:val="1"/>
                <w:color w:val="auto"/>
              </w:rPr>
              <w:t>46</w:t>
            </w:r>
          </w:p>
        </w:tc>
      </w:tr>
      <w:tr>
        <w:trPr>
          <w:trHeight w:val="234"/>
        </w:trPr>
        <w:tc>
          <w:tcPr>
            <w:tcW w:w="8200" w:type="dxa"/>
            <w:vAlign w:val="bottom"/>
            <w:tcBorders>
              <w:bottom w:val="single" w:sz="8" w:color="0000EE"/>
            </w:tcBorders>
            <w:gridSpan w:val="37"/>
          </w:tcPr>
          <w:p>
            <w:pPr>
              <w:spacing w:after="0"/>
              <w:rPr>
                <w:rFonts w:ascii="Arial" w:cs="Arial" w:eastAsia="Arial" w:hAnsi="Arial"/>
                <w:sz w:val="17"/>
                <w:szCs w:val="17"/>
                <w:b w:val="1"/>
                <w:bCs w:val="1"/>
                <w:color w:val="0000EE"/>
                <w:w w:val="99"/>
              </w:rPr>
            </w:pPr>
            <w:hyperlink w:anchor="page54">
              <w:r>
                <w:rPr>
                  <w:rFonts w:ascii="Arial" w:cs="Arial" w:eastAsia="Arial" w:hAnsi="Arial"/>
                  <w:sz w:val="17"/>
                  <w:szCs w:val="17"/>
                  <w:b w:val="1"/>
                  <w:bCs w:val="1"/>
                  <w:color w:val="0000EE"/>
                  <w:w w:val="99"/>
                </w:rPr>
                <w:t>Proposal 5 — Amendment of Certificate of Incorporation to Eliminate Supermajority Voting Provisions</w:t>
              </w:r>
            </w:hyperlink>
          </w:p>
        </w:tc>
        <w:tc>
          <w:tcPr>
            <w:tcW w:w="2120" w:type="dxa"/>
            <w:vAlign w:val="bottom"/>
          </w:tcPr>
          <w:p>
            <w:pPr>
              <w:jc w:val="right"/>
              <w:spacing w:after="0"/>
              <w:rPr>
                <w:sz w:val="20"/>
                <w:szCs w:val="20"/>
                <w:color w:val="auto"/>
              </w:rPr>
            </w:pPr>
            <w:r>
              <w:rPr>
                <w:rFonts w:ascii="Arial" w:cs="Arial" w:eastAsia="Arial" w:hAnsi="Arial"/>
                <w:sz w:val="17"/>
                <w:szCs w:val="17"/>
                <w:b w:val="1"/>
                <w:bCs w:val="1"/>
                <w:color w:val="auto"/>
              </w:rPr>
              <w:t>48</w:t>
            </w:r>
          </w:p>
        </w:tc>
      </w:tr>
      <w:tr>
        <w:trPr>
          <w:trHeight w:val="234"/>
        </w:trPr>
        <w:tc>
          <w:tcPr>
            <w:tcW w:w="8200" w:type="dxa"/>
            <w:vAlign w:val="bottom"/>
            <w:gridSpan w:val="37"/>
          </w:tcPr>
          <w:p>
            <w:pPr>
              <w:spacing w:after="0"/>
              <w:rPr>
                <w:rFonts w:ascii="Arial" w:cs="Arial" w:eastAsia="Arial" w:hAnsi="Arial"/>
                <w:sz w:val="17"/>
                <w:szCs w:val="17"/>
                <w:b w:val="1"/>
                <w:bCs w:val="1"/>
                <w:color w:val="0000EE"/>
              </w:rPr>
            </w:pPr>
            <w:hyperlink w:anchor="page58">
              <w:r>
                <w:rPr>
                  <w:rFonts w:ascii="Arial" w:cs="Arial" w:eastAsia="Arial" w:hAnsi="Arial"/>
                  <w:sz w:val="17"/>
                  <w:szCs w:val="17"/>
                  <w:b w:val="1"/>
                  <w:bCs w:val="1"/>
                  <w:color w:val="0000EE"/>
                </w:rPr>
                <w:t>Proposal 6 — Stockholder Proposal to Amend the Proxy Access Bylaw</w:t>
              </w:r>
            </w:hyperlink>
          </w:p>
        </w:tc>
        <w:tc>
          <w:tcPr>
            <w:tcW w:w="2120" w:type="dxa"/>
            <w:vAlign w:val="bottom"/>
          </w:tcPr>
          <w:p>
            <w:pPr>
              <w:jc w:val="right"/>
              <w:spacing w:after="0"/>
              <w:rPr>
                <w:sz w:val="20"/>
                <w:szCs w:val="20"/>
                <w:color w:val="auto"/>
              </w:rPr>
            </w:pPr>
            <w:r>
              <w:rPr>
                <w:rFonts w:ascii="Arial" w:cs="Arial" w:eastAsia="Arial" w:hAnsi="Arial"/>
                <w:sz w:val="17"/>
                <w:szCs w:val="17"/>
                <w:b w:val="1"/>
                <w:bCs w:val="1"/>
                <w:color w:val="auto"/>
              </w:rPr>
              <w:t>52</w:t>
            </w:r>
          </w:p>
        </w:tc>
      </w:tr>
      <w:tr>
        <w:trPr>
          <w:trHeight w:val="234"/>
        </w:trPr>
        <w:tc>
          <w:tcPr>
            <w:tcW w:w="1440" w:type="dxa"/>
            <w:vAlign w:val="bottom"/>
            <w:tcBorders>
              <w:top w:val="single" w:sz="8" w:color="0000EE"/>
              <w:bottom w:val="single" w:sz="8" w:color="0000EE"/>
            </w:tcBorders>
            <w:gridSpan w:val="3"/>
          </w:tcPr>
          <w:p>
            <w:pPr>
              <w:spacing w:after="0"/>
              <w:rPr>
                <w:rFonts w:ascii="Arial" w:cs="Arial" w:eastAsia="Arial" w:hAnsi="Arial"/>
                <w:sz w:val="17"/>
                <w:szCs w:val="17"/>
                <w:b w:val="1"/>
                <w:bCs w:val="1"/>
                <w:color w:val="0000EE"/>
                <w:w w:val="98"/>
              </w:rPr>
            </w:pPr>
            <w:hyperlink w:anchor="page60">
              <w:r>
                <w:rPr>
                  <w:rFonts w:ascii="Arial" w:cs="Arial" w:eastAsia="Arial" w:hAnsi="Arial"/>
                  <w:sz w:val="17"/>
                  <w:szCs w:val="17"/>
                  <w:b w:val="1"/>
                  <w:bCs w:val="1"/>
                  <w:color w:val="0000EE"/>
                  <w:w w:val="98"/>
                </w:rPr>
                <w:t>Other Information</w:t>
              </w:r>
            </w:hyperlink>
          </w:p>
        </w:tc>
        <w:tc>
          <w:tcPr>
            <w:tcW w:w="4260" w:type="dxa"/>
            <w:vAlign w:val="bottom"/>
            <w:tcBorders>
              <w:top w:val="single" w:sz="8" w:color="0000EE"/>
            </w:tcBorders>
            <w:gridSpan w:val="31"/>
          </w:tcPr>
          <w:p>
            <w:pPr>
              <w:spacing w:after="0"/>
              <w:rPr>
                <w:sz w:val="20"/>
                <w:szCs w:val="20"/>
                <w:color w:val="auto"/>
              </w:rPr>
            </w:pPr>
          </w:p>
        </w:tc>
        <w:tc>
          <w:tcPr>
            <w:tcW w:w="2500" w:type="dxa"/>
            <w:vAlign w:val="bottom"/>
            <w:gridSpan w:val="3"/>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7"/>
                <w:szCs w:val="17"/>
                <w:b w:val="1"/>
                <w:bCs w:val="1"/>
                <w:color w:val="auto"/>
              </w:rPr>
              <w:t>54</w:t>
            </w:r>
          </w:p>
        </w:tc>
      </w:tr>
      <w:tr>
        <w:trPr>
          <w:trHeight w:val="171"/>
        </w:trPr>
        <w:tc>
          <w:tcPr>
            <w:tcW w:w="160" w:type="dxa"/>
            <w:vAlign w:val="bottom"/>
          </w:tcPr>
          <w:p>
            <w:pPr>
              <w:spacing w:after="0"/>
              <w:rPr>
                <w:sz w:val="14"/>
                <w:szCs w:val="14"/>
                <w:color w:val="auto"/>
              </w:rPr>
            </w:pPr>
          </w:p>
        </w:tc>
        <w:tc>
          <w:tcPr>
            <w:tcW w:w="8040" w:type="dxa"/>
            <w:vAlign w:val="bottom"/>
            <w:gridSpan w:val="36"/>
          </w:tcPr>
          <w:p>
            <w:pPr>
              <w:spacing w:after="0" w:line="171" w:lineRule="exact"/>
              <w:rPr>
                <w:rFonts w:ascii="Arial" w:cs="Arial" w:eastAsia="Arial" w:hAnsi="Arial"/>
                <w:sz w:val="17"/>
                <w:szCs w:val="17"/>
                <w:color w:val="0000EE"/>
              </w:rPr>
            </w:pPr>
            <w:hyperlink w:anchor="page60">
              <w:r>
                <w:rPr>
                  <w:rFonts w:ascii="Arial" w:cs="Arial" w:eastAsia="Arial" w:hAnsi="Arial"/>
                  <w:sz w:val="17"/>
                  <w:szCs w:val="17"/>
                  <w:color w:val="0000EE"/>
                </w:rPr>
                <w:t>Stock Ownership of Certain Beneficial Owners</w:t>
              </w:r>
            </w:hyperlink>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54</w:t>
            </w:r>
          </w:p>
        </w:tc>
      </w:tr>
      <w:tr>
        <w:trPr>
          <w:trHeight w:val="171"/>
        </w:trPr>
        <w:tc>
          <w:tcPr>
            <w:tcW w:w="160" w:type="dxa"/>
            <w:vAlign w:val="bottom"/>
          </w:tcPr>
          <w:p>
            <w:pPr>
              <w:spacing w:after="0"/>
              <w:rPr>
                <w:sz w:val="14"/>
                <w:szCs w:val="14"/>
                <w:color w:val="auto"/>
              </w:rPr>
            </w:pPr>
          </w:p>
        </w:tc>
        <w:tc>
          <w:tcPr>
            <w:tcW w:w="3160" w:type="dxa"/>
            <w:vAlign w:val="bottom"/>
            <w:tcBorders>
              <w:top w:val="single" w:sz="8" w:color="0000EE"/>
              <w:bottom w:val="single" w:sz="8" w:color="0000EE"/>
            </w:tcBorders>
            <w:gridSpan w:val="23"/>
          </w:tcPr>
          <w:p>
            <w:pPr>
              <w:spacing w:after="0" w:line="171" w:lineRule="exact"/>
              <w:rPr>
                <w:rFonts w:ascii="Arial" w:cs="Arial" w:eastAsia="Arial" w:hAnsi="Arial"/>
                <w:sz w:val="17"/>
                <w:szCs w:val="17"/>
                <w:color w:val="0000EE"/>
                <w:w w:val="99"/>
              </w:rPr>
            </w:pPr>
            <w:hyperlink w:anchor="page61">
              <w:r>
                <w:rPr>
                  <w:rFonts w:ascii="Arial" w:cs="Arial" w:eastAsia="Arial" w:hAnsi="Arial"/>
                  <w:sz w:val="17"/>
                  <w:szCs w:val="17"/>
                  <w:color w:val="0000EE"/>
                  <w:w w:val="99"/>
                </w:rPr>
                <w:t>Stock Ownership of Directors and Officers</w:t>
              </w:r>
            </w:hyperlink>
          </w:p>
        </w:tc>
        <w:tc>
          <w:tcPr>
            <w:tcW w:w="320" w:type="dxa"/>
            <w:vAlign w:val="bottom"/>
            <w:tcBorders>
              <w:top w:val="single" w:sz="8" w:color="0000EE"/>
            </w:tcBorders>
            <w:gridSpan w:val="3"/>
          </w:tcPr>
          <w:p>
            <w:pPr>
              <w:spacing w:after="0"/>
              <w:rPr>
                <w:sz w:val="14"/>
                <w:szCs w:val="14"/>
                <w:color w:val="auto"/>
              </w:rPr>
            </w:pPr>
          </w:p>
        </w:tc>
        <w:tc>
          <w:tcPr>
            <w:tcW w:w="4560" w:type="dxa"/>
            <w:vAlign w:val="bottom"/>
            <w:gridSpan w:val="10"/>
          </w:tcPr>
          <w:p>
            <w:pPr>
              <w:spacing w:after="0"/>
              <w:rPr>
                <w:sz w:val="14"/>
                <w:szCs w:val="14"/>
                <w:color w:val="auto"/>
              </w:rPr>
            </w:pPr>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55</w:t>
            </w:r>
          </w:p>
        </w:tc>
      </w:tr>
      <w:tr>
        <w:trPr>
          <w:trHeight w:val="171"/>
        </w:trPr>
        <w:tc>
          <w:tcPr>
            <w:tcW w:w="160" w:type="dxa"/>
            <w:vAlign w:val="bottom"/>
          </w:tcPr>
          <w:p>
            <w:pPr>
              <w:spacing w:after="0"/>
              <w:rPr>
                <w:sz w:val="14"/>
                <w:szCs w:val="14"/>
                <w:color w:val="auto"/>
              </w:rPr>
            </w:pPr>
          </w:p>
        </w:tc>
        <w:tc>
          <w:tcPr>
            <w:tcW w:w="3880" w:type="dxa"/>
            <w:vAlign w:val="bottom"/>
            <w:tcBorders>
              <w:bottom w:val="single" w:sz="8" w:color="0000EE"/>
            </w:tcBorders>
            <w:gridSpan w:val="28"/>
          </w:tcPr>
          <w:p>
            <w:pPr>
              <w:spacing w:after="0" w:line="171" w:lineRule="exact"/>
              <w:rPr>
                <w:rFonts w:ascii="Arial" w:cs="Arial" w:eastAsia="Arial" w:hAnsi="Arial"/>
                <w:sz w:val="17"/>
                <w:szCs w:val="17"/>
                <w:color w:val="0000EE"/>
                <w:w w:val="99"/>
              </w:rPr>
            </w:pPr>
            <w:hyperlink w:anchor="page62">
              <w:r>
                <w:rPr>
                  <w:rFonts w:ascii="Arial" w:cs="Arial" w:eastAsia="Arial" w:hAnsi="Arial"/>
                  <w:sz w:val="17"/>
                  <w:szCs w:val="17"/>
                  <w:color w:val="0000EE"/>
                  <w:w w:val="99"/>
                </w:rPr>
                <w:t>Stockholder Proposals for the 2021 Annual Meeting</w:t>
              </w:r>
            </w:hyperlink>
          </w:p>
        </w:tc>
        <w:tc>
          <w:tcPr>
            <w:tcW w:w="4160" w:type="dxa"/>
            <w:vAlign w:val="bottom"/>
            <w:gridSpan w:val="8"/>
          </w:tcPr>
          <w:p>
            <w:pPr>
              <w:spacing w:after="0"/>
              <w:rPr>
                <w:sz w:val="14"/>
                <w:szCs w:val="14"/>
                <w:color w:val="auto"/>
              </w:rPr>
            </w:pPr>
          </w:p>
        </w:tc>
        <w:tc>
          <w:tcPr>
            <w:tcW w:w="2120" w:type="dxa"/>
            <w:vAlign w:val="bottom"/>
          </w:tcPr>
          <w:p>
            <w:pPr>
              <w:jc w:val="right"/>
              <w:spacing w:after="0" w:line="171" w:lineRule="exact"/>
              <w:rPr>
                <w:sz w:val="20"/>
                <w:szCs w:val="20"/>
                <w:color w:val="auto"/>
              </w:rPr>
            </w:pPr>
            <w:r>
              <w:rPr>
                <w:rFonts w:ascii="Arial" w:cs="Arial" w:eastAsia="Arial" w:hAnsi="Arial"/>
                <w:sz w:val="17"/>
                <w:szCs w:val="17"/>
                <w:color w:val="auto"/>
              </w:rPr>
              <w:t>56</w:t>
            </w:r>
          </w:p>
        </w:tc>
      </w:tr>
      <w:tr>
        <w:trPr>
          <w:trHeight w:val="234"/>
        </w:trPr>
        <w:tc>
          <w:tcPr>
            <w:tcW w:w="4780" w:type="dxa"/>
            <w:vAlign w:val="bottom"/>
            <w:tcBorders>
              <w:bottom w:val="single" w:sz="8" w:color="0000EE"/>
            </w:tcBorders>
            <w:gridSpan w:val="33"/>
          </w:tcPr>
          <w:p>
            <w:pPr>
              <w:spacing w:after="0"/>
              <w:rPr>
                <w:rFonts w:ascii="Arial" w:cs="Arial" w:eastAsia="Arial" w:hAnsi="Arial"/>
                <w:sz w:val="17"/>
                <w:szCs w:val="17"/>
                <w:b w:val="1"/>
                <w:bCs w:val="1"/>
                <w:color w:val="0000EE"/>
                <w:w w:val="98"/>
              </w:rPr>
            </w:pPr>
            <w:hyperlink w:anchor="page63">
              <w:r>
                <w:rPr>
                  <w:rFonts w:ascii="Arial" w:cs="Arial" w:eastAsia="Arial" w:hAnsi="Arial"/>
                  <w:sz w:val="17"/>
                  <w:szCs w:val="17"/>
                  <w:b w:val="1"/>
                  <w:bCs w:val="1"/>
                  <w:color w:val="0000EE"/>
                  <w:w w:val="98"/>
                </w:rPr>
                <w:t>Information About Voting Rights and Solicitation of Proxies</w:t>
              </w:r>
            </w:hyperlink>
          </w:p>
        </w:tc>
        <w:tc>
          <w:tcPr>
            <w:tcW w:w="3420" w:type="dxa"/>
            <w:vAlign w:val="bottom"/>
            <w:gridSpan w:val="4"/>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7"/>
                <w:szCs w:val="17"/>
                <w:b w:val="1"/>
                <w:bCs w:val="1"/>
                <w:color w:val="auto"/>
              </w:rPr>
              <w:t>57</w:t>
            </w:r>
          </w:p>
        </w:tc>
      </w:tr>
      <w:tr>
        <w:trPr>
          <w:trHeight w:val="234"/>
        </w:trPr>
        <w:tc>
          <w:tcPr>
            <w:tcW w:w="8200" w:type="dxa"/>
            <w:vAlign w:val="bottom"/>
            <w:gridSpan w:val="37"/>
          </w:tcPr>
          <w:p>
            <w:pPr>
              <w:spacing w:after="0"/>
              <w:rPr>
                <w:rFonts w:ascii="Arial" w:cs="Arial" w:eastAsia="Arial" w:hAnsi="Arial"/>
                <w:sz w:val="17"/>
                <w:szCs w:val="17"/>
                <w:b w:val="1"/>
                <w:bCs w:val="1"/>
                <w:color w:val="0000EE"/>
              </w:rPr>
            </w:pPr>
            <w:hyperlink w:anchor="page66">
              <w:r>
                <w:rPr>
                  <w:rFonts w:ascii="Arial" w:cs="Arial" w:eastAsia="Arial" w:hAnsi="Arial"/>
                  <w:sz w:val="17"/>
                  <w:szCs w:val="17"/>
                  <w:b w:val="1"/>
                  <w:bCs w:val="1"/>
                  <w:color w:val="0000EE"/>
                </w:rPr>
                <w:t>Internet Availability of Proxy Materials</w:t>
              </w:r>
            </w:hyperlink>
          </w:p>
        </w:tc>
        <w:tc>
          <w:tcPr>
            <w:tcW w:w="2120" w:type="dxa"/>
            <w:vAlign w:val="bottom"/>
          </w:tcPr>
          <w:p>
            <w:pPr>
              <w:jc w:val="right"/>
              <w:spacing w:after="0"/>
              <w:rPr>
                <w:sz w:val="20"/>
                <w:szCs w:val="20"/>
                <w:color w:val="auto"/>
              </w:rPr>
            </w:pPr>
            <w:r>
              <w:rPr>
                <w:rFonts w:ascii="Arial" w:cs="Arial" w:eastAsia="Arial" w:hAnsi="Arial"/>
                <w:sz w:val="17"/>
                <w:szCs w:val="17"/>
                <w:b w:val="1"/>
                <w:bCs w:val="1"/>
                <w:color w:val="auto"/>
              </w:rPr>
              <w:t>60</w:t>
            </w:r>
          </w:p>
        </w:tc>
      </w:tr>
      <w:tr>
        <w:trPr>
          <w:trHeight w:val="20"/>
        </w:trPr>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ectPr>
          <w:pgSz w:w="11900" w:h="16838" w:orient="portrait"/>
          <w:cols w:equalWidth="0" w:num="1">
            <w:col w:w="10760"/>
          </w:cols>
          <w:pgMar w:left="320" w:top="441" w:right="81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93" w:lineRule="exact"/>
        <w:rPr>
          <w:sz w:val="20"/>
          <w:szCs w:val="20"/>
          <w:color w:val="auto"/>
        </w:rPr>
      </w:pPr>
    </w:p>
    <w:p>
      <w:pPr>
        <w:ind w:left="440" w:right="140"/>
        <w:spacing w:after="0" w:line="237" w:lineRule="auto"/>
        <w:rPr>
          <w:sz w:val="20"/>
          <w:szCs w:val="20"/>
          <w:color w:val="auto"/>
        </w:rPr>
      </w:pPr>
      <w:r>
        <w:rPr>
          <w:rFonts w:ascii="Arial" w:cs="Arial" w:eastAsia="Arial" w:hAnsi="Arial"/>
          <w:sz w:val="17"/>
          <w:szCs w:val="17"/>
          <w:color w:val="auto"/>
        </w:rPr>
        <w:t>At the annual meeting, thirteen directors are to be elected to serve for one-year terms to hold such position until their successors are elected and qualified unless any such director resigns or is removed prior to the end of such term. All nominees have been nominated by the Board of Directors (the “Board”) based on the recommendation of the Corporate Governance and Ethics Committee. To the best knowledge of the Board, all of the nominees are able and willing to serve. Each nominee has consented to be named in this proxy statement and to serve if elected.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Majority Voting Standard in Uncontested Director Elections</w:t>
      </w:r>
    </w:p>
    <w:p>
      <w:pPr>
        <w:spacing w:after="0" w:line="218" w:lineRule="exact"/>
        <w:rPr>
          <w:sz w:val="20"/>
          <w:szCs w:val="20"/>
          <w:color w:val="auto"/>
        </w:rPr>
      </w:pPr>
    </w:p>
    <w:p>
      <w:pPr>
        <w:ind w:left="440"/>
        <w:spacing w:after="0" w:line="237" w:lineRule="auto"/>
        <w:rPr>
          <w:sz w:val="20"/>
          <w:szCs w:val="20"/>
          <w:color w:val="auto"/>
        </w:rPr>
      </w:pPr>
      <w:r>
        <w:rPr>
          <w:rFonts w:ascii="Arial" w:cs="Arial" w:eastAsia="Arial" w:hAnsi="Arial"/>
          <w:sz w:val="17"/>
          <w:szCs w:val="17"/>
          <w:color w:val="auto"/>
        </w:rPr>
        <w:t>We have adopted majority voting procedures for the election of directors in uncontested elections. In an uncontested election, nominees must receive more “for” than “against” votes to be elected. Abstentions are not counted as votes cast. As provided in our bylaws, a “contested election” is one in which the number of nominees exceeds the number of directors to be elected. The election of directors at the 2020 annual meeting is an uncontested election.</w:t>
      </w:r>
    </w:p>
    <w:p>
      <w:pPr>
        <w:spacing w:after="0" w:line="194" w:lineRule="exact"/>
        <w:rPr>
          <w:sz w:val="20"/>
          <w:szCs w:val="20"/>
          <w:color w:val="auto"/>
        </w:rPr>
      </w:pPr>
    </w:p>
    <w:p>
      <w:pPr>
        <w:ind w:left="440" w:right="100"/>
        <w:spacing w:after="0" w:line="237" w:lineRule="auto"/>
        <w:rPr>
          <w:sz w:val="20"/>
          <w:szCs w:val="20"/>
          <w:color w:val="auto"/>
        </w:rPr>
      </w:pPr>
      <w:r>
        <w:rPr>
          <w:rFonts w:ascii="Arial" w:cs="Arial" w:eastAsia="Arial" w:hAnsi="Arial"/>
          <w:sz w:val="17"/>
          <w:szCs w:val="17"/>
          <w:color w:val="auto"/>
        </w:rPr>
        <w:t>If an incumbent director receives more “against” than “for” votes, he or she is expected to tender his or her resignation in accordance with our Corporate Governance Guidelines. The Corporate Governance and Ethics Committee will consider the offer of resignation and recommend to the Board the action to be taken. The Board will promptly disclose its decision as to whether to accept or reject the tendered resignation in a press release, Current Report on Form 8-K or some other public announcement.</w:t>
      </w:r>
    </w:p>
    <w:p>
      <w:pPr>
        <w:spacing w:after="0" w:line="194" w:lineRule="exact"/>
        <w:rPr>
          <w:sz w:val="20"/>
          <w:szCs w:val="20"/>
          <w:color w:val="auto"/>
        </w:rPr>
      </w:pPr>
    </w:p>
    <w:p>
      <w:pPr>
        <w:ind w:left="440"/>
        <w:spacing w:after="0" w:line="237" w:lineRule="auto"/>
        <w:rPr>
          <w:sz w:val="20"/>
          <w:szCs w:val="20"/>
          <w:color w:val="auto"/>
        </w:rPr>
      </w:pPr>
      <w:r>
        <w:rPr>
          <w:rFonts w:ascii="Arial" w:cs="Arial" w:eastAsia="Arial" w:hAnsi="Arial"/>
          <w:sz w:val="17"/>
          <w:szCs w:val="17"/>
          <w:color w:val="auto"/>
        </w:rPr>
        <w:t>Shares of common stock represented by properly executed, timely received and unrevoked proxies will be voted as instructed in the proxy. In the absence of specific instructions, the shares represented by properly executed, timely received and unrevoked proxies will be voted “for” each nominee. If any of the nominees listed below becomes unable to stand for election at the annual meeting, the proxy holders intend to vote for any person designated by the Board to replace the nominee unable to serve.</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Recommendation of the Board of Directors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483E65"/>
        </w:rPr>
        <w:t>The Board of Directors unanimously recommends a vote FOR each nominee.</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Nominees for Election to the Board of Directors</w:t>
      </w:r>
    </w:p>
    <w:p>
      <w:pPr>
        <w:spacing w:after="0" w:line="218" w:lineRule="exact"/>
        <w:rPr>
          <w:sz w:val="20"/>
          <w:szCs w:val="20"/>
          <w:color w:val="auto"/>
        </w:rPr>
      </w:pPr>
    </w:p>
    <w:p>
      <w:pPr>
        <w:ind w:left="440" w:right="60"/>
        <w:spacing w:after="0" w:line="236" w:lineRule="auto"/>
        <w:rPr>
          <w:sz w:val="20"/>
          <w:szCs w:val="20"/>
          <w:color w:val="auto"/>
        </w:rPr>
      </w:pPr>
      <w:r>
        <w:rPr>
          <w:rFonts w:ascii="Arial" w:cs="Arial" w:eastAsia="Arial" w:hAnsi="Arial"/>
          <w:sz w:val="17"/>
          <w:szCs w:val="17"/>
          <w:color w:val="auto"/>
        </w:rPr>
        <w:t>Set forth below is a brief biography of each nominee for election as a director and a brief discussion of the specific experience, qualifications, attributes or skills that led to the Board’s conclusion that the nominee should serve as a director of our company. The Board evaluates each individual in the context of the Board as a whole, with the objective of recommending to stockholders a group of nominees with complementary skills and a diverse mix of backgrounds, perspectives and expertise beneficial to the broad business diversity of our company. Our board membership criteria and director nomination process are described in the “Corporate Governance” section of this proxy statement.</w:t>
      </w:r>
    </w:p>
    <w:p>
      <w:pPr>
        <w:spacing w:after="0" w:line="115" w:lineRule="exact"/>
        <w:rPr>
          <w:sz w:val="20"/>
          <w:szCs w:val="20"/>
          <w:color w:val="auto"/>
        </w:rPr>
      </w:pPr>
    </w:p>
    <w:p>
      <w:pPr>
        <w:jc w:val="right"/>
        <w:spacing w:after="0"/>
        <w:tabs>
          <w:tab w:leader="none" w:pos="260" w:val="left"/>
          <w:tab w:leader="none" w:pos="6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1</w:t>
      </w:r>
    </w:p>
    <w:p>
      <w:pPr>
        <w:sectPr>
          <w:pgSz w:w="11900" w:h="16838" w:orient="portrait"/>
          <w:cols w:equalWidth="0" w:num="1">
            <w:col w:w="10800"/>
          </w:cols>
          <w:pgMar w:left="320" w:top="441" w:right="77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262890</wp:posOffset>
            </wp:positionV>
            <wp:extent cx="927735" cy="10814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27735" cy="1081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483E65"/>
        </w:rPr>
        <w:t>GREGORY R. DAHLBERG</w:t>
      </w:r>
    </w:p>
    <w:p>
      <w:pPr>
        <w:spacing w:after="0" w:line="10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Director Since 2016</w:t>
      </w:r>
    </w:p>
    <w:p>
      <w:pPr>
        <w:spacing w:after="0" w:line="5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Age: 68</w:t>
      </w:r>
    </w:p>
    <w:p>
      <w:pPr>
        <w:spacing w:after="0" w:line="5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Leidos Committees:</w:t>
      </w:r>
    </w:p>
    <w:p>
      <w:pPr>
        <w:spacing w:after="0" w:line="10"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Audit &amp; Finance</w:t>
      </w:r>
    </w:p>
    <w:p>
      <w:pPr>
        <w:ind w:left="2620"/>
        <w:spacing w:after="0"/>
        <w:rPr>
          <w:sz w:val="20"/>
          <w:szCs w:val="20"/>
          <w:color w:val="auto"/>
        </w:rPr>
      </w:pPr>
      <w:r>
        <w:rPr>
          <w:rFonts w:ascii="Arial" w:cs="Arial" w:eastAsia="Arial" w:hAnsi="Arial"/>
          <w:sz w:val="17"/>
          <w:szCs w:val="17"/>
          <w:color w:val="auto"/>
        </w:rPr>
        <w:t>Human Resources &amp; Compensation</w:t>
      </w:r>
    </w:p>
    <w:p>
      <w:pPr>
        <w:spacing w:after="0" w:line="89" w:lineRule="exact"/>
        <w:rPr>
          <w:sz w:val="20"/>
          <w:szCs w:val="20"/>
          <w:color w:val="auto"/>
        </w:rPr>
      </w:pPr>
    </w:p>
    <w:p>
      <w:pPr>
        <w:ind w:left="440" w:right="220"/>
        <w:spacing w:after="0" w:line="242" w:lineRule="auto"/>
        <w:rPr>
          <w:sz w:val="20"/>
          <w:szCs w:val="20"/>
          <w:color w:val="auto"/>
        </w:rPr>
      </w:pPr>
      <w:r>
        <w:rPr>
          <w:rFonts w:ascii="Arial" w:cs="Arial" w:eastAsia="Arial" w:hAnsi="Arial"/>
          <w:sz w:val="17"/>
          <w:szCs w:val="17"/>
          <w:b w:val="1"/>
          <w:bCs w:val="1"/>
          <w:color w:val="auto"/>
        </w:rPr>
        <w:t xml:space="preserve">Mr. Dahlberg </w:t>
      </w:r>
      <w:r>
        <w:rPr>
          <w:rFonts w:ascii="Arial" w:cs="Arial" w:eastAsia="Arial" w:hAnsi="Arial"/>
          <w:sz w:val="17"/>
          <w:szCs w:val="17"/>
          <w:color w:val="auto"/>
        </w:rPr>
        <w:t>previously held several senior executive positions at Lockheed Martin, including as the Senior Vice President for</w:t>
      </w:r>
      <w:r>
        <w:rPr>
          <w:rFonts w:ascii="Arial" w:cs="Arial" w:eastAsia="Arial" w:hAnsi="Arial"/>
          <w:sz w:val="17"/>
          <w:szCs w:val="17"/>
          <w:b w:val="1"/>
          <w:bCs w:val="1"/>
          <w:color w:val="auto"/>
        </w:rPr>
        <w:t xml:space="preserve"> </w:t>
      </w:r>
      <w:r>
        <w:rPr>
          <w:rFonts w:ascii="Arial" w:cs="Arial" w:eastAsia="Arial" w:hAnsi="Arial"/>
          <w:sz w:val="17"/>
          <w:szCs w:val="17"/>
          <w:color w:val="auto"/>
        </w:rPr>
        <w:t>Washington Operations from 2009 to 2015. Prior to his years at Lockheed Martin, Mr. Dahlberg served as Minority Staff Director of the House Appropriations Defense Subcommittee with jurisdiction over funding for all Department of Defense and intelligence agency programs. Mr. Dahlberg was confirmed by the Senate as the 26th Under Secretary of the Army in 2000 and also served as Acting Secretary of the Army from January 2001 to March 2001.</w:t>
      </w:r>
    </w:p>
    <w:p>
      <w:pPr>
        <w:spacing w:after="0" w:line="191" w:lineRule="exact"/>
        <w:rPr>
          <w:sz w:val="20"/>
          <w:szCs w:val="20"/>
          <w:color w:val="auto"/>
        </w:rPr>
      </w:pPr>
    </w:p>
    <w:p>
      <w:pPr>
        <w:ind w:left="440"/>
        <w:spacing w:after="0" w:line="243" w:lineRule="auto"/>
        <w:rPr>
          <w:sz w:val="20"/>
          <w:szCs w:val="20"/>
          <w:color w:val="auto"/>
        </w:rPr>
      </w:pPr>
      <w:r>
        <w:rPr>
          <w:rFonts w:ascii="Arial" w:cs="Arial" w:eastAsia="Arial" w:hAnsi="Arial"/>
          <w:sz w:val="17"/>
          <w:szCs w:val="17"/>
          <w:color w:val="auto"/>
        </w:rPr>
        <w:t>Mr. Dahlberg’s extensive background in government and the defense industry provides our Board with experience that is directly relevant to our business as a government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289560</wp:posOffset>
            </wp:positionV>
            <wp:extent cx="927735" cy="1081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27735" cy="1081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620" w:type="dxa"/>
        <w:tblCellMar>
          <w:top w:w="0" w:type="dxa"/>
          <w:left w:w="0" w:type="dxa"/>
          <w:bottom w:w="0" w:type="dxa"/>
          <w:right w:w="0" w:type="dxa"/>
        </w:tblCellMar>
      </w:tblPr>
      <w:tr>
        <w:trPr>
          <w:trHeight w:val="249"/>
        </w:trPr>
        <w:tc>
          <w:tcPr>
            <w:tcW w:w="3120" w:type="dxa"/>
            <w:vAlign w:val="bottom"/>
          </w:tcPr>
          <w:p>
            <w:pPr>
              <w:spacing w:after="0"/>
              <w:rPr>
                <w:sz w:val="20"/>
                <w:szCs w:val="20"/>
                <w:color w:val="auto"/>
              </w:rPr>
            </w:pPr>
            <w:r>
              <w:rPr>
                <w:rFonts w:ascii="Arial" w:cs="Arial" w:eastAsia="Arial" w:hAnsi="Arial"/>
                <w:sz w:val="17"/>
                <w:szCs w:val="17"/>
                <w:b w:val="1"/>
                <w:bCs w:val="1"/>
                <w:color w:val="483E65"/>
              </w:rPr>
              <w:t>DAVID G. FUBINI</w:t>
            </w:r>
          </w:p>
        </w:tc>
        <w:tc>
          <w:tcPr>
            <w:tcW w:w="3760" w:type="dxa"/>
            <w:vAlign w:val="bottom"/>
          </w:tcPr>
          <w:p>
            <w:pPr>
              <w:ind w:left="400"/>
              <w:spacing w:after="0"/>
              <w:rPr>
                <w:sz w:val="20"/>
                <w:szCs w:val="20"/>
                <w:color w:val="auto"/>
              </w:rPr>
            </w:pPr>
            <w:r>
              <w:rPr>
                <w:rFonts w:ascii="Arial" w:cs="Arial" w:eastAsia="Arial" w:hAnsi="Arial"/>
                <w:sz w:val="17"/>
                <w:szCs w:val="17"/>
                <w:b w:val="1"/>
                <w:bCs w:val="1"/>
                <w:color w:val="auto"/>
              </w:rPr>
              <w:t>Current Public Company Directorships</w:t>
            </w:r>
          </w:p>
        </w:tc>
        <w:tc>
          <w:tcPr>
            <w:tcW w:w="0" w:type="dxa"/>
            <w:vAlign w:val="bottom"/>
          </w:tcPr>
          <w:p>
            <w:pPr>
              <w:spacing w:after="0"/>
              <w:rPr>
                <w:sz w:val="1"/>
                <w:szCs w:val="1"/>
                <w:color w:val="auto"/>
              </w:rPr>
            </w:pPr>
          </w:p>
        </w:tc>
      </w:tr>
      <w:tr>
        <w:trPr>
          <w:trHeight w:val="203"/>
        </w:trPr>
        <w:tc>
          <w:tcPr>
            <w:tcW w:w="3120" w:type="dxa"/>
            <w:vAlign w:val="bottom"/>
            <w:vMerge w:val="restart"/>
          </w:tcPr>
          <w:p>
            <w:pPr>
              <w:spacing w:after="0"/>
              <w:rPr>
                <w:sz w:val="20"/>
                <w:szCs w:val="20"/>
                <w:color w:val="auto"/>
              </w:rPr>
            </w:pPr>
            <w:r>
              <w:rPr>
                <w:rFonts w:ascii="Arial" w:cs="Arial" w:eastAsia="Arial" w:hAnsi="Arial"/>
                <w:sz w:val="17"/>
                <w:szCs w:val="17"/>
                <w:b w:val="1"/>
                <w:bCs w:val="1"/>
                <w:color w:val="auto"/>
              </w:rPr>
              <w:t>Director Since 2013</w:t>
            </w:r>
          </w:p>
        </w:tc>
        <w:tc>
          <w:tcPr>
            <w:tcW w:w="3760" w:type="dxa"/>
            <w:vAlign w:val="bottom"/>
          </w:tcPr>
          <w:p>
            <w:pPr>
              <w:ind w:left="400"/>
              <w:spacing w:after="0"/>
              <w:rPr>
                <w:sz w:val="20"/>
                <w:szCs w:val="20"/>
                <w:color w:val="auto"/>
              </w:rPr>
            </w:pPr>
            <w:r>
              <w:rPr>
                <w:rFonts w:ascii="Arial" w:cs="Arial" w:eastAsia="Arial" w:hAnsi="Arial"/>
                <w:sz w:val="17"/>
                <w:szCs w:val="17"/>
                <w:color w:val="auto"/>
              </w:rPr>
              <w:t>Bain Capital Specialty Finance, Inc.</w:t>
            </w:r>
          </w:p>
        </w:tc>
        <w:tc>
          <w:tcPr>
            <w:tcW w:w="0" w:type="dxa"/>
            <w:vAlign w:val="bottom"/>
          </w:tcPr>
          <w:p>
            <w:pPr>
              <w:spacing w:after="0"/>
              <w:rPr>
                <w:sz w:val="1"/>
                <w:szCs w:val="1"/>
                <w:color w:val="auto"/>
              </w:rPr>
            </w:pPr>
          </w:p>
        </w:tc>
      </w:tr>
      <w:tr>
        <w:trPr>
          <w:trHeight w:val="76"/>
        </w:trPr>
        <w:tc>
          <w:tcPr>
            <w:tcW w:w="3120" w:type="dxa"/>
            <w:vAlign w:val="bottom"/>
            <w:vMerge w:val="continue"/>
          </w:tcPr>
          <w:p>
            <w:pPr>
              <w:spacing w:after="0"/>
              <w:rPr>
                <w:sz w:val="6"/>
                <w:szCs w:val="6"/>
                <w:color w:val="auto"/>
              </w:rPr>
            </w:pPr>
          </w:p>
        </w:tc>
        <w:tc>
          <w:tcPr>
            <w:tcW w:w="3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3120" w:type="dxa"/>
            <w:vAlign w:val="bottom"/>
          </w:tcPr>
          <w:p>
            <w:pPr>
              <w:spacing w:after="0"/>
              <w:rPr>
                <w:sz w:val="20"/>
                <w:szCs w:val="20"/>
                <w:color w:val="auto"/>
              </w:rPr>
            </w:pPr>
            <w:r>
              <w:rPr>
                <w:rFonts w:ascii="Arial" w:cs="Arial" w:eastAsia="Arial" w:hAnsi="Arial"/>
                <w:sz w:val="17"/>
                <w:szCs w:val="17"/>
                <w:b w:val="1"/>
                <w:bCs w:val="1"/>
                <w:color w:val="auto"/>
              </w:rPr>
              <w:t>Age: 66</w:t>
            </w: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3120" w:type="dxa"/>
            <w:vAlign w:val="bottom"/>
          </w:tcPr>
          <w:p>
            <w:pPr>
              <w:spacing w:after="0"/>
              <w:rPr>
                <w:sz w:val="20"/>
                <w:szCs w:val="20"/>
                <w:color w:val="auto"/>
              </w:rPr>
            </w:pPr>
            <w:r>
              <w:rPr>
                <w:rFonts w:ascii="Arial" w:cs="Arial" w:eastAsia="Arial" w:hAnsi="Arial"/>
                <w:sz w:val="17"/>
                <w:szCs w:val="17"/>
                <w:b w:val="1"/>
                <w:bCs w:val="1"/>
                <w:color w:val="auto"/>
              </w:rPr>
              <w:t>Leidos Committees:</w:t>
            </w:r>
          </w:p>
        </w:tc>
        <w:tc>
          <w:tcPr>
            <w:tcW w:w="3760" w:type="dxa"/>
            <w:vAlign w:val="bottom"/>
          </w:tcPr>
          <w:p>
            <w:pPr>
              <w:ind w:left="400"/>
              <w:spacing w:after="0"/>
              <w:rPr>
                <w:sz w:val="20"/>
                <w:szCs w:val="20"/>
                <w:color w:val="auto"/>
              </w:rPr>
            </w:pPr>
            <w:r>
              <w:rPr>
                <w:rFonts w:ascii="Arial" w:cs="Arial" w:eastAsia="Arial" w:hAnsi="Arial"/>
                <w:sz w:val="17"/>
                <w:szCs w:val="17"/>
                <w:b w:val="1"/>
                <w:bCs w:val="1"/>
                <w:color w:val="auto"/>
                <w:w w:val="98"/>
              </w:rPr>
              <w:t>Former Directorships During Past 5 Years</w:t>
            </w:r>
          </w:p>
        </w:tc>
        <w:tc>
          <w:tcPr>
            <w:tcW w:w="0" w:type="dxa"/>
            <w:vAlign w:val="bottom"/>
          </w:tcPr>
          <w:p>
            <w:pPr>
              <w:spacing w:after="0"/>
              <w:rPr>
                <w:sz w:val="1"/>
                <w:szCs w:val="1"/>
                <w:color w:val="auto"/>
              </w:rPr>
            </w:pPr>
          </w:p>
        </w:tc>
      </w:tr>
      <w:tr>
        <w:trPr>
          <w:trHeight w:val="191"/>
        </w:trPr>
        <w:tc>
          <w:tcPr>
            <w:tcW w:w="3120" w:type="dxa"/>
            <w:vAlign w:val="bottom"/>
          </w:tcPr>
          <w:p>
            <w:pPr>
              <w:spacing w:after="0" w:line="191" w:lineRule="exact"/>
              <w:rPr>
                <w:sz w:val="20"/>
                <w:szCs w:val="20"/>
                <w:color w:val="auto"/>
              </w:rPr>
            </w:pPr>
            <w:r>
              <w:rPr>
                <w:rFonts w:ascii="Arial" w:cs="Arial" w:eastAsia="Arial" w:hAnsi="Arial"/>
                <w:sz w:val="17"/>
                <w:szCs w:val="17"/>
                <w:color w:val="auto"/>
              </w:rPr>
              <w:t>Human Resources &amp; Compensation</w:t>
            </w:r>
          </w:p>
        </w:tc>
        <w:tc>
          <w:tcPr>
            <w:tcW w:w="3760" w:type="dxa"/>
            <w:vAlign w:val="bottom"/>
          </w:tcPr>
          <w:p>
            <w:pPr>
              <w:ind w:left="400"/>
              <w:spacing w:after="0" w:line="191" w:lineRule="exact"/>
              <w:rPr>
                <w:sz w:val="20"/>
                <w:szCs w:val="20"/>
                <w:color w:val="auto"/>
              </w:rPr>
            </w:pPr>
            <w:r>
              <w:rPr>
                <w:rFonts w:ascii="Arial" w:cs="Arial" w:eastAsia="Arial" w:hAnsi="Arial"/>
                <w:sz w:val="17"/>
                <w:szCs w:val="17"/>
                <w:color w:val="auto"/>
              </w:rPr>
              <w:t>Compuware Corporation</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Arial" w:cs="Arial" w:eastAsia="Arial" w:hAnsi="Arial"/>
                <w:sz w:val="17"/>
                <w:szCs w:val="17"/>
                <w:color w:val="auto"/>
              </w:rPr>
              <w:t>Technology &amp; Information Security</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440" w:right="180"/>
        <w:spacing w:after="0" w:line="245" w:lineRule="auto"/>
        <w:rPr>
          <w:sz w:val="20"/>
          <w:szCs w:val="20"/>
          <w:color w:val="auto"/>
        </w:rPr>
      </w:pPr>
      <w:r>
        <w:rPr>
          <w:rFonts w:ascii="Arial" w:cs="Arial" w:eastAsia="Arial" w:hAnsi="Arial"/>
          <w:sz w:val="17"/>
          <w:szCs w:val="17"/>
          <w:b w:val="1"/>
          <w:bCs w:val="1"/>
          <w:color w:val="auto"/>
        </w:rPr>
        <w:t xml:space="preserve">Mr. Fubini </w:t>
      </w:r>
      <w:r>
        <w:rPr>
          <w:rFonts w:ascii="Arial" w:cs="Arial" w:eastAsia="Arial" w:hAnsi="Arial"/>
          <w:sz w:val="17"/>
          <w:szCs w:val="17"/>
          <w:color w:val="auto"/>
        </w:rPr>
        <w:t>is a Senior Lecturer at Harvard Business School and a Director Emeritus at McKinsey &amp; Company, a consulting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he was a Senior Director of McKinsey where he worked for over 33 years. He was McKinsey’s Managing Director of the Boston Office, the past leader of the North American Organization Practice and the founder and leader of the Firm’s Worldwide Merger Integration Practice.</w:t>
      </w:r>
    </w:p>
    <w:p>
      <w:pPr>
        <w:spacing w:after="0" w:line="187" w:lineRule="exact"/>
        <w:rPr>
          <w:sz w:val="20"/>
          <w:szCs w:val="20"/>
          <w:color w:val="auto"/>
        </w:rPr>
      </w:pPr>
    </w:p>
    <w:p>
      <w:pPr>
        <w:ind w:left="440" w:right="20"/>
        <w:spacing w:after="0" w:line="243" w:lineRule="auto"/>
        <w:rPr>
          <w:sz w:val="20"/>
          <w:szCs w:val="20"/>
          <w:color w:val="auto"/>
        </w:rPr>
      </w:pPr>
      <w:r>
        <w:rPr>
          <w:rFonts w:ascii="Arial" w:cs="Arial" w:eastAsia="Arial" w:hAnsi="Arial"/>
          <w:sz w:val="17"/>
          <w:szCs w:val="17"/>
          <w:color w:val="auto"/>
        </w:rPr>
        <w:t>Mr. Fubini’s expertise in architecting and executing organizational transformations, his extensive involvement in a wide array of corporate transactions and his executive management experience at McKinsey offer valuable insights to our Board.</w:t>
      </w:r>
    </w:p>
    <w:p>
      <w:pPr>
        <w:spacing w:after="0" w:line="110" w:lineRule="exact"/>
        <w:rPr>
          <w:sz w:val="20"/>
          <w:szCs w:val="20"/>
          <w:color w:val="auto"/>
        </w:rPr>
      </w:pPr>
    </w:p>
    <w:p>
      <w:pPr>
        <w:ind w:left="700" w:hanging="260"/>
        <w:spacing w:after="0"/>
        <w:tabs>
          <w:tab w:leader="none" w:pos="700" w:val="left"/>
        </w:tabs>
        <w:numPr>
          <w:ilvl w:val="0"/>
          <w:numId w:val="6"/>
        </w:numPr>
        <w:rPr>
          <w:rFonts w:ascii="Arial" w:cs="Arial" w:eastAsia="Arial" w:hAnsi="Arial"/>
          <w:sz w:val="15"/>
          <w:szCs w:val="15"/>
          <w:b w:val="1"/>
          <w:bCs w:val="1"/>
          <w:color w:val="483E65"/>
        </w:rPr>
      </w:pPr>
      <w:r>
        <w:rPr>
          <w:rFonts w:ascii="Arial" w:cs="Arial" w:eastAsia="Arial" w:hAnsi="Arial"/>
          <w:sz w:val="15"/>
          <w:szCs w:val="15"/>
          <w:b w:val="1"/>
          <w:bCs w:val="1"/>
          <w:color w:val="483E65"/>
        </w:rPr>
        <w:t>|  2020 Proxy Statement</w:t>
      </w:r>
    </w:p>
    <w:p>
      <w:pPr>
        <w:sectPr>
          <w:pgSz w:w="11900" w:h="16838" w:orient="portrait"/>
          <w:cols w:equalWidth="0" w:num="1">
            <w:col w:w="10680"/>
          </w:cols>
          <w:pgMar w:left="320" w:top="441" w:right="89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262890</wp:posOffset>
            </wp:positionV>
            <wp:extent cx="927735" cy="1081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27735" cy="1081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483E65"/>
        </w:rPr>
        <w:t>MIRIAM E. JOHN</w:t>
      </w:r>
    </w:p>
    <w:p>
      <w:pPr>
        <w:spacing w:after="0" w:line="10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Director Since 2007</w:t>
      </w:r>
    </w:p>
    <w:p>
      <w:pPr>
        <w:spacing w:after="0" w:line="5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Age: 71</w:t>
      </w:r>
    </w:p>
    <w:p>
      <w:pPr>
        <w:spacing w:after="0" w:line="5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Leidos Committees:</w:t>
      </w:r>
    </w:p>
    <w:p>
      <w:pPr>
        <w:spacing w:after="0" w:line="10"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Corporate Governance &amp; Ethics</w:t>
      </w:r>
    </w:p>
    <w:p>
      <w:pPr>
        <w:ind w:left="2620"/>
        <w:spacing w:after="0"/>
        <w:rPr>
          <w:sz w:val="20"/>
          <w:szCs w:val="20"/>
          <w:color w:val="auto"/>
        </w:rPr>
      </w:pPr>
      <w:r>
        <w:rPr>
          <w:rFonts w:ascii="Arial" w:cs="Arial" w:eastAsia="Arial" w:hAnsi="Arial"/>
          <w:sz w:val="17"/>
          <w:szCs w:val="17"/>
          <w:color w:val="auto"/>
        </w:rPr>
        <w:t>Technology &amp; Information Security (Chair)</w:t>
      </w:r>
    </w:p>
    <w:p>
      <w:pPr>
        <w:spacing w:after="0" w:line="89" w:lineRule="exact"/>
        <w:rPr>
          <w:sz w:val="20"/>
          <w:szCs w:val="20"/>
          <w:color w:val="auto"/>
        </w:rPr>
      </w:pPr>
    </w:p>
    <w:p>
      <w:pPr>
        <w:ind w:left="440" w:right="20"/>
        <w:spacing w:after="0" w:line="257" w:lineRule="auto"/>
        <w:rPr>
          <w:sz w:val="20"/>
          <w:szCs w:val="20"/>
          <w:color w:val="auto"/>
        </w:rPr>
      </w:pPr>
      <w:r>
        <w:rPr>
          <w:rFonts w:ascii="Arial" w:cs="Arial" w:eastAsia="Arial" w:hAnsi="Arial"/>
          <w:sz w:val="16"/>
          <w:szCs w:val="16"/>
          <w:b w:val="1"/>
          <w:bCs w:val="1"/>
          <w:color w:val="auto"/>
        </w:rPr>
        <w:t xml:space="preserve">Dr. John </w:t>
      </w:r>
      <w:r>
        <w:rPr>
          <w:rFonts w:ascii="Arial" w:cs="Arial" w:eastAsia="Arial" w:hAnsi="Arial"/>
          <w:sz w:val="16"/>
          <w:szCs w:val="16"/>
          <w:color w:val="auto"/>
        </w:rPr>
        <w:t>retired from Sandia National Laboratories, a science and engineering laboratory, after serving since 1982 in a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managerial and technical roles, most recently of which was as Vice President of Sandia’s California Division. Dr. John is a member of the Department of Defense’s Defense Science Board and Vice Chairman of its Threat Reduction Advisory Committee. She was elected to the AAAS Committee on Science and Public Policy and is the past chair of the National Academies’ Naval Studies Board. She also serves on the boards of a number of federally funded national security laboratories, including MIT Lincoln Lab. She is a Senior Fellow and past Chair of the California Council on Science and Technology. She has also been elected a National Associate of the National Academies and is the recipient of the DoD’s prestigious Eugene Fubini Award and the Navy’s Superior Public Service Award for her advisory contributions.</w:t>
      </w:r>
    </w:p>
    <w:p>
      <w:pPr>
        <w:spacing w:after="0" w:line="178" w:lineRule="exact"/>
        <w:rPr>
          <w:sz w:val="20"/>
          <w:szCs w:val="20"/>
          <w:color w:val="auto"/>
        </w:rPr>
      </w:pPr>
    </w:p>
    <w:p>
      <w:pPr>
        <w:ind w:left="440" w:right="180"/>
        <w:spacing w:after="0" w:line="237" w:lineRule="auto"/>
        <w:rPr>
          <w:sz w:val="20"/>
          <w:szCs w:val="20"/>
          <w:color w:val="auto"/>
        </w:rPr>
      </w:pPr>
      <w:r>
        <w:rPr>
          <w:rFonts w:ascii="Arial" w:cs="Arial" w:eastAsia="Arial" w:hAnsi="Arial"/>
          <w:sz w:val="17"/>
          <w:szCs w:val="17"/>
          <w:color w:val="auto"/>
        </w:rPr>
        <w:t>Dr. John is a highly respected scientist, speaker and consultant on both technical and leadership topics and brings to our Board her diverse experience managing multi-disciplinary science and engineering organizations supporting national security, energy and defense. Our Board believes that Dr. John’s scientific background and leadership experience enable her to provide critical perspectives on technical, national security and organizational issues important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292735</wp:posOffset>
            </wp:positionV>
            <wp:extent cx="927735" cy="10814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27735" cy="1081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483E65"/>
        </w:rPr>
        <w:t>FRANK KENDALL III</w:t>
      </w:r>
    </w:p>
    <w:p>
      <w:pPr>
        <w:spacing w:after="0" w:line="10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Director Since 2017</w:t>
      </w:r>
    </w:p>
    <w:p>
      <w:pPr>
        <w:spacing w:after="0" w:line="5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Age: 71</w:t>
      </w:r>
    </w:p>
    <w:p>
      <w:pPr>
        <w:spacing w:after="0" w:line="5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Leidos Committees:</w:t>
      </w:r>
    </w:p>
    <w:p>
      <w:pPr>
        <w:spacing w:after="0" w:line="10"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Corporate Governance &amp; Ethics</w:t>
      </w:r>
    </w:p>
    <w:p>
      <w:pPr>
        <w:ind w:left="2620"/>
        <w:spacing w:after="0"/>
        <w:rPr>
          <w:sz w:val="20"/>
          <w:szCs w:val="20"/>
          <w:color w:val="auto"/>
        </w:rPr>
      </w:pPr>
      <w:r>
        <w:rPr>
          <w:rFonts w:ascii="Arial" w:cs="Arial" w:eastAsia="Arial" w:hAnsi="Arial"/>
          <w:sz w:val="17"/>
          <w:szCs w:val="17"/>
          <w:color w:val="auto"/>
        </w:rPr>
        <w:t>Technology &amp; Information Security</w:t>
      </w:r>
    </w:p>
    <w:p>
      <w:pPr>
        <w:spacing w:after="0" w:line="89" w:lineRule="exact"/>
        <w:rPr>
          <w:sz w:val="20"/>
          <w:szCs w:val="20"/>
          <w:color w:val="auto"/>
        </w:rPr>
      </w:pPr>
    </w:p>
    <w:p>
      <w:pPr>
        <w:ind w:left="440" w:right="20"/>
        <w:spacing w:after="0"/>
        <w:rPr>
          <w:sz w:val="20"/>
          <w:szCs w:val="20"/>
          <w:color w:val="auto"/>
        </w:rPr>
      </w:pPr>
      <w:r>
        <w:rPr>
          <w:rFonts w:ascii="Arial" w:cs="Arial" w:eastAsia="Arial" w:hAnsi="Arial"/>
          <w:sz w:val="17"/>
          <w:szCs w:val="17"/>
          <w:b w:val="1"/>
          <w:bCs w:val="1"/>
          <w:color w:val="auto"/>
        </w:rPr>
        <w:t xml:space="preserve">Mr. Kendall </w:t>
      </w:r>
      <w:r>
        <w:rPr>
          <w:rFonts w:ascii="Arial" w:cs="Arial" w:eastAsia="Arial" w:hAnsi="Arial"/>
          <w:sz w:val="17"/>
          <w:szCs w:val="17"/>
          <w:color w:val="auto"/>
        </w:rPr>
        <w:t>has over 40 years of experience in engineering, management, defense acquisition, and national security affairs in private</w:t>
      </w:r>
      <w:r>
        <w:rPr>
          <w:rFonts w:ascii="Arial" w:cs="Arial" w:eastAsia="Arial" w:hAnsi="Arial"/>
          <w:sz w:val="17"/>
          <w:szCs w:val="17"/>
          <w:b w:val="1"/>
          <w:bCs w:val="1"/>
          <w:color w:val="auto"/>
        </w:rPr>
        <w:t xml:space="preserve"> </w:t>
      </w:r>
      <w:r>
        <w:rPr>
          <w:rFonts w:ascii="Arial" w:cs="Arial" w:eastAsia="Arial" w:hAnsi="Arial"/>
          <w:sz w:val="17"/>
          <w:szCs w:val="17"/>
          <w:color w:val="auto"/>
        </w:rPr>
        <w:t>industry, government, and the military. From 2012 to 2017, Mr. Kendall served as the Under Secretary of Defense for Acquisition, Technology and Logistics. He has been a consultant to defense industry firms, non-profit research organizations, and the Department of Defense in the areas of strategic planning, engineering management, and technology assessment. Mr. Kendall was Vice President of Engineering for Raytheon Company. He was also a Managing Partner at Renaissance Strategic Advisors, a Virginia-based aerospace and defense sector consulting firm.</w:t>
      </w:r>
    </w:p>
    <w:p>
      <w:pPr>
        <w:spacing w:after="0" w:line="194" w:lineRule="exact"/>
        <w:rPr>
          <w:sz w:val="20"/>
          <w:szCs w:val="20"/>
          <w:color w:val="auto"/>
        </w:rPr>
      </w:pPr>
    </w:p>
    <w:p>
      <w:pPr>
        <w:ind w:left="440" w:right="60"/>
        <w:spacing w:after="0" w:line="239" w:lineRule="auto"/>
        <w:rPr>
          <w:sz w:val="20"/>
          <w:szCs w:val="20"/>
          <w:color w:val="auto"/>
        </w:rPr>
      </w:pPr>
      <w:r>
        <w:rPr>
          <w:rFonts w:ascii="Arial" w:cs="Arial" w:eastAsia="Arial" w:hAnsi="Arial"/>
          <w:sz w:val="17"/>
          <w:szCs w:val="17"/>
          <w:color w:val="auto"/>
        </w:rPr>
        <w:t>Our Board believes that Mr. Kendall’s vast experience in government and the defense industry, his knowledge of military affairs and his technical, business and strategic planning background provide our Board with unique insights into key areas of our business as a provider of services and solutions to U.S. government customers, as well as international governments and broader commercial markets.</w:t>
      </w:r>
    </w:p>
    <w:p>
      <w:pPr>
        <w:spacing w:after="0" w:line="112" w:lineRule="exact"/>
        <w:rPr>
          <w:sz w:val="20"/>
          <w:szCs w:val="20"/>
          <w:color w:val="auto"/>
        </w:rPr>
      </w:pPr>
    </w:p>
    <w:p>
      <w:pPr>
        <w:jc w:val="right"/>
        <w:spacing w:after="0"/>
        <w:tabs>
          <w:tab w:leader="none" w:pos="260" w:val="left"/>
          <w:tab w:leader="none" w:pos="6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3</w:t>
      </w:r>
    </w:p>
    <w:p>
      <w:pPr>
        <w:sectPr>
          <w:pgSz w:w="11900" w:h="16838" w:orient="portrait"/>
          <w:cols w:equalWidth="0" w:num="1">
            <w:col w:w="10800"/>
          </w:cols>
          <w:pgMar w:left="320" w:top="441" w:right="77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262890</wp:posOffset>
            </wp:positionV>
            <wp:extent cx="927735" cy="1089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2773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483E65"/>
        </w:rPr>
        <w:t>ROBERT C. KOVARIK, JR.</w:t>
      </w:r>
    </w:p>
    <w:p>
      <w:pPr>
        <w:spacing w:after="0" w:line="10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Director Since 2018</w:t>
      </w:r>
    </w:p>
    <w:p>
      <w:pPr>
        <w:spacing w:after="0" w:line="5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Age: 70</w:t>
      </w:r>
    </w:p>
    <w:p>
      <w:pPr>
        <w:spacing w:after="0" w:line="5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Leidos Committees:</w:t>
      </w:r>
    </w:p>
    <w:p>
      <w:pPr>
        <w:spacing w:after="0" w:line="10"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Audit &amp; Finance</w:t>
      </w:r>
    </w:p>
    <w:p>
      <w:pPr>
        <w:ind w:left="2620"/>
        <w:spacing w:after="0"/>
        <w:rPr>
          <w:sz w:val="20"/>
          <w:szCs w:val="20"/>
          <w:color w:val="auto"/>
        </w:rPr>
      </w:pPr>
      <w:r>
        <w:rPr>
          <w:rFonts w:ascii="Arial" w:cs="Arial" w:eastAsia="Arial" w:hAnsi="Arial"/>
          <w:sz w:val="17"/>
          <w:szCs w:val="17"/>
          <w:color w:val="auto"/>
        </w:rPr>
        <w:t>Human Resources &amp; Compensation</w:t>
      </w:r>
    </w:p>
    <w:p>
      <w:pPr>
        <w:spacing w:after="0" w:line="89" w:lineRule="exact"/>
        <w:rPr>
          <w:sz w:val="20"/>
          <w:szCs w:val="20"/>
          <w:color w:val="auto"/>
        </w:rPr>
      </w:pPr>
    </w:p>
    <w:p>
      <w:pPr>
        <w:ind w:left="440"/>
        <w:spacing w:after="0" w:line="239" w:lineRule="auto"/>
        <w:rPr>
          <w:sz w:val="20"/>
          <w:szCs w:val="20"/>
          <w:color w:val="auto"/>
        </w:rPr>
      </w:pPr>
      <w:r>
        <w:rPr>
          <w:rFonts w:ascii="Arial" w:cs="Arial" w:eastAsia="Arial" w:hAnsi="Arial"/>
          <w:sz w:val="17"/>
          <w:szCs w:val="17"/>
          <w:b w:val="1"/>
          <w:bCs w:val="1"/>
          <w:color w:val="auto"/>
        </w:rPr>
        <w:t xml:space="preserve">Mr. Kovarik </w:t>
      </w:r>
      <w:r>
        <w:rPr>
          <w:rFonts w:ascii="Arial" w:cs="Arial" w:eastAsia="Arial" w:hAnsi="Arial"/>
          <w:sz w:val="17"/>
          <w:szCs w:val="17"/>
          <w:color w:val="auto"/>
        </w:rPr>
        <w:t>has held various leadership positions at globally recognized accounting and consulting firms. Mr. Kovarik served as a partner</w:t>
      </w:r>
      <w:r>
        <w:rPr>
          <w:rFonts w:ascii="Arial" w:cs="Arial" w:eastAsia="Arial" w:hAnsi="Arial"/>
          <w:sz w:val="17"/>
          <w:szCs w:val="17"/>
          <w:b w:val="1"/>
          <w:bCs w:val="1"/>
          <w:color w:val="auto"/>
        </w:rPr>
        <w:t xml:space="preserve"> </w:t>
      </w:r>
      <w:r>
        <w:rPr>
          <w:rFonts w:ascii="Arial" w:cs="Arial" w:eastAsia="Arial" w:hAnsi="Arial"/>
          <w:sz w:val="17"/>
          <w:szCs w:val="17"/>
          <w:color w:val="auto"/>
        </w:rPr>
        <w:t>at Ernst &amp; Young LLP from 2002 to 2008. He was part of the National Professional Practice group from 2005 to 2008, where he was a practice director for the Mid-Atlantic Area. From 2002 to 2005, Mr. Kovarik was an engagement partner for a wide range of corporate clients operating in both the government services and commercial markets. Prior to Ernst &amp; Young, Mr. Kovarik was with Arthur Andersen, LLP for over 25 years. At Andersen he held a variety of leadership positions, and served as engagement partner for many large public and private companies with operations in the United States and around the world. Mr. Kovarik has served as an adjunct professor at both the University of Maryland and the University of Virginia.</w:t>
      </w:r>
    </w:p>
    <w:p>
      <w:pPr>
        <w:spacing w:after="0" w:line="195" w:lineRule="exact"/>
        <w:rPr>
          <w:sz w:val="20"/>
          <w:szCs w:val="20"/>
          <w:color w:val="auto"/>
        </w:rPr>
      </w:pPr>
    </w:p>
    <w:p>
      <w:pPr>
        <w:ind w:left="440" w:right="120"/>
        <w:spacing w:after="0" w:line="243" w:lineRule="auto"/>
        <w:rPr>
          <w:sz w:val="20"/>
          <w:szCs w:val="20"/>
          <w:color w:val="auto"/>
        </w:rPr>
      </w:pPr>
      <w:r>
        <w:rPr>
          <w:rFonts w:ascii="Arial" w:cs="Arial" w:eastAsia="Arial" w:hAnsi="Arial"/>
          <w:sz w:val="17"/>
          <w:szCs w:val="17"/>
          <w:color w:val="auto"/>
        </w:rPr>
        <w:t>Mr. Kovarik’s broad experience advising government and commercial clients, and his financial and accounting expertise, are important to our Board in fulfilling its oversight responsibilities. Mr. Kovarik is an “audit committee financial expert” as defined by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289560</wp:posOffset>
            </wp:positionV>
            <wp:extent cx="927735" cy="10814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27735" cy="1081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620" w:type="dxa"/>
        <w:tblCellMar>
          <w:top w:w="0" w:type="dxa"/>
          <w:left w:w="0" w:type="dxa"/>
          <w:bottom w:w="0" w:type="dxa"/>
          <w:right w:w="0" w:type="dxa"/>
        </w:tblCellMar>
      </w:tblPr>
      <w:tr>
        <w:trPr>
          <w:trHeight w:val="211"/>
        </w:trPr>
        <w:tc>
          <w:tcPr>
            <w:tcW w:w="2940" w:type="dxa"/>
            <w:vAlign w:val="bottom"/>
          </w:tcPr>
          <w:p>
            <w:pPr>
              <w:spacing w:after="0"/>
              <w:rPr>
                <w:sz w:val="20"/>
                <w:szCs w:val="20"/>
                <w:color w:val="auto"/>
              </w:rPr>
            </w:pPr>
            <w:r>
              <w:rPr>
                <w:rFonts w:ascii="Arial" w:cs="Arial" w:eastAsia="Arial" w:hAnsi="Arial"/>
                <w:sz w:val="17"/>
                <w:szCs w:val="17"/>
                <w:b w:val="1"/>
                <w:bCs w:val="1"/>
                <w:color w:val="483E65"/>
              </w:rPr>
              <w:t>HARRY M.J. KRAEMER, JR.</w:t>
            </w:r>
          </w:p>
        </w:tc>
        <w:tc>
          <w:tcPr>
            <w:tcW w:w="3820" w:type="dxa"/>
            <w:vAlign w:val="bottom"/>
          </w:tcPr>
          <w:p>
            <w:pPr>
              <w:ind w:left="680"/>
              <w:spacing w:after="0"/>
              <w:rPr>
                <w:sz w:val="20"/>
                <w:szCs w:val="20"/>
                <w:color w:val="auto"/>
              </w:rPr>
            </w:pPr>
            <w:r>
              <w:rPr>
                <w:rFonts w:ascii="Arial" w:cs="Arial" w:eastAsia="Arial" w:hAnsi="Arial"/>
                <w:sz w:val="17"/>
                <w:szCs w:val="17"/>
                <w:b w:val="1"/>
                <w:bCs w:val="1"/>
                <w:color w:val="auto"/>
                <w:w w:val="99"/>
              </w:rPr>
              <w:t>Current Public Company Directorships</w:t>
            </w:r>
          </w:p>
        </w:tc>
        <w:tc>
          <w:tcPr>
            <w:tcW w:w="0" w:type="dxa"/>
            <w:vAlign w:val="bottom"/>
          </w:tcPr>
          <w:p>
            <w:pPr>
              <w:spacing w:after="0"/>
              <w:rPr>
                <w:sz w:val="1"/>
                <w:szCs w:val="1"/>
                <w:color w:val="auto"/>
              </w:rPr>
            </w:pPr>
          </w:p>
        </w:tc>
      </w:tr>
      <w:tr>
        <w:trPr>
          <w:trHeight w:val="191"/>
        </w:trPr>
        <w:tc>
          <w:tcPr>
            <w:tcW w:w="2940" w:type="dxa"/>
            <w:vAlign w:val="bottom"/>
            <w:vMerge w:val="restart"/>
          </w:tcPr>
          <w:p>
            <w:pPr>
              <w:spacing w:after="0"/>
              <w:rPr>
                <w:sz w:val="20"/>
                <w:szCs w:val="20"/>
                <w:color w:val="auto"/>
              </w:rPr>
            </w:pPr>
            <w:r>
              <w:rPr>
                <w:rFonts w:ascii="Arial" w:cs="Arial" w:eastAsia="Arial" w:hAnsi="Arial"/>
                <w:sz w:val="17"/>
                <w:szCs w:val="17"/>
                <w:b w:val="1"/>
                <w:bCs w:val="1"/>
                <w:color w:val="auto"/>
              </w:rPr>
              <w:t>Director Since 1997</w:t>
            </w:r>
          </w:p>
        </w:tc>
        <w:tc>
          <w:tcPr>
            <w:tcW w:w="3820" w:type="dxa"/>
            <w:vAlign w:val="bottom"/>
          </w:tcPr>
          <w:p>
            <w:pPr>
              <w:ind w:left="680"/>
              <w:spacing w:after="0" w:line="191" w:lineRule="exact"/>
              <w:rPr>
                <w:sz w:val="20"/>
                <w:szCs w:val="20"/>
                <w:color w:val="auto"/>
              </w:rPr>
            </w:pPr>
            <w:r>
              <w:rPr>
                <w:rFonts w:ascii="Arial" w:cs="Arial" w:eastAsia="Arial" w:hAnsi="Arial"/>
                <w:sz w:val="17"/>
                <w:szCs w:val="17"/>
                <w:color w:val="auto"/>
              </w:rPr>
              <w:t>Dentsply Sirona</w:t>
            </w:r>
          </w:p>
        </w:tc>
        <w:tc>
          <w:tcPr>
            <w:tcW w:w="0" w:type="dxa"/>
            <w:vAlign w:val="bottom"/>
          </w:tcPr>
          <w:p>
            <w:pPr>
              <w:spacing w:after="0"/>
              <w:rPr>
                <w:sz w:val="1"/>
                <w:szCs w:val="1"/>
                <w:color w:val="auto"/>
              </w:rPr>
            </w:pPr>
          </w:p>
        </w:tc>
      </w:tr>
      <w:tr>
        <w:trPr>
          <w:trHeight w:val="127"/>
        </w:trPr>
        <w:tc>
          <w:tcPr>
            <w:tcW w:w="2940" w:type="dxa"/>
            <w:vAlign w:val="bottom"/>
            <w:vMerge w:val="continue"/>
          </w:tcPr>
          <w:p>
            <w:pPr>
              <w:spacing w:after="0"/>
              <w:rPr>
                <w:sz w:val="11"/>
                <w:szCs w:val="11"/>
                <w:color w:val="auto"/>
              </w:rPr>
            </w:pPr>
          </w:p>
        </w:tc>
        <w:tc>
          <w:tcPr>
            <w:tcW w:w="3820" w:type="dxa"/>
            <w:vAlign w:val="bottom"/>
            <w:vMerge w:val="restart"/>
          </w:tcPr>
          <w:p>
            <w:pPr>
              <w:ind w:left="680"/>
              <w:spacing w:after="0"/>
              <w:rPr>
                <w:sz w:val="20"/>
                <w:szCs w:val="20"/>
                <w:color w:val="auto"/>
              </w:rPr>
            </w:pPr>
            <w:r>
              <w:rPr>
                <w:rFonts w:ascii="Arial" w:cs="Arial" w:eastAsia="Arial" w:hAnsi="Arial"/>
                <w:sz w:val="17"/>
                <w:szCs w:val="17"/>
                <w:color w:val="auto"/>
              </w:rPr>
              <w:t>Option Care Health</w:t>
            </w:r>
          </w:p>
        </w:tc>
        <w:tc>
          <w:tcPr>
            <w:tcW w:w="0" w:type="dxa"/>
            <w:vAlign w:val="bottom"/>
          </w:tcPr>
          <w:p>
            <w:pPr>
              <w:spacing w:after="0"/>
              <w:rPr>
                <w:sz w:val="1"/>
                <w:szCs w:val="1"/>
                <w:color w:val="auto"/>
              </w:rPr>
            </w:pPr>
          </w:p>
        </w:tc>
      </w:tr>
      <w:tr>
        <w:trPr>
          <w:trHeight w:val="76"/>
        </w:trPr>
        <w:tc>
          <w:tcPr>
            <w:tcW w:w="2940" w:type="dxa"/>
            <w:vAlign w:val="bottom"/>
            <w:vMerge w:val="restart"/>
          </w:tcPr>
          <w:p>
            <w:pPr>
              <w:spacing w:after="0"/>
              <w:rPr>
                <w:sz w:val="20"/>
                <w:szCs w:val="20"/>
                <w:color w:val="auto"/>
              </w:rPr>
            </w:pPr>
            <w:r>
              <w:rPr>
                <w:rFonts w:ascii="Arial" w:cs="Arial" w:eastAsia="Arial" w:hAnsi="Arial"/>
                <w:sz w:val="17"/>
                <w:szCs w:val="17"/>
                <w:b w:val="1"/>
                <w:bCs w:val="1"/>
                <w:color w:val="auto"/>
              </w:rPr>
              <w:t>Age: 65</w:t>
            </w:r>
          </w:p>
        </w:tc>
        <w:tc>
          <w:tcPr>
            <w:tcW w:w="3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940" w:type="dxa"/>
            <w:vAlign w:val="bottom"/>
            <w:vMerge w:val="continue"/>
          </w:tcPr>
          <w:p>
            <w:pPr>
              <w:spacing w:after="0"/>
              <w:rPr>
                <w:sz w:val="15"/>
                <w:szCs w:val="15"/>
                <w:color w:val="auto"/>
              </w:rPr>
            </w:pPr>
          </w:p>
        </w:tc>
        <w:tc>
          <w:tcPr>
            <w:tcW w:w="3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2620" w:type="dxa"/>
        <w:tblCellMar>
          <w:top w:w="0" w:type="dxa"/>
          <w:left w:w="0" w:type="dxa"/>
          <w:bottom w:w="0" w:type="dxa"/>
          <w:right w:w="0" w:type="dxa"/>
        </w:tblCellMar>
      </w:tblPr>
      <w:tr>
        <w:trPr>
          <w:trHeight w:val="211"/>
        </w:trPr>
        <w:tc>
          <w:tcPr>
            <w:tcW w:w="3020" w:type="dxa"/>
            <w:vAlign w:val="bottom"/>
          </w:tcPr>
          <w:p>
            <w:pPr>
              <w:spacing w:after="0"/>
              <w:rPr>
                <w:sz w:val="20"/>
                <w:szCs w:val="20"/>
                <w:color w:val="auto"/>
              </w:rPr>
            </w:pPr>
            <w:r>
              <w:rPr>
                <w:rFonts w:ascii="Arial" w:cs="Arial" w:eastAsia="Arial" w:hAnsi="Arial"/>
                <w:sz w:val="17"/>
                <w:szCs w:val="17"/>
                <w:b w:val="1"/>
                <w:bCs w:val="1"/>
                <w:color w:val="auto"/>
              </w:rPr>
              <w:t>Leidos Committees:</w:t>
            </w:r>
          </w:p>
        </w:tc>
        <w:tc>
          <w:tcPr>
            <w:tcW w:w="3960" w:type="dxa"/>
            <w:vAlign w:val="bottom"/>
          </w:tcPr>
          <w:p>
            <w:pPr>
              <w:ind w:left="600"/>
              <w:spacing w:after="0"/>
              <w:rPr>
                <w:sz w:val="20"/>
                <w:szCs w:val="20"/>
                <w:color w:val="auto"/>
              </w:rPr>
            </w:pPr>
            <w:r>
              <w:rPr>
                <w:rFonts w:ascii="Arial" w:cs="Arial" w:eastAsia="Arial" w:hAnsi="Arial"/>
                <w:sz w:val="17"/>
                <w:szCs w:val="17"/>
                <w:b w:val="1"/>
                <w:bCs w:val="1"/>
                <w:color w:val="auto"/>
                <w:w w:val="98"/>
              </w:rPr>
              <w:t>Former Directorships During Past 5 Years</w:t>
            </w:r>
          </w:p>
        </w:tc>
      </w:tr>
      <w:tr>
        <w:trPr>
          <w:trHeight w:val="191"/>
        </w:trPr>
        <w:tc>
          <w:tcPr>
            <w:tcW w:w="3020" w:type="dxa"/>
            <w:vAlign w:val="bottom"/>
          </w:tcPr>
          <w:p>
            <w:pPr>
              <w:spacing w:after="0" w:line="191" w:lineRule="exact"/>
              <w:rPr>
                <w:sz w:val="20"/>
                <w:szCs w:val="20"/>
                <w:color w:val="auto"/>
              </w:rPr>
            </w:pPr>
            <w:r>
              <w:rPr>
                <w:rFonts w:ascii="Arial" w:cs="Arial" w:eastAsia="Arial" w:hAnsi="Arial"/>
                <w:sz w:val="17"/>
                <w:szCs w:val="17"/>
                <w:color w:val="auto"/>
              </w:rPr>
              <w:t>Audit &amp; Finance</w:t>
            </w:r>
          </w:p>
        </w:tc>
        <w:tc>
          <w:tcPr>
            <w:tcW w:w="3960" w:type="dxa"/>
            <w:vAlign w:val="bottom"/>
          </w:tcPr>
          <w:p>
            <w:pPr>
              <w:ind w:left="600"/>
              <w:spacing w:after="0" w:line="191" w:lineRule="exact"/>
              <w:rPr>
                <w:sz w:val="20"/>
                <w:szCs w:val="20"/>
                <w:color w:val="auto"/>
              </w:rPr>
            </w:pPr>
            <w:r>
              <w:rPr>
                <w:rFonts w:ascii="Arial" w:cs="Arial" w:eastAsia="Arial" w:hAnsi="Arial"/>
                <w:sz w:val="17"/>
                <w:szCs w:val="17"/>
                <w:color w:val="auto"/>
              </w:rPr>
              <w:t>Catamaran Corporation</w:t>
            </w:r>
          </w:p>
        </w:tc>
      </w:tr>
      <w:tr>
        <w:trPr>
          <w:trHeight w:val="229"/>
        </w:trPr>
        <w:tc>
          <w:tcPr>
            <w:tcW w:w="3020" w:type="dxa"/>
            <w:vAlign w:val="bottom"/>
          </w:tcPr>
          <w:p>
            <w:pPr>
              <w:spacing w:after="0"/>
              <w:rPr>
                <w:sz w:val="20"/>
                <w:szCs w:val="20"/>
                <w:color w:val="auto"/>
              </w:rPr>
            </w:pPr>
            <w:r>
              <w:rPr>
                <w:rFonts w:ascii="Arial" w:cs="Arial" w:eastAsia="Arial" w:hAnsi="Arial"/>
                <w:sz w:val="17"/>
                <w:szCs w:val="17"/>
                <w:color w:val="auto"/>
              </w:rPr>
              <w:t>Corporate Governance &amp; Ethics</w:t>
            </w:r>
          </w:p>
        </w:tc>
        <w:tc>
          <w:tcPr>
            <w:tcW w:w="3960" w:type="dxa"/>
            <w:vAlign w:val="bottom"/>
          </w:tcPr>
          <w:p>
            <w:pPr>
              <w:ind w:left="600"/>
              <w:spacing w:after="0"/>
              <w:rPr>
                <w:sz w:val="20"/>
                <w:szCs w:val="20"/>
                <w:color w:val="auto"/>
              </w:rPr>
            </w:pPr>
            <w:r>
              <w:rPr>
                <w:rFonts w:ascii="Arial" w:cs="Arial" w:eastAsia="Arial" w:hAnsi="Arial"/>
                <w:sz w:val="17"/>
                <w:szCs w:val="17"/>
                <w:color w:val="auto"/>
              </w:rPr>
              <w:t>VWR Corporation</w:t>
            </w:r>
          </w:p>
        </w:tc>
      </w:tr>
    </w:tbl>
    <w:p>
      <w:pPr>
        <w:spacing w:after="0" w:line="82" w:lineRule="exact"/>
        <w:rPr>
          <w:sz w:val="20"/>
          <w:szCs w:val="20"/>
          <w:color w:val="auto"/>
        </w:rPr>
      </w:pPr>
    </w:p>
    <w:p>
      <w:pPr>
        <w:ind w:left="440" w:right="140"/>
        <w:spacing w:after="0" w:line="242" w:lineRule="auto"/>
        <w:rPr>
          <w:sz w:val="20"/>
          <w:szCs w:val="20"/>
          <w:color w:val="auto"/>
        </w:rPr>
      </w:pPr>
      <w:r>
        <w:rPr>
          <w:rFonts w:ascii="Arial" w:cs="Arial" w:eastAsia="Arial" w:hAnsi="Arial"/>
          <w:sz w:val="17"/>
          <w:szCs w:val="17"/>
          <w:b w:val="1"/>
          <w:bCs w:val="1"/>
          <w:color w:val="auto"/>
        </w:rPr>
        <w:t xml:space="preserve">Mr. Kraemer </w:t>
      </w:r>
      <w:r>
        <w:rPr>
          <w:rFonts w:ascii="Arial" w:cs="Arial" w:eastAsia="Arial" w:hAnsi="Arial"/>
          <w:sz w:val="17"/>
          <w:szCs w:val="17"/>
          <w:color w:val="auto"/>
        </w:rPr>
        <w:t>has been an executive partner of Madison Dearborn Partners, LLC, a private equity investment firm, since April 2005, and</w:t>
      </w:r>
      <w:r>
        <w:rPr>
          <w:rFonts w:ascii="Arial" w:cs="Arial" w:eastAsia="Arial" w:hAnsi="Arial"/>
          <w:sz w:val="17"/>
          <w:szCs w:val="17"/>
          <w:b w:val="1"/>
          <w:bCs w:val="1"/>
          <w:color w:val="auto"/>
        </w:rPr>
        <w:t xml:space="preserve"> </w:t>
      </w:r>
      <w:r>
        <w:rPr>
          <w:rFonts w:ascii="Arial" w:cs="Arial" w:eastAsia="Arial" w:hAnsi="Arial"/>
          <w:sz w:val="17"/>
          <w:szCs w:val="17"/>
          <w:color w:val="auto"/>
        </w:rPr>
        <w:t>has served as a professor at the Kellogg School of Management at Northwestern University since January 2005. Mr. Kraemer previously served as the Chairman of Baxter International, Inc., a healthcare products, systems and services company, from 2000 until 2004, as Chief Executive Officer of Baxter from 1999 until 2004, and as President of Baxter from 1997 until 2004. Mr. Kraemer also served as the Senior Vice President and Chief Financial Officer of Baxter from 1993 to 1997.</w:t>
      </w:r>
    </w:p>
    <w:p>
      <w:pPr>
        <w:spacing w:after="0" w:line="191" w:lineRule="exact"/>
        <w:rPr>
          <w:sz w:val="20"/>
          <w:szCs w:val="20"/>
          <w:color w:val="auto"/>
        </w:rPr>
      </w:pPr>
    </w:p>
    <w:p>
      <w:pPr>
        <w:ind w:left="440" w:right="220"/>
        <w:spacing w:after="0" w:line="237" w:lineRule="auto"/>
        <w:rPr>
          <w:sz w:val="20"/>
          <w:szCs w:val="20"/>
          <w:color w:val="auto"/>
        </w:rPr>
      </w:pPr>
      <w:r>
        <w:rPr>
          <w:rFonts w:ascii="Arial" w:cs="Arial" w:eastAsia="Arial" w:hAnsi="Arial"/>
          <w:sz w:val="17"/>
          <w:szCs w:val="17"/>
          <w:color w:val="auto"/>
        </w:rPr>
        <w:t>Mr. Kraemer brings comprehensive executive management experience to our Board as a former Chairman, Chief Executive Officer and Chief Financial Officer of a major global corporation. His investment and health expertise, background in commercial and international business, qualification as an “audit committee financial expert” as defined by SEC rules, and thought leadership as a distinguished educator at a leading business school provide valuable contributions to our Board.</w:t>
      </w:r>
    </w:p>
    <w:p>
      <w:pPr>
        <w:spacing w:after="0" w:line="115" w:lineRule="exact"/>
        <w:rPr>
          <w:sz w:val="20"/>
          <w:szCs w:val="20"/>
          <w:color w:val="auto"/>
        </w:rPr>
      </w:pPr>
    </w:p>
    <w:p>
      <w:pPr>
        <w:ind w:left="700" w:hanging="260"/>
        <w:spacing w:after="0"/>
        <w:tabs>
          <w:tab w:leader="none" w:pos="700" w:val="left"/>
        </w:tabs>
        <w:numPr>
          <w:ilvl w:val="0"/>
          <w:numId w:val="7"/>
        </w:numPr>
        <w:rPr>
          <w:rFonts w:ascii="Arial" w:cs="Arial" w:eastAsia="Arial" w:hAnsi="Arial"/>
          <w:sz w:val="15"/>
          <w:szCs w:val="15"/>
          <w:b w:val="1"/>
          <w:bCs w:val="1"/>
          <w:color w:val="483E65"/>
        </w:rPr>
      </w:pPr>
      <w:r>
        <w:rPr>
          <w:rFonts w:ascii="Arial" w:cs="Arial" w:eastAsia="Arial" w:hAnsi="Arial"/>
          <w:sz w:val="15"/>
          <w:szCs w:val="15"/>
          <w:b w:val="1"/>
          <w:bCs w:val="1"/>
          <w:color w:val="483E65"/>
        </w:rPr>
        <w:t>|  2020 Proxy Statement</w:t>
      </w:r>
    </w:p>
    <w:p>
      <w:pPr>
        <w:sectPr>
          <w:pgSz w:w="11900" w:h="16838" w:orient="portrait"/>
          <w:cols w:equalWidth="0" w:num="1">
            <w:col w:w="10780"/>
          </w:cols>
          <w:pgMar w:left="320" w:top="441" w:right="79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262890</wp:posOffset>
            </wp:positionV>
            <wp:extent cx="927735" cy="10814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27735" cy="1081405"/>
                    </a:xfrm>
                    <a:prstGeom prst="rect">
                      <a:avLst/>
                    </a:prstGeom>
                    <a:noFill/>
                  </pic:spPr>
                </pic:pic>
              </a:graphicData>
            </a:graphic>
          </wp:anchor>
        </w:drawing>
      </w:r>
    </w:p>
    <w:p>
      <w:pPr>
        <w:sectPr>
          <w:pgSz w:w="11900" w:h="16838" w:orient="portrait"/>
          <w:cols w:equalWidth="0" w:num="1">
            <w:col w:w="10800"/>
          </w:cols>
          <w:pgMar w:left="320" w:top="441"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483E65"/>
        </w:rPr>
        <w:t>ROGER A. KRONE</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483E65"/>
        </w:rPr>
        <w:t>Chair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200"/>
        <w:spacing w:after="0" w:line="268" w:lineRule="auto"/>
        <w:rPr>
          <w:sz w:val="20"/>
          <w:szCs w:val="20"/>
          <w:color w:val="auto"/>
        </w:rPr>
      </w:pPr>
      <w:r>
        <w:rPr>
          <w:rFonts w:ascii="Arial" w:cs="Arial" w:eastAsia="Arial" w:hAnsi="Arial"/>
          <w:sz w:val="17"/>
          <w:szCs w:val="17"/>
          <w:b w:val="1"/>
          <w:bCs w:val="1"/>
          <w:color w:val="auto"/>
        </w:rPr>
        <w:t xml:space="preserve">Former Directorships During Past 5 Years </w:t>
      </w:r>
      <w:r>
        <w:rPr>
          <w:rFonts w:ascii="Arial" w:cs="Arial" w:eastAsia="Arial" w:hAnsi="Arial"/>
          <w:sz w:val="17"/>
          <w:szCs w:val="17"/>
          <w:color w:val="auto"/>
        </w:rPr>
        <w:t>BorgWarner Inc.</w:t>
      </w:r>
    </w:p>
    <w:p>
      <w:pPr>
        <w:spacing w:after="0" w:line="59" w:lineRule="exact"/>
        <w:rPr>
          <w:sz w:val="20"/>
          <w:szCs w:val="20"/>
          <w:color w:val="auto"/>
        </w:rPr>
      </w:pPr>
    </w:p>
    <w:p>
      <w:pPr>
        <w:sectPr>
          <w:pgSz w:w="11900" w:h="16838" w:orient="portrait"/>
          <w:cols w:equalWidth="0" w:num="2">
            <w:col w:w="5520" w:space="720"/>
            <w:col w:w="4560"/>
          </w:cols>
          <w:pgMar w:left="320" w:top="441" w:right="779" w:bottom="1440" w:gutter="0" w:footer="0" w:header="0"/>
          <w:type w:val="continuous"/>
        </w:sectPr>
      </w:pPr>
    </w:p>
    <w:p>
      <w:pPr>
        <w:ind w:left="2620"/>
        <w:spacing w:after="0"/>
        <w:rPr>
          <w:sz w:val="20"/>
          <w:szCs w:val="20"/>
          <w:color w:val="auto"/>
        </w:rPr>
      </w:pPr>
      <w:r>
        <w:rPr>
          <w:rFonts w:ascii="Arial" w:cs="Arial" w:eastAsia="Arial" w:hAnsi="Arial"/>
          <w:sz w:val="17"/>
          <w:szCs w:val="17"/>
          <w:b w:val="1"/>
          <w:bCs w:val="1"/>
          <w:color w:val="auto"/>
        </w:rPr>
        <w:t>Director Since 2014</w:t>
      </w:r>
    </w:p>
    <w:p>
      <w:pPr>
        <w:spacing w:after="0" w:line="5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Age: 63</w:t>
      </w:r>
    </w:p>
    <w:p>
      <w:pPr>
        <w:spacing w:after="0" w:line="5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Leidos Committees:</w:t>
      </w:r>
    </w:p>
    <w:p>
      <w:pPr>
        <w:spacing w:after="0" w:line="15"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Technology &amp; Information Security</w:t>
      </w:r>
    </w:p>
    <w:p>
      <w:pPr>
        <w:sectPr>
          <w:pgSz w:w="11900" w:h="16838" w:orient="portrait"/>
          <w:cols w:equalWidth="0" w:num="1">
            <w:col w:w="10800"/>
          </w:cols>
          <w:pgMar w:left="320" w:top="441" w:right="779" w:bottom="1440" w:gutter="0" w:footer="0" w:header="0"/>
          <w:type w:val="continuous"/>
        </w:sectPr>
      </w:pPr>
    </w:p>
    <w:p>
      <w:pPr>
        <w:spacing w:after="0" w:line="101" w:lineRule="exact"/>
        <w:rPr>
          <w:sz w:val="20"/>
          <w:szCs w:val="20"/>
          <w:color w:val="auto"/>
        </w:rPr>
      </w:pPr>
    </w:p>
    <w:p>
      <w:pPr>
        <w:ind w:left="440"/>
        <w:spacing w:after="0" w:line="245" w:lineRule="auto"/>
        <w:rPr>
          <w:sz w:val="20"/>
          <w:szCs w:val="20"/>
          <w:color w:val="auto"/>
        </w:rPr>
      </w:pPr>
      <w:r>
        <w:rPr>
          <w:rFonts w:ascii="Arial" w:cs="Arial" w:eastAsia="Arial" w:hAnsi="Arial"/>
          <w:sz w:val="17"/>
          <w:szCs w:val="17"/>
          <w:b w:val="1"/>
          <w:bCs w:val="1"/>
          <w:color w:val="auto"/>
        </w:rPr>
        <w:t xml:space="preserve">Mr. Krone </w:t>
      </w:r>
      <w:r>
        <w:rPr>
          <w:rFonts w:ascii="Arial" w:cs="Arial" w:eastAsia="Arial" w:hAnsi="Arial"/>
          <w:sz w:val="17"/>
          <w:szCs w:val="17"/>
          <w:color w:val="auto"/>
        </w:rPr>
        <w:t>has served as our Chief Executive Officer since July 2014 and as the Chair of the Board since March 2015. Prior to his</w:t>
      </w:r>
      <w:r>
        <w:rPr>
          <w:rFonts w:ascii="Arial" w:cs="Arial" w:eastAsia="Arial" w:hAnsi="Arial"/>
          <w:sz w:val="17"/>
          <w:szCs w:val="17"/>
          <w:b w:val="1"/>
          <w:bCs w:val="1"/>
          <w:color w:val="auto"/>
        </w:rPr>
        <w:t xml:space="preserve"> </w:t>
      </w:r>
      <w:r>
        <w:rPr>
          <w:rFonts w:ascii="Arial" w:cs="Arial" w:eastAsia="Arial" w:hAnsi="Arial"/>
          <w:sz w:val="17"/>
          <w:szCs w:val="17"/>
          <w:color w:val="auto"/>
        </w:rPr>
        <w:t>appointment as our Chief Executive Officer, Mr. Krone served as President of Network and Space Systems for The Boeing Company since 2006. Mr. Krone previously held various senior program management and finance positions at Boeing, McDonnell Douglas Corp. and General Dynamics. Mr. Krone is also a certified public accountant (inactive).</w:t>
      </w:r>
    </w:p>
    <w:p>
      <w:pPr>
        <w:spacing w:after="0" w:line="187" w:lineRule="exact"/>
        <w:rPr>
          <w:sz w:val="20"/>
          <w:szCs w:val="20"/>
          <w:color w:val="auto"/>
        </w:rPr>
      </w:pPr>
    </w:p>
    <w:p>
      <w:pPr>
        <w:ind w:left="440" w:right="140"/>
        <w:spacing w:after="0" w:line="239" w:lineRule="auto"/>
        <w:rPr>
          <w:sz w:val="20"/>
          <w:szCs w:val="20"/>
          <w:color w:val="auto"/>
        </w:rPr>
      </w:pPr>
      <w:r>
        <w:rPr>
          <w:rFonts w:ascii="Arial" w:cs="Arial" w:eastAsia="Arial" w:hAnsi="Arial"/>
          <w:sz w:val="17"/>
          <w:szCs w:val="17"/>
          <w:color w:val="auto"/>
        </w:rPr>
        <w:t>Mr. Krone’s in-depth knowledge of our industry gained by decades of experience in a variety of roles at leading companies provides valuable insights and leadership for our Board. In addition, our Board believes that the Chief Executive Officer should serve on the Board to help communicate the Board’s priorities to management and management’s perspective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291465</wp:posOffset>
            </wp:positionV>
            <wp:extent cx="927735" cy="10814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27735" cy="1081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483E65"/>
        </w:rPr>
        <w:t>GARY S. MAY</w:t>
      </w:r>
    </w:p>
    <w:p>
      <w:pPr>
        <w:spacing w:after="0" w:line="10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Director Since 2015</w:t>
      </w:r>
    </w:p>
    <w:p>
      <w:pPr>
        <w:spacing w:after="0" w:line="5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Age: 55</w:t>
      </w:r>
    </w:p>
    <w:p>
      <w:pPr>
        <w:spacing w:after="0" w:line="5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Leidos Committees:</w:t>
      </w:r>
    </w:p>
    <w:p>
      <w:pPr>
        <w:spacing w:after="0" w:line="10"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Human Resources &amp; Compensation</w:t>
      </w:r>
    </w:p>
    <w:p>
      <w:pPr>
        <w:ind w:left="2620"/>
        <w:spacing w:after="0"/>
        <w:rPr>
          <w:sz w:val="20"/>
          <w:szCs w:val="20"/>
          <w:color w:val="auto"/>
        </w:rPr>
      </w:pPr>
      <w:r>
        <w:rPr>
          <w:rFonts w:ascii="Arial" w:cs="Arial" w:eastAsia="Arial" w:hAnsi="Arial"/>
          <w:sz w:val="17"/>
          <w:szCs w:val="17"/>
          <w:color w:val="auto"/>
        </w:rPr>
        <w:t>Technology &amp; Information Security</w:t>
      </w:r>
    </w:p>
    <w:p>
      <w:pPr>
        <w:spacing w:after="0" w:line="89" w:lineRule="exact"/>
        <w:rPr>
          <w:sz w:val="20"/>
          <w:szCs w:val="20"/>
          <w:color w:val="auto"/>
        </w:rPr>
      </w:pPr>
    </w:p>
    <w:p>
      <w:pPr>
        <w:ind w:left="440" w:right="100"/>
        <w:spacing w:after="0"/>
        <w:rPr>
          <w:sz w:val="20"/>
          <w:szCs w:val="20"/>
          <w:color w:val="auto"/>
        </w:rPr>
      </w:pPr>
      <w:r>
        <w:rPr>
          <w:rFonts w:ascii="Arial" w:cs="Arial" w:eastAsia="Arial" w:hAnsi="Arial"/>
          <w:sz w:val="17"/>
          <w:szCs w:val="17"/>
          <w:b w:val="1"/>
          <w:bCs w:val="1"/>
          <w:color w:val="auto"/>
        </w:rPr>
        <w:t xml:space="preserve">Dr. May </w:t>
      </w:r>
      <w:r>
        <w:rPr>
          <w:rFonts w:ascii="Arial" w:cs="Arial" w:eastAsia="Arial" w:hAnsi="Arial"/>
          <w:sz w:val="17"/>
          <w:szCs w:val="17"/>
          <w:color w:val="auto"/>
        </w:rPr>
        <w:t>has served as the 7th Chancellor of the University of California at Davis since August 2017. He previously served as the Dean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College of Engineering at the Georgia Institute of Technology from 2011 to 2017. Prior to this, Dr. May served as the Chair of the School of Electrical and Computer Engineering from 2005 to 2011 and was the executive assistant to Georgia Tech President G. Wayne Clough from 2002 to 2005. Dr. May was a National Science Foundation and an AT&amp;T Bell Laboratories graduate fellow and worked as a member of the technical staff at AT&amp;T Bell Laboratories. He is a member of the National Advisory Board of the National Society of Black Engineers.</w:t>
      </w:r>
    </w:p>
    <w:p>
      <w:pPr>
        <w:spacing w:after="0" w:line="194" w:lineRule="exact"/>
        <w:rPr>
          <w:sz w:val="20"/>
          <w:szCs w:val="20"/>
          <w:color w:val="auto"/>
        </w:rPr>
      </w:pPr>
    </w:p>
    <w:p>
      <w:pPr>
        <w:jc w:val="both"/>
        <w:ind w:left="440" w:right="280"/>
        <w:spacing w:after="0" w:line="237" w:lineRule="auto"/>
        <w:rPr>
          <w:sz w:val="20"/>
          <w:szCs w:val="20"/>
          <w:color w:val="auto"/>
        </w:rPr>
      </w:pPr>
      <w:r>
        <w:rPr>
          <w:rFonts w:ascii="Arial" w:cs="Arial" w:eastAsia="Arial" w:hAnsi="Arial"/>
          <w:sz w:val="17"/>
          <w:szCs w:val="17"/>
          <w:color w:val="auto"/>
        </w:rPr>
        <w:t>Dr. May is a distinguished researcher in the field of computer-aided manufacturing of integrated circuits (IC). He has authored over 200 articles and technical presentations in the area of IC computer-aided manufacturing and has been honored with numerous awards and distinctions for his work. As an accomplished engineer with leadership experience at a prominent academic institution and expertise in areas relevant to our business, Dr. May provides special insight and perspectives that the Board views as important to us as a leading science and technology company.</w:t>
      </w:r>
    </w:p>
    <w:p>
      <w:pPr>
        <w:spacing w:after="0" w:line="112" w:lineRule="exact"/>
        <w:rPr>
          <w:sz w:val="20"/>
          <w:szCs w:val="20"/>
          <w:color w:val="auto"/>
        </w:rPr>
      </w:pPr>
    </w:p>
    <w:p>
      <w:pPr>
        <w:jc w:val="right"/>
        <w:spacing w:after="0"/>
        <w:tabs>
          <w:tab w:leader="none" w:pos="260" w:val="left"/>
          <w:tab w:leader="none" w:pos="6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5</w:t>
      </w:r>
    </w:p>
    <w:p>
      <w:pPr>
        <w:sectPr>
          <w:pgSz w:w="11900" w:h="16838" w:orient="portrait"/>
          <w:cols w:equalWidth="0" w:num="1">
            <w:col w:w="10800"/>
          </w:cols>
          <w:pgMar w:left="320" w:top="441" w:right="779" w:bottom="1440" w:gutter="0" w:footer="0" w:header="0"/>
          <w:type w:val="continuous"/>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262890</wp:posOffset>
            </wp:positionV>
            <wp:extent cx="927735" cy="10814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27735" cy="1081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2620" w:type="dxa"/>
        <w:tblCellMar>
          <w:top w:w="0" w:type="dxa"/>
          <w:left w:w="0" w:type="dxa"/>
          <w:bottom w:w="0" w:type="dxa"/>
          <w:right w:w="0" w:type="dxa"/>
        </w:tblCellMar>
      </w:tblPr>
      <w:tr>
        <w:trPr>
          <w:trHeight w:val="223"/>
        </w:trPr>
        <w:tc>
          <w:tcPr>
            <w:tcW w:w="3160" w:type="dxa"/>
            <w:vAlign w:val="bottom"/>
          </w:tcPr>
          <w:p>
            <w:pPr>
              <w:spacing w:after="0"/>
              <w:rPr>
                <w:sz w:val="20"/>
                <w:szCs w:val="20"/>
                <w:color w:val="auto"/>
              </w:rPr>
            </w:pPr>
            <w:r>
              <w:rPr>
                <w:rFonts w:ascii="Arial" w:cs="Arial" w:eastAsia="Arial" w:hAnsi="Arial"/>
                <w:sz w:val="17"/>
                <w:szCs w:val="17"/>
                <w:b w:val="1"/>
                <w:bCs w:val="1"/>
                <w:color w:val="483E65"/>
              </w:rPr>
              <w:t>SURYA N. MOHAPATRA</w:t>
            </w:r>
          </w:p>
        </w:tc>
        <w:tc>
          <w:tcPr>
            <w:tcW w:w="3600" w:type="dxa"/>
            <w:vAlign w:val="bottom"/>
          </w:tcPr>
          <w:p>
            <w:pPr>
              <w:ind w:left="460"/>
              <w:spacing w:after="0"/>
              <w:rPr>
                <w:sz w:val="20"/>
                <w:szCs w:val="20"/>
                <w:color w:val="auto"/>
              </w:rPr>
            </w:pPr>
            <w:r>
              <w:rPr>
                <w:rFonts w:ascii="Arial" w:cs="Arial" w:eastAsia="Arial" w:hAnsi="Arial"/>
                <w:sz w:val="17"/>
                <w:szCs w:val="17"/>
                <w:b w:val="1"/>
                <w:bCs w:val="1"/>
                <w:color w:val="auto"/>
                <w:w w:val="99"/>
              </w:rPr>
              <w:t>Current Public Company Directorships</w:t>
            </w:r>
          </w:p>
        </w:tc>
        <w:tc>
          <w:tcPr>
            <w:tcW w:w="0" w:type="dxa"/>
            <w:vAlign w:val="bottom"/>
          </w:tcPr>
          <w:p>
            <w:pPr>
              <w:spacing w:after="0"/>
              <w:rPr>
                <w:sz w:val="1"/>
                <w:szCs w:val="1"/>
                <w:color w:val="auto"/>
              </w:rPr>
            </w:pPr>
          </w:p>
        </w:tc>
      </w:tr>
      <w:tr>
        <w:trPr>
          <w:trHeight w:val="203"/>
        </w:trPr>
        <w:tc>
          <w:tcPr>
            <w:tcW w:w="3160" w:type="dxa"/>
            <w:vAlign w:val="bottom"/>
            <w:vMerge w:val="restart"/>
          </w:tcPr>
          <w:p>
            <w:pPr>
              <w:spacing w:after="0"/>
              <w:rPr>
                <w:sz w:val="20"/>
                <w:szCs w:val="20"/>
                <w:color w:val="auto"/>
              </w:rPr>
            </w:pPr>
            <w:r>
              <w:rPr>
                <w:rFonts w:ascii="Arial" w:cs="Arial" w:eastAsia="Arial" w:hAnsi="Arial"/>
                <w:sz w:val="17"/>
                <w:szCs w:val="17"/>
                <w:b w:val="1"/>
                <w:bCs w:val="1"/>
                <w:color w:val="auto"/>
              </w:rPr>
              <w:t>Director Since 2016</w:t>
            </w:r>
          </w:p>
        </w:tc>
        <w:tc>
          <w:tcPr>
            <w:tcW w:w="3600" w:type="dxa"/>
            <w:vAlign w:val="bottom"/>
          </w:tcPr>
          <w:p>
            <w:pPr>
              <w:ind w:left="460"/>
              <w:spacing w:after="0"/>
              <w:rPr>
                <w:sz w:val="20"/>
                <w:szCs w:val="20"/>
                <w:color w:val="auto"/>
              </w:rPr>
            </w:pPr>
            <w:r>
              <w:rPr>
                <w:rFonts w:ascii="Arial" w:cs="Arial" w:eastAsia="Arial" w:hAnsi="Arial"/>
                <w:sz w:val="17"/>
                <w:szCs w:val="17"/>
                <w:color w:val="auto"/>
              </w:rPr>
              <w:t>Xylem Inc.</w:t>
            </w:r>
          </w:p>
        </w:tc>
        <w:tc>
          <w:tcPr>
            <w:tcW w:w="0" w:type="dxa"/>
            <w:vAlign w:val="bottom"/>
          </w:tcPr>
          <w:p>
            <w:pPr>
              <w:spacing w:after="0"/>
              <w:rPr>
                <w:sz w:val="1"/>
                <w:szCs w:val="1"/>
                <w:color w:val="auto"/>
              </w:rPr>
            </w:pPr>
          </w:p>
        </w:tc>
      </w:tr>
      <w:tr>
        <w:trPr>
          <w:trHeight w:val="102"/>
        </w:trPr>
        <w:tc>
          <w:tcPr>
            <w:tcW w:w="3160" w:type="dxa"/>
            <w:vAlign w:val="bottom"/>
            <w:vMerge w:val="continue"/>
          </w:tcPr>
          <w:p>
            <w:pPr>
              <w:spacing w:after="0"/>
              <w:rPr>
                <w:sz w:val="8"/>
                <w:szCs w:val="8"/>
                <w:color w:val="auto"/>
              </w:rPr>
            </w:pPr>
          </w:p>
        </w:tc>
        <w:tc>
          <w:tcPr>
            <w:tcW w:w="3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3160" w:type="dxa"/>
            <w:vAlign w:val="bottom"/>
          </w:tcPr>
          <w:p>
            <w:pPr>
              <w:spacing w:after="0"/>
              <w:rPr>
                <w:sz w:val="20"/>
                <w:szCs w:val="20"/>
                <w:color w:val="auto"/>
              </w:rPr>
            </w:pPr>
            <w:r>
              <w:rPr>
                <w:rFonts w:ascii="Arial" w:cs="Arial" w:eastAsia="Arial" w:hAnsi="Arial"/>
                <w:sz w:val="17"/>
                <w:szCs w:val="17"/>
                <w:b w:val="1"/>
                <w:bCs w:val="1"/>
                <w:color w:val="auto"/>
              </w:rPr>
              <w:t>Age: 70</w:t>
            </w:r>
          </w:p>
        </w:tc>
        <w:tc>
          <w:tcPr>
            <w:tcW w:w="3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3160" w:type="dxa"/>
            <w:vAlign w:val="bottom"/>
          </w:tcPr>
          <w:p>
            <w:pPr>
              <w:spacing w:after="0"/>
              <w:rPr>
                <w:sz w:val="20"/>
                <w:szCs w:val="20"/>
                <w:color w:val="auto"/>
              </w:rPr>
            </w:pPr>
            <w:r>
              <w:rPr>
                <w:rFonts w:ascii="Arial" w:cs="Arial" w:eastAsia="Arial" w:hAnsi="Arial"/>
                <w:sz w:val="17"/>
                <w:szCs w:val="17"/>
                <w:b w:val="1"/>
                <w:bCs w:val="1"/>
                <w:color w:val="auto"/>
              </w:rPr>
              <w:t>Leidos Committees:</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160" w:type="dxa"/>
            <w:vAlign w:val="bottom"/>
          </w:tcPr>
          <w:p>
            <w:pPr>
              <w:spacing w:after="0" w:line="191" w:lineRule="exact"/>
              <w:rPr>
                <w:sz w:val="20"/>
                <w:szCs w:val="20"/>
                <w:color w:val="auto"/>
              </w:rPr>
            </w:pPr>
            <w:r>
              <w:rPr>
                <w:rFonts w:ascii="Arial" w:cs="Arial" w:eastAsia="Arial" w:hAnsi="Arial"/>
                <w:sz w:val="17"/>
                <w:szCs w:val="17"/>
                <w:color w:val="auto"/>
              </w:rPr>
              <w:t>Human Resources &amp; Compensation</w:t>
            </w: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Arial" w:cs="Arial" w:eastAsia="Arial" w:hAnsi="Arial"/>
                <w:sz w:val="17"/>
                <w:szCs w:val="17"/>
                <w:color w:val="auto"/>
              </w:rPr>
              <w:t>Technology &amp; Information Security</w:t>
            </w:r>
          </w:p>
        </w:tc>
        <w:tc>
          <w:tcPr>
            <w:tcW w:w="3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440"/>
        <w:spacing w:after="0" w:line="242" w:lineRule="auto"/>
        <w:rPr>
          <w:sz w:val="20"/>
          <w:szCs w:val="20"/>
          <w:color w:val="auto"/>
        </w:rPr>
      </w:pPr>
      <w:r>
        <w:rPr>
          <w:rFonts w:ascii="Arial" w:cs="Arial" w:eastAsia="Arial" w:hAnsi="Arial"/>
          <w:sz w:val="17"/>
          <w:szCs w:val="17"/>
          <w:b w:val="1"/>
          <w:bCs w:val="1"/>
          <w:color w:val="auto"/>
        </w:rPr>
        <w:t xml:space="preserve">Dr. Mohapatra </w:t>
      </w:r>
      <w:r>
        <w:rPr>
          <w:rFonts w:ascii="Arial" w:cs="Arial" w:eastAsia="Arial" w:hAnsi="Arial"/>
          <w:sz w:val="17"/>
          <w:szCs w:val="17"/>
          <w:color w:val="auto"/>
        </w:rPr>
        <w:t>has held senior leadership positions in the health care industry for more than 30 years, most recently as the Chairman,</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and Chief Executive Officer of Quest Diagnostics Incorporated, a leading provider of diagnostic testing, information and services where he had been a senior executive since 1999. Dr. Mohapatra is a past Board member of the ITT Corporation and is currently a member of the board of Xylem Inc., a leading global water technology and transport company. He is also a Trustee of The Rockefeller University and an Executive in Residence at the Columbia Business School.</w:t>
      </w:r>
    </w:p>
    <w:p>
      <w:pPr>
        <w:spacing w:after="0" w:line="191" w:lineRule="exact"/>
        <w:rPr>
          <w:sz w:val="20"/>
          <w:szCs w:val="20"/>
          <w:color w:val="auto"/>
        </w:rPr>
      </w:pPr>
    </w:p>
    <w:p>
      <w:pPr>
        <w:ind w:left="440" w:right="60"/>
        <w:spacing w:after="0" w:line="243" w:lineRule="auto"/>
        <w:rPr>
          <w:sz w:val="20"/>
          <w:szCs w:val="20"/>
          <w:color w:val="auto"/>
        </w:rPr>
      </w:pPr>
      <w:r>
        <w:rPr>
          <w:rFonts w:ascii="Arial" w:cs="Arial" w:eastAsia="Arial" w:hAnsi="Arial"/>
          <w:sz w:val="17"/>
          <w:szCs w:val="17"/>
          <w:color w:val="auto"/>
        </w:rPr>
        <w:t>Our Board believes that Dr. Mohapatra’s extensive executive leadership experience in the health care industry and service on other major public company boards provides valuable perspectives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289560</wp:posOffset>
            </wp:positionV>
            <wp:extent cx="927735" cy="10814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27735" cy="1081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620" w:type="dxa"/>
        <w:tblCellMar>
          <w:top w:w="0" w:type="dxa"/>
          <w:left w:w="0" w:type="dxa"/>
          <w:bottom w:w="0" w:type="dxa"/>
          <w:right w:w="0" w:type="dxa"/>
        </w:tblCellMar>
      </w:tblPr>
      <w:tr>
        <w:trPr>
          <w:trHeight w:val="211"/>
        </w:trPr>
        <w:tc>
          <w:tcPr>
            <w:tcW w:w="2960" w:type="dxa"/>
            <w:vAlign w:val="bottom"/>
          </w:tcPr>
          <w:p>
            <w:pPr>
              <w:spacing w:after="0"/>
              <w:rPr>
                <w:sz w:val="20"/>
                <w:szCs w:val="20"/>
                <w:color w:val="auto"/>
              </w:rPr>
            </w:pPr>
            <w:r>
              <w:rPr>
                <w:rFonts w:ascii="Arial" w:cs="Arial" w:eastAsia="Arial" w:hAnsi="Arial"/>
                <w:sz w:val="17"/>
                <w:szCs w:val="17"/>
                <w:b w:val="1"/>
                <w:bCs w:val="1"/>
                <w:color w:val="483E65"/>
              </w:rPr>
              <w:t>LAWRENCE C. NUSSDORF</w:t>
            </w:r>
          </w:p>
        </w:tc>
        <w:tc>
          <w:tcPr>
            <w:tcW w:w="3920" w:type="dxa"/>
            <w:vAlign w:val="bottom"/>
          </w:tcPr>
          <w:p>
            <w:pPr>
              <w:ind w:left="560"/>
              <w:spacing w:after="0"/>
              <w:rPr>
                <w:sz w:val="20"/>
                <w:szCs w:val="20"/>
                <w:color w:val="auto"/>
              </w:rPr>
            </w:pPr>
            <w:r>
              <w:rPr>
                <w:rFonts w:ascii="Arial" w:cs="Arial" w:eastAsia="Arial" w:hAnsi="Arial"/>
                <w:sz w:val="17"/>
                <w:szCs w:val="17"/>
                <w:b w:val="1"/>
                <w:bCs w:val="1"/>
                <w:color w:val="auto"/>
                <w:w w:val="98"/>
              </w:rPr>
              <w:t>Former Directorships During Past 5 Years</w:t>
            </w:r>
          </w:p>
        </w:tc>
        <w:tc>
          <w:tcPr>
            <w:tcW w:w="0" w:type="dxa"/>
            <w:vAlign w:val="bottom"/>
          </w:tcPr>
          <w:p>
            <w:pPr>
              <w:spacing w:after="0"/>
              <w:rPr>
                <w:sz w:val="1"/>
                <w:szCs w:val="1"/>
                <w:color w:val="auto"/>
              </w:rPr>
            </w:pPr>
          </w:p>
        </w:tc>
      </w:tr>
      <w:tr>
        <w:trPr>
          <w:trHeight w:val="203"/>
        </w:trPr>
        <w:tc>
          <w:tcPr>
            <w:tcW w:w="2960" w:type="dxa"/>
            <w:vAlign w:val="bottom"/>
            <w:vMerge w:val="restart"/>
          </w:tcPr>
          <w:p>
            <w:pPr>
              <w:spacing w:after="0"/>
              <w:rPr>
                <w:sz w:val="20"/>
                <w:szCs w:val="20"/>
                <w:color w:val="auto"/>
              </w:rPr>
            </w:pPr>
            <w:r>
              <w:rPr>
                <w:rFonts w:ascii="Arial" w:cs="Arial" w:eastAsia="Arial" w:hAnsi="Arial"/>
                <w:sz w:val="17"/>
                <w:szCs w:val="17"/>
                <w:b w:val="1"/>
                <w:bCs w:val="1"/>
                <w:color w:val="auto"/>
              </w:rPr>
              <w:t>Director Since 2010</w:t>
            </w:r>
          </w:p>
        </w:tc>
        <w:tc>
          <w:tcPr>
            <w:tcW w:w="3920" w:type="dxa"/>
            <w:vAlign w:val="bottom"/>
          </w:tcPr>
          <w:p>
            <w:pPr>
              <w:ind w:left="560"/>
              <w:spacing w:after="0"/>
              <w:rPr>
                <w:sz w:val="20"/>
                <w:szCs w:val="20"/>
                <w:color w:val="auto"/>
              </w:rPr>
            </w:pPr>
            <w:r>
              <w:rPr>
                <w:rFonts w:ascii="Arial" w:cs="Arial" w:eastAsia="Arial" w:hAnsi="Arial"/>
                <w:sz w:val="17"/>
                <w:szCs w:val="17"/>
                <w:color w:val="auto"/>
              </w:rPr>
              <w:t>Pepco Holdings, Inc.</w:t>
            </w:r>
          </w:p>
        </w:tc>
        <w:tc>
          <w:tcPr>
            <w:tcW w:w="0" w:type="dxa"/>
            <w:vAlign w:val="bottom"/>
          </w:tcPr>
          <w:p>
            <w:pPr>
              <w:spacing w:after="0"/>
              <w:rPr>
                <w:sz w:val="1"/>
                <w:szCs w:val="1"/>
                <w:color w:val="auto"/>
              </w:rPr>
            </w:pPr>
          </w:p>
        </w:tc>
      </w:tr>
      <w:tr>
        <w:trPr>
          <w:trHeight w:val="114"/>
        </w:trPr>
        <w:tc>
          <w:tcPr>
            <w:tcW w:w="2960" w:type="dxa"/>
            <w:vAlign w:val="bottom"/>
            <w:vMerge w:val="continue"/>
          </w:tcPr>
          <w:p>
            <w:pPr>
              <w:spacing w:after="0"/>
              <w:rPr>
                <w:sz w:val="9"/>
                <w:szCs w:val="9"/>
                <w:color w:val="auto"/>
              </w:rPr>
            </w:pPr>
          </w:p>
        </w:tc>
        <w:tc>
          <w:tcPr>
            <w:tcW w:w="3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2960" w:type="dxa"/>
            <w:vAlign w:val="bottom"/>
          </w:tcPr>
          <w:p>
            <w:pPr>
              <w:spacing w:after="0"/>
              <w:rPr>
                <w:sz w:val="20"/>
                <w:szCs w:val="20"/>
                <w:color w:val="auto"/>
              </w:rPr>
            </w:pPr>
            <w:r>
              <w:rPr>
                <w:rFonts w:ascii="Arial" w:cs="Arial" w:eastAsia="Arial" w:hAnsi="Arial"/>
                <w:sz w:val="17"/>
                <w:szCs w:val="17"/>
                <w:b w:val="1"/>
                <w:bCs w:val="1"/>
                <w:color w:val="auto"/>
              </w:rPr>
              <w:t>Age: 73</w:t>
            </w:r>
          </w:p>
        </w:tc>
        <w:tc>
          <w:tcPr>
            <w:tcW w:w="3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960" w:type="dxa"/>
            <w:vAlign w:val="bottom"/>
          </w:tcPr>
          <w:p>
            <w:pPr>
              <w:spacing w:after="0"/>
              <w:rPr>
                <w:sz w:val="20"/>
                <w:szCs w:val="20"/>
                <w:color w:val="auto"/>
              </w:rPr>
            </w:pPr>
            <w:r>
              <w:rPr>
                <w:rFonts w:ascii="Arial" w:cs="Arial" w:eastAsia="Arial" w:hAnsi="Arial"/>
                <w:sz w:val="17"/>
                <w:szCs w:val="17"/>
                <w:b w:val="1"/>
                <w:bCs w:val="1"/>
                <w:color w:val="auto"/>
              </w:rPr>
              <w:t>Leidos Committees:</w:t>
            </w: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960" w:type="dxa"/>
            <w:vAlign w:val="bottom"/>
          </w:tcPr>
          <w:p>
            <w:pPr>
              <w:spacing w:after="0" w:line="191" w:lineRule="exact"/>
              <w:rPr>
                <w:sz w:val="20"/>
                <w:szCs w:val="20"/>
                <w:color w:val="auto"/>
              </w:rPr>
            </w:pPr>
            <w:r>
              <w:rPr>
                <w:rFonts w:ascii="Arial" w:cs="Arial" w:eastAsia="Arial" w:hAnsi="Arial"/>
                <w:sz w:val="17"/>
                <w:szCs w:val="17"/>
                <w:color w:val="auto"/>
              </w:rPr>
              <w:t>Audit &amp; Finance (Chair)</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7"/>
                <w:szCs w:val="17"/>
                <w:color w:val="auto"/>
              </w:rPr>
              <w:t>Corporate Governance &amp; Ethics</w:t>
            </w: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440" w:right="160"/>
        <w:spacing w:after="0" w:line="251" w:lineRule="auto"/>
        <w:rPr>
          <w:sz w:val="20"/>
          <w:szCs w:val="20"/>
          <w:color w:val="auto"/>
        </w:rPr>
      </w:pPr>
      <w:r>
        <w:rPr>
          <w:rFonts w:ascii="Arial" w:cs="Arial" w:eastAsia="Arial" w:hAnsi="Arial"/>
          <w:sz w:val="17"/>
          <w:szCs w:val="17"/>
          <w:b w:val="1"/>
          <w:bCs w:val="1"/>
          <w:color w:val="auto"/>
        </w:rPr>
        <w:t xml:space="preserve">Mr. Nussdorf </w:t>
      </w:r>
      <w:r>
        <w:rPr>
          <w:rFonts w:ascii="Arial" w:cs="Arial" w:eastAsia="Arial" w:hAnsi="Arial"/>
          <w:sz w:val="17"/>
          <w:szCs w:val="17"/>
          <w:color w:val="auto"/>
        </w:rPr>
        <w:t>is Chairman and Chief Executive Officer of Clark Enterprises, Inc., a privately held company with interests in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private equity and traditional investments. He previously served as President and Chief Operating Officer of Clark Enterprises from 1998 to 2015 and as Vice President and Treasurer of Clark Construction Group, LLC from 1977 through 2015.</w:t>
      </w:r>
    </w:p>
    <w:p>
      <w:pPr>
        <w:spacing w:after="0" w:line="182" w:lineRule="exact"/>
        <w:rPr>
          <w:sz w:val="20"/>
          <w:szCs w:val="20"/>
          <w:color w:val="auto"/>
        </w:rPr>
      </w:pPr>
    </w:p>
    <w:p>
      <w:pPr>
        <w:ind w:left="440" w:right="40"/>
        <w:spacing w:after="0" w:line="237" w:lineRule="auto"/>
        <w:rPr>
          <w:sz w:val="20"/>
          <w:szCs w:val="20"/>
          <w:color w:val="auto"/>
        </w:rPr>
      </w:pPr>
      <w:r>
        <w:rPr>
          <w:rFonts w:ascii="Arial" w:cs="Arial" w:eastAsia="Arial" w:hAnsi="Arial"/>
          <w:sz w:val="17"/>
          <w:szCs w:val="17"/>
          <w:color w:val="auto"/>
        </w:rPr>
        <w:t>Trained as an attorney and CPA, Mr. Nussdorf has been at the forefront of strategic and long-term planning and has vast experience managing operations and finance for multiple businesses. Our Board believes that this experience, as well as Mr. Nussdorf’s public company board leadership experience, adds valuable perspectives to our Board. He is an “audit committee financial expert” as defined by SEC rules.</w:t>
      </w:r>
    </w:p>
    <w:p>
      <w:pPr>
        <w:spacing w:after="0" w:line="115" w:lineRule="exact"/>
        <w:rPr>
          <w:sz w:val="20"/>
          <w:szCs w:val="20"/>
          <w:color w:val="auto"/>
        </w:rPr>
      </w:pPr>
    </w:p>
    <w:p>
      <w:pPr>
        <w:ind w:left="700" w:hanging="260"/>
        <w:spacing w:after="0"/>
        <w:tabs>
          <w:tab w:leader="none" w:pos="700" w:val="left"/>
        </w:tabs>
        <w:numPr>
          <w:ilvl w:val="0"/>
          <w:numId w:val="8"/>
        </w:numPr>
        <w:rPr>
          <w:rFonts w:ascii="Arial" w:cs="Arial" w:eastAsia="Arial" w:hAnsi="Arial"/>
          <w:sz w:val="15"/>
          <w:szCs w:val="15"/>
          <w:b w:val="1"/>
          <w:bCs w:val="1"/>
          <w:color w:val="483E65"/>
        </w:rPr>
      </w:pPr>
      <w:r>
        <w:rPr>
          <w:rFonts w:ascii="Arial" w:cs="Arial" w:eastAsia="Arial" w:hAnsi="Arial"/>
          <w:sz w:val="15"/>
          <w:szCs w:val="15"/>
          <w:b w:val="1"/>
          <w:bCs w:val="1"/>
          <w:color w:val="483E65"/>
        </w:rPr>
        <w:t>|  2020 Proxy Statement</w:t>
      </w:r>
    </w:p>
    <w:p>
      <w:pPr>
        <w:sectPr>
          <w:pgSz w:w="11900" w:h="16838" w:orient="portrait"/>
          <w:cols w:equalWidth="0" w:num="1">
            <w:col w:w="10780"/>
          </w:cols>
          <w:pgMar w:left="320" w:top="441" w:right="79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262890</wp:posOffset>
            </wp:positionV>
            <wp:extent cx="927735" cy="10814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27735" cy="108140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483E65"/>
        </w:rPr>
        <w:t>ROBERT S. SHAPARD</w:t>
      </w:r>
    </w:p>
    <w:p>
      <w:pPr>
        <w:spacing w:after="0" w:line="15"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483E65"/>
        </w:rPr>
        <w:t>Lead Director</w:t>
      </w:r>
    </w:p>
    <w:p>
      <w:pPr>
        <w:spacing w:after="0" w:line="8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Director Since 2013</w:t>
      </w:r>
    </w:p>
    <w:p>
      <w:pPr>
        <w:spacing w:after="0" w:line="5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Age: 64</w:t>
      </w:r>
    </w:p>
    <w:p>
      <w:pPr>
        <w:spacing w:after="0" w:line="5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Leidos Committees:</w:t>
      </w:r>
    </w:p>
    <w:p>
      <w:pPr>
        <w:spacing w:after="0" w:line="10"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Audit &amp; Finance</w:t>
      </w:r>
    </w:p>
    <w:p>
      <w:pPr>
        <w:ind w:left="2620"/>
        <w:spacing w:after="0"/>
        <w:rPr>
          <w:sz w:val="20"/>
          <w:szCs w:val="20"/>
          <w:color w:val="auto"/>
        </w:rPr>
      </w:pPr>
      <w:r>
        <w:rPr>
          <w:rFonts w:ascii="Arial" w:cs="Arial" w:eastAsia="Arial" w:hAnsi="Arial"/>
          <w:sz w:val="17"/>
          <w:szCs w:val="17"/>
          <w:color w:val="auto"/>
        </w:rPr>
        <w:t>Corporate Governance &amp; Ethics (Chair)</w:t>
      </w:r>
    </w:p>
    <w:p>
      <w:pPr>
        <w:spacing w:after="0" w:line="89" w:lineRule="exact"/>
        <w:rPr>
          <w:sz w:val="20"/>
          <w:szCs w:val="20"/>
          <w:color w:val="auto"/>
        </w:rPr>
      </w:pPr>
    </w:p>
    <w:p>
      <w:pPr>
        <w:ind w:left="440"/>
        <w:spacing w:after="0" w:line="239" w:lineRule="auto"/>
        <w:rPr>
          <w:sz w:val="20"/>
          <w:szCs w:val="20"/>
          <w:color w:val="auto"/>
        </w:rPr>
      </w:pPr>
      <w:r>
        <w:rPr>
          <w:rFonts w:ascii="Arial" w:cs="Arial" w:eastAsia="Arial" w:hAnsi="Arial"/>
          <w:sz w:val="17"/>
          <w:szCs w:val="17"/>
          <w:b w:val="1"/>
          <w:bCs w:val="1"/>
          <w:color w:val="auto"/>
        </w:rPr>
        <w:t xml:space="preserve">Mr. Shapard </w:t>
      </w:r>
      <w:r>
        <w:rPr>
          <w:rFonts w:ascii="Arial" w:cs="Arial" w:eastAsia="Arial" w:hAnsi="Arial"/>
          <w:sz w:val="17"/>
          <w:szCs w:val="17"/>
          <w:color w:val="auto"/>
        </w:rPr>
        <w:t>currently serves as Chairman of the board of directors of Oncor Electric Delivery Company LLC, where he also served as</w:t>
      </w:r>
      <w:r>
        <w:rPr>
          <w:rFonts w:ascii="Arial" w:cs="Arial" w:eastAsia="Arial" w:hAnsi="Arial"/>
          <w:sz w:val="17"/>
          <w:szCs w:val="17"/>
          <w:b w:val="1"/>
          <w:bCs w:val="1"/>
          <w:color w:val="auto"/>
        </w:rPr>
        <w:t xml:space="preserve"> </w:t>
      </w:r>
      <w:r>
        <w:rPr>
          <w:rFonts w:ascii="Arial" w:cs="Arial" w:eastAsia="Arial" w:hAnsi="Arial"/>
          <w:sz w:val="17"/>
          <w:szCs w:val="17"/>
          <w:color w:val="auto"/>
        </w:rPr>
        <w:t>Chief Executive Officer from April 2007. He previously served as a strategic advisor to Oncor, helping to implement and execute growth and development strategies. Between March and October 2005, he served as Chief Financial Officer of Tenet Healthcare Corporation, one of the largest for-profit hospital groups in the United States, and was Executive Vice President and Chief Financial Officer of Exelon Corporation, a large electricity generator and utility operator, from 2002 to February 2005. Before joining Exelon, Mr. Shapard was Executive Vice President and Chief Financial Officer of Ultramar Diamond Shamrock, a North American refining and marketing company. Previously, from 1998 to 2000, Mr. Shapard was CEO and managing director of TXU Australia Pty. Ltd., a subsidiary of the former TXU Corp., which owned and operated electric generation, wholesale trading, retail, and electric and gas regulated utility businesses.</w:t>
      </w:r>
    </w:p>
    <w:p>
      <w:pPr>
        <w:spacing w:after="0" w:line="191" w:lineRule="exact"/>
        <w:rPr>
          <w:sz w:val="20"/>
          <w:szCs w:val="20"/>
          <w:color w:val="auto"/>
        </w:rPr>
      </w:pPr>
    </w:p>
    <w:p>
      <w:pPr>
        <w:ind w:left="440" w:right="100"/>
        <w:spacing w:after="0" w:line="239" w:lineRule="auto"/>
        <w:rPr>
          <w:sz w:val="20"/>
          <w:szCs w:val="20"/>
          <w:color w:val="auto"/>
        </w:rPr>
      </w:pPr>
      <w:r>
        <w:rPr>
          <w:rFonts w:ascii="Arial" w:cs="Arial" w:eastAsia="Arial" w:hAnsi="Arial"/>
          <w:sz w:val="17"/>
          <w:szCs w:val="17"/>
          <w:color w:val="auto"/>
        </w:rPr>
        <w:t>As an experienced executive in the energy industry, Mr. Shapard brings to our Board a unique perspective on issues that are important to our business. In addition, his previous experience as a Chief Financial Officer provides expertise critical to his role as a member on our Board’s Audit &amp; Finance Committee. He is an “audit committee financial expert” as defined by SEC rules</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291465</wp:posOffset>
            </wp:positionV>
            <wp:extent cx="927735" cy="10814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27735" cy="1081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483E65"/>
        </w:rPr>
        <w:t>SUSAN M. STALNECKER</w:t>
      </w:r>
    </w:p>
    <w:p>
      <w:pPr>
        <w:spacing w:after="0" w:line="10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Director Since 2016</w:t>
      </w:r>
    </w:p>
    <w:p>
      <w:pPr>
        <w:spacing w:after="0" w:line="5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Age: 67</w:t>
      </w:r>
    </w:p>
    <w:p>
      <w:pPr>
        <w:spacing w:after="0" w:line="5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Leidos Committees:</w:t>
      </w:r>
    </w:p>
    <w:p>
      <w:pPr>
        <w:spacing w:after="0" w:line="10"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Audit &amp; Finance</w:t>
      </w:r>
    </w:p>
    <w:p>
      <w:pPr>
        <w:ind w:left="2620"/>
        <w:spacing w:after="0"/>
        <w:rPr>
          <w:sz w:val="20"/>
          <w:szCs w:val="20"/>
          <w:color w:val="auto"/>
        </w:rPr>
      </w:pPr>
      <w:r>
        <w:rPr>
          <w:rFonts w:ascii="Arial" w:cs="Arial" w:eastAsia="Arial" w:hAnsi="Arial"/>
          <w:sz w:val="17"/>
          <w:szCs w:val="17"/>
          <w:color w:val="auto"/>
        </w:rPr>
        <w:t>Technology &amp; Information Security</w:t>
      </w:r>
    </w:p>
    <w:p>
      <w:pPr>
        <w:spacing w:after="0" w:line="89" w:lineRule="exact"/>
        <w:rPr>
          <w:sz w:val="20"/>
          <w:szCs w:val="20"/>
          <w:color w:val="auto"/>
        </w:rPr>
      </w:pPr>
    </w:p>
    <w:p>
      <w:pPr>
        <w:ind w:left="440" w:right="100"/>
        <w:spacing w:after="0" w:line="246" w:lineRule="auto"/>
        <w:rPr>
          <w:sz w:val="20"/>
          <w:szCs w:val="20"/>
          <w:color w:val="auto"/>
        </w:rPr>
      </w:pPr>
      <w:r>
        <w:rPr>
          <w:rFonts w:ascii="Arial" w:cs="Arial" w:eastAsia="Arial" w:hAnsi="Arial"/>
          <w:sz w:val="17"/>
          <w:szCs w:val="17"/>
          <w:b w:val="1"/>
          <w:bCs w:val="1"/>
          <w:color w:val="auto"/>
        </w:rPr>
        <w:t xml:space="preserve">Ms. Stalnecker </w:t>
      </w:r>
      <w:r>
        <w:rPr>
          <w:rFonts w:ascii="Arial" w:cs="Arial" w:eastAsia="Arial" w:hAnsi="Arial"/>
          <w:sz w:val="17"/>
          <w:szCs w:val="17"/>
          <w:color w:val="auto"/>
        </w:rPr>
        <w:t>was employed by E.I. du Pont de Nemours &amp; Co. from 1977 to 2016, serving in numerous senior roles during her tenure,</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10 years as Vice President and Treasurer and most recently as Vice President, Corporate Productivity and Hospitality.</w:t>
      </w:r>
    </w:p>
    <w:p>
      <w:pPr>
        <w:ind w:left="440" w:right="420"/>
        <w:spacing w:after="0" w:line="261" w:lineRule="auto"/>
        <w:rPr>
          <w:sz w:val="20"/>
          <w:szCs w:val="20"/>
          <w:color w:val="auto"/>
        </w:rPr>
      </w:pPr>
      <w:r>
        <w:rPr>
          <w:rFonts w:ascii="Arial" w:cs="Arial" w:eastAsia="Arial" w:hAnsi="Arial"/>
          <w:sz w:val="16"/>
          <w:szCs w:val="16"/>
          <w:color w:val="auto"/>
        </w:rPr>
        <w:t>Ms. Stalnecker previously served on the board of directors of PPL Corporation, a public holding company of PPL Electric Utilities Corporation from December 2001 to January 2009, and on the board of trustees of Duke University from 2003 to 2015. She currently serves on the board of directors of Bioventus, LLC, The Macquarie Optimum Funds, and the Duke University Health System, Inc.</w:t>
      </w:r>
    </w:p>
    <w:p>
      <w:pPr>
        <w:spacing w:after="0" w:line="175" w:lineRule="exact"/>
        <w:rPr>
          <w:sz w:val="20"/>
          <w:szCs w:val="20"/>
          <w:color w:val="auto"/>
        </w:rPr>
      </w:pPr>
    </w:p>
    <w:p>
      <w:pPr>
        <w:ind w:left="440" w:right="400"/>
        <w:spacing w:after="0" w:line="243" w:lineRule="auto"/>
        <w:rPr>
          <w:sz w:val="20"/>
          <w:szCs w:val="20"/>
          <w:color w:val="auto"/>
        </w:rPr>
      </w:pPr>
      <w:r>
        <w:rPr>
          <w:rFonts w:ascii="Arial" w:cs="Arial" w:eastAsia="Arial" w:hAnsi="Arial"/>
          <w:sz w:val="17"/>
          <w:szCs w:val="17"/>
          <w:color w:val="auto"/>
        </w:rPr>
        <w:t>Ms. Stalnecker brings to our Board diverse business experience, including financial acumen important to our Board’s Audit &amp; Finance Committee. She is an “audit committee financial expert” as defined by SEC rules</w:t>
      </w:r>
      <w:r>
        <w:rPr>
          <w:rFonts w:ascii="Arial" w:cs="Arial" w:eastAsia="Arial" w:hAnsi="Arial"/>
          <w:sz w:val="17"/>
          <w:szCs w:val="17"/>
          <w:b w:val="1"/>
          <w:bCs w:val="1"/>
          <w:color w:val="auto"/>
        </w:rPr>
        <w:t>.</w:t>
      </w:r>
    </w:p>
    <w:p>
      <w:pPr>
        <w:spacing w:after="0" w:line="110" w:lineRule="exact"/>
        <w:rPr>
          <w:sz w:val="20"/>
          <w:szCs w:val="20"/>
          <w:color w:val="auto"/>
        </w:rPr>
      </w:pPr>
    </w:p>
    <w:p>
      <w:pPr>
        <w:jc w:val="right"/>
        <w:spacing w:after="0"/>
        <w:tabs>
          <w:tab w:leader="none" w:pos="260" w:val="left"/>
          <w:tab w:leader="none" w:pos="6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7</w:t>
      </w:r>
    </w:p>
    <w:p>
      <w:pPr>
        <w:sectPr>
          <w:pgSz w:w="11900" w:h="16838" w:orient="portrait"/>
          <w:cols w:equalWidth="0" w:num="1">
            <w:col w:w="10800"/>
          </w:cols>
          <w:pgMar w:left="320" w:top="441" w:right="77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262890</wp:posOffset>
            </wp:positionV>
            <wp:extent cx="927735" cy="10814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27735" cy="1081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483E65"/>
        </w:rPr>
        <w:t>NOEL B. WILLIAMS</w:t>
      </w:r>
    </w:p>
    <w:p>
      <w:pPr>
        <w:spacing w:after="0" w:line="10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Director Since 2013</w:t>
      </w:r>
    </w:p>
    <w:p>
      <w:pPr>
        <w:spacing w:after="0" w:line="5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Age: 65</w:t>
      </w:r>
    </w:p>
    <w:p>
      <w:pPr>
        <w:spacing w:after="0" w:line="59"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Leidos Committees:</w:t>
      </w:r>
    </w:p>
    <w:p>
      <w:pPr>
        <w:spacing w:after="0" w:line="10"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Corporate Governance &amp; Ethics</w:t>
      </w:r>
    </w:p>
    <w:p>
      <w:pPr>
        <w:ind w:left="2620"/>
        <w:spacing w:after="0"/>
        <w:rPr>
          <w:sz w:val="20"/>
          <w:szCs w:val="20"/>
          <w:color w:val="auto"/>
        </w:rPr>
      </w:pPr>
      <w:r>
        <w:rPr>
          <w:rFonts w:ascii="Arial" w:cs="Arial" w:eastAsia="Arial" w:hAnsi="Arial"/>
          <w:sz w:val="17"/>
          <w:szCs w:val="17"/>
          <w:color w:val="auto"/>
        </w:rPr>
        <w:t>Human Resources &amp; Compensation (Chair)</w:t>
      </w:r>
    </w:p>
    <w:p>
      <w:pPr>
        <w:spacing w:after="0" w:line="89" w:lineRule="exact"/>
        <w:rPr>
          <w:sz w:val="20"/>
          <w:szCs w:val="20"/>
          <w:color w:val="auto"/>
        </w:rPr>
      </w:pPr>
    </w:p>
    <w:p>
      <w:pPr>
        <w:ind w:left="440"/>
        <w:spacing w:after="0" w:line="257" w:lineRule="auto"/>
        <w:rPr>
          <w:sz w:val="20"/>
          <w:szCs w:val="20"/>
          <w:color w:val="auto"/>
        </w:rPr>
      </w:pPr>
      <w:r>
        <w:rPr>
          <w:rFonts w:ascii="Arial" w:cs="Arial" w:eastAsia="Arial" w:hAnsi="Arial"/>
          <w:sz w:val="16"/>
          <w:szCs w:val="16"/>
          <w:b w:val="1"/>
          <w:bCs w:val="1"/>
          <w:color w:val="auto"/>
        </w:rPr>
        <w:t xml:space="preserve">Ms. Williams </w:t>
      </w:r>
      <w:r>
        <w:rPr>
          <w:rFonts w:ascii="Arial" w:cs="Arial" w:eastAsia="Arial" w:hAnsi="Arial"/>
          <w:sz w:val="16"/>
          <w:szCs w:val="16"/>
          <w:color w:val="auto"/>
        </w:rPr>
        <w:t>is the retired President of HCA Information Technology &amp; Services, Inc., a wholly owned subsidiary of Nashville-based HCA</w:t>
      </w:r>
      <w:r>
        <w:rPr>
          <w:rFonts w:ascii="Arial" w:cs="Arial" w:eastAsia="Arial" w:hAnsi="Arial"/>
          <w:sz w:val="16"/>
          <w:szCs w:val="16"/>
          <w:b w:val="1"/>
          <w:bCs w:val="1"/>
          <w:color w:val="auto"/>
        </w:rPr>
        <w:t xml:space="preserve"> </w:t>
      </w:r>
      <w:r>
        <w:rPr>
          <w:rFonts w:ascii="Arial" w:cs="Arial" w:eastAsia="Arial" w:hAnsi="Arial"/>
          <w:sz w:val="16"/>
          <w:szCs w:val="16"/>
          <w:color w:val="auto"/>
        </w:rPr>
        <w:t>(Hospital Corporation of America). Ms. Williams has over 35 years of experience in healthcare IT. She spent 30 years in HCA’s Information Service Department in a variety of positions. Ms. Williams has previously served on the boards of Franklin Road Academy, the United Way of Middle Tennessee, The Nashville Alliance for Public Education, the National Alliance for Health Information Technology (NAHIT), The HCA Foundation and the American Hospital Association Working Group for Health IT Standards. Ms. Williams is an Emeritus member of the Vanderbilt University School of Engineering Committee of Visitors and a member of the Leadership Nashville class of 2010. She also served as an adjunct professor in the Owen School of Management of Vanderbilt University for several years.</w:t>
      </w:r>
    </w:p>
    <w:p>
      <w:pPr>
        <w:spacing w:after="0" w:line="178" w:lineRule="exact"/>
        <w:rPr>
          <w:sz w:val="20"/>
          <w:szCs w:val="20"/>
          <w:color w:val="auto"/>
        </w:rPr>
      </w:pPr>
    </w:p>
    <w:p>
      <w:pPr>
        <w:ind w:left="440" w:right="660"/>
        <w:spacing w:after="0" w:line="243" w:lineRule="auto"/>
        <w:rPr>
          <w:sz w:val="20"/>
          <w:szCs w:val="20"/>
          <w:color w:val="auto"/>
        </w:rPr>
      </w:pPr>
      <w:r>
        <w:rPr>
          <w:rFonts w:ascii="Arial" w:cs="Arial" w:eastAsia="Arial" w:hAnsi="Arial"/>
          <w:sz w:val="17"/>
          <w:szCs w:val="17"/>
          <w:color w:val="auto"/>
        </w:rPr>
        <w:t>Ms. Williams brings to our Board extensive leadership experience in healthcare information technology. She provides insights and perspectives that our Board views as important to us as a provider of information technology services and solutions.</w:t>
      </w:r>
    </w:p>
    <w:p>
      <w:pPr>
        <w:spacing w:after="0" w:line="110" w:lineRule="exact"/>
        <w:rPr>
          <w:sz w:val="20"/>
          <w:szCs w:val="20"/>
          <w:color w:val="auto"/>
        </w:rPr>
      </w:pPr>
    </w:p>
    <w:p>
      <w:pPr>
        <w:ind w:left="700" w:hanging="260"/>
        <w:spacing w:after="0"/>
        <w:tabs>
          <w:tab w:leader="none" w:pos="700" w:val="left"/>
        </w:tabs>
        <w:numPr>
          <w:ilvl w:val="0"/>
          <w:numId w:val="9"/>
        </w:numPr>
        <w:rPr>
          <w:rFonts w:ascii="Arial" w:cs="Arial" w:eastAsia="Arial" w:hAnsi="Arial"/>
          <w:sz w:val="15"/>
          <w:szCs w:val="15"/>
          <w:b w:val="1"/>
          <w:bCs w:val="1"/>
          <w:color w:val="483E65"/>
        </w:rPr>
      </w:pPr>
      <w:r>
        <w:rPr>
          <w:rFonts w:ascii="Arial" w:cs="Arial" w:eastAsia="Arial" w:hAnsi="Arial"/>
          <w:sz w:val="15"/>
          <w:szCs w:val="15"/>
          <w:b w:val="1"/>
          <w:bCs w:val="1"/>
          <w:color w:val="483E65"/>
        </w:rPr>
        <w:t>|  2020 Proxy Statement</w:t>
      </w:r>
    </w:p>
    <w:p>
      <w:pPr>
        <w:sectPr>
          <w:pgSz w:w="11900" w:h="16838" w:orient="portrait"/>
          <w:cols w:equalWidth="0" w:num="1">
            <w:col w:w="10800"/>
          </w:cols>
          <w:pgMar w:left="320" w:top="441" w:right="77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Corporate Governance Guidelines</w:t>
      </w:r>
    </w:p>
    <w:p>
      <w:pPr>
        <w:spacing w:after="0" w:line="218" w:lineRule="exact"/>
        <w:rPr>
          <w:sz w:val="20"/>
          <w:szCs w:val="20"/>
          <w:color w:val="auto"/>
        </w:rPr>
      </w:pPr>
    </w:p>
    <w:p>
      <w:pPr>
        <w:ind w:left="440"/>
        <w:spacing w:after="0" w:line="235" w:lineRule="auto"/>
        <w:rPr>
          <w:sz w:val="20"/>
          <w:szCs w:val="20"/>
          <w:color w:val="auto"/>
        </w:rPr>
      </w:pPr>
      <w:r>
        <w:rPr>
          <w:rFonts w:ascii="Arial" w:cs="Arial" w:eastAsia="Arial" w:hAnsi="Arial"/>
          <w:sz w:val="17"/>
          <w:szCs w:val="17"/>
          <w:color w:val="auto"/>
        </w:rPr>
        <w:t>Our Board recognizes the importance of strong corporate governance as a means of addressing the various needs of our stockholders, employees, customers and other stakeholders. As a result, our Board has adopted Corporate Governance Guidelines which, together with our certificate of incorporation, bylaws, committee charters and other key governance practices and policies, provide the framework for our corporate governance. Our Corporate Governance Guidelines cover a wide range of subjects, including criteria for determining the independence and qualification of our directors. These guidelines are available on our website at www.leidos.com by clicking on the links entitled “Investors” followed by “Corporate Governance.” The Board recognizes that observing good corporate governance practices is an ongoing responsibility. The Corporate Governance and Ethics Committee regularly reviews corporate governance developments and recommends revisions to these Corporate Governance Guidelines and other corporate governance documents as necessary to promote our stockholders’ best interests and to help ensure that we comply with all applicable laws, regulations and stock exchange requirements.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Codes of Conduct</w:t>
      </w:r>
    </w:p>
    <w:p>
      <w:pPr>
        <w:spacing w:after="0" w:line="218" w:lineRule="exact"/>
        <w:rPr>
          <w:sz w:val="20"/>
          <w:szCs w:val="20"/>
          <w:color w:val="auto"/>
        </w:rPr>
      </w:pPr>
    </w:p>
    <w:p>
      <w:pPr>
        <w:ind w:left="440" w:right="60"/>
        <w:spacing w:after="0" w:line="237" w:lineRule="auto"/>
        <w:rPr>
          <w:sz w:val="20"/>
          <w:szCs w:val="20"/>
          <w:color w:val="auto"/>
        </w:rPr>
      </w:pPr>
      <w:r>
        <w:rPr>
          <w:rFonts w:ascii="Arial" w:cs="Arial" w:eastAsia="Arial" w:hAnsi="Arial"/>
          <w:sz w:val="17"/>
          <w:szCs w:val="17"/>
          <w:color w:val="auto"/>
        </w:rPr>
        <w:t>All of our employees, including our executive officers, are required to comply with our Code of Conduct, which describes our standards for protecting company and customer assets, fostering a safe and healthy work environment, dealing fairly with customers and others, conducting international business properly, reporting misconduct and protecting employees from retaliation. This code forms the foundation of our corporate policies and procedures designed to promote ethical behavior in all aspects of our business.</w:t>
      </w:r>
    </w:p>
    <w:p>
      <w:pPr>
        <w:spacing w:after="0" w:line="194" w:lineRule="exact"/>
        <w:rPr>
          <w:sz w:val="20"/>
          <w:szCs w:val="20"/>
          <w:color w:val="auto"/>
        </w:rPr>
      </w:pPr>
    </w:p>
    <w:p>
      <w:pPr>
        <w:ind w:left="440" w:right="120"/>
        <w:spacing w:after="0" w:line="237" w:lineRule="auto"/>
        <w:rPr>
          <w:sz w:val="20"/>
          <w:szCs w:val="20"/>
          <w:color w:val="auto"/>
        </w:rPr>
      </w:pPr>
      <w:r>
        <w:rPr>
          <w:rFonts w:ascii="Arial" w:cs="Arial" w:eastAsia="Arial" w:hAnsi="Arial"/>
          <w:sz w:val="17"/>
          <w:szCs w:val="17"/>
          <w:color w:val="auto"/>
        </w:rPr>
        <w:t>Our directors also are required to comply with our Code of Business Conduct of the Board of Directors intended to describe areas of ethical risk, provide guidance to directors and help foster a culture of honesty and accountability. This code addresses areas of professional conduct relating to service on our Board, including conflicts of interest, protection of confidential information, fair dealing and compliance with all applicable laws and regulations.</w:t>
      </w:r>
    </w:p>
    <w:p>
      <w:pPr>
        <w:spacing w:after="0" w:line="194" w:lineRule="exact"/>
        <w:rPr>
          <w:sz w:val="20"/>
          <w:szCs w:val="20"/>
          <w:color w:val="auto"/>
        </w:rPr>
      </w:pPr>
    </w:p>
    <w:p>
      <w:pPr>
        <w:jc w:val="both"/>
        <w:ind w:left="440" w:right="460"/>
        <w:spacing w:after="0" w:line="239" w:lineRule="auto"/>
        <w:rPr>
          <w:sz w:val="20"/>
          <w:szCs w:val="20"/>
          <w:color w:val="auto"/>
        </w:rPr>
      </w:pPr>
      <w:r>
        <w:rPr>
          <w:rFonts w:ascii="Arial" w:cs="Arial" w:eastAsia="Arial" w:hAnsi="Arial"/>
          <w:sz w:val="17"/>
          <w:szCs w:val="17"/>
          <w:color w:val="auto"/>
        </w:rPr>
        <w:t>These documents are available on our website at www.leidos.com by clicking on the links entitled “Investors” followed by “Corporate Governance.” We intend to post on our website any material changes to or waivers from our Code of Conduct and Code of Business Conduct of the Board of Directors.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Director Independence</w:t>
      </w:r>
    </w:p>
    <w:p>
      <w:pPr>
        <w:spacing w:after="0" w:line="218" w:lineRule="exact"/>
        <w:rPr>
          <w:sz w:val="20"/>
          <w:szCs w:val="20"/>
          <w:color w:val="auto"/>
        </w:rPr>
      </w:pPr>
    </w:p>
    <w:p>
      <w:pPr>
        <w:ind w:left="440" w:right="20"/>
        <w:spacing w:after="0" w:line="236" w:lineRule="auto"/>
        <w:rPr>
          <w:sz w:val="20"/>
          <w:szCs w:val="20"/>
          <w:color w:val="auto"/>
        </w:rPr>
      </w:pPr>
      <w:r>
        <w:rPr>
          <w:rFonts w:ascii="Arial" w:cs="Arial" w:eastAsia="Arial" w:hAnsi="Arial"/>
          <w:sz w:val="17"/>
          <w:szCs w:val="17"/>
          <w:color w:val="auto"/>
        </w:rPr>
        <w:t>The Board annually determines the independence of each of our directors and nominees in accordance with the Corporate Governance Guidelines. These guidelines provide that “independent” directors are those who are independent of management and free from any relationship that, in the judgment of the Board, would interfere with their exercise of independent judgment. No director qualifies as independent unless the Board affirmatively determines that the director has no material relationship with us (either directly or as a partner, stockholder or officer of an organization with which we have a relationship). The Board has established independence standards set forth in the Corporate Governance Guidelines that include all elements of independence required by the listing standards of the New York Stock Exchange, or NYSE.</w:t>
      </w:r>
    </w:p>
    <w:p>
      <w:pPr>
        <w:spacing w:after="0" w:line="192" w:lineRule="exact"/>
        <w:rPr>
          <w:sz w:val="20"/>
          <w:szCs w:val="20"/>
          <w:color w:val="auto"/>
        </w:rPr>
      </w:pPr>
    </w:p>
    <w:p>
      <w:pPr>
        <w:ind w:left="440" w:right="20"/>
        <w:spacing w:after="0" w:line="237" w:lineRule="auto"/>
        <w:rPr>
          <w:sz w:val="20"/>
          <w:szCs w:val="20"/>
          <w:color w:val="auto"/>
        </w:rPr>
      </w:pPr>
      <w:r>
        <w:rPr>
          <w:rFonts w:ascii="Arial" w:cs="Arial" w:eastAsia="Arial" w:hAnsi="Arial"/>
          <w:sz w:val="17"/>
          <w:szCs w:val="17"/>
          <w:color w:val="auto"/>
        </w:rPr>
        <w:t>All members of the Audit and Finance, Human Resources and Compensation and Corporate Governance and Ethics Committees must be independent directors as defined by the Corporate Governance Guidelines. Members of the Audit and Finance Committee and the Human Resources and Compensation Committee must also satisfy separate independence requirements which require that they may not accept directly or indirectly any consulting, advisory or other compensatory fee from us or any of our subsidiaries other than their directors’ compensation or be an affiliated person of ours or any of our subsidiaries.</w:t>
      </w:r>
    </w:p>
    <w:p>
      <w:pPr>
        <w:spacing w:after="0" w:line="191" w:lineRule="exact"/>
        <w:rPr>
          <w:sz w:val="20"/>
          <w:szCs w:val="20"/>
          <w:color w:val="auto"/>
        </w:rPr>
      </w:pPr>
    </w:p>
    <w:p>
      <w:pPr>
        <w:ind w:left="440" w:right="80"/>
        <w:spacing w:after="0" w:line="237" w:lineRule="auto"/>
        <w:rPr>
          <w:sz w:val="20"/>
          <w:szCs w:val="20"/>
          <w:color w:val="auto"/>
        </w:rPr>
      </w:pPr>
      <w:r>
        <w:rPr>
          <w:rFonts w:ascii="Arial" w:cs="Arial" w:eastAsia="Arial" w:hAnsi="Arial"/>
          <w:sz w:val="17"/>
          <w:szCs w:val="17"/>
          <w:color w:val="auto"/>
        </w:rPr>
        <w:t>Each year, our directors are obligated to complete a questionnaire which requires them to disclose any transactions with us in which the director or any member of his or her immediate family might have a direct or potential conflict of interest. Based on its review of an analysis of the responses, the Board determined that all directors are independent under its guidelines and free from any relationship that would interfere with the exercise of their independent judgment, except for Roger A. Krone because of his role as our Chief Executive Officer.</w:t>
      </w:r>
    </w:p>
    <w:p>
      <w:pPr>
        <w:spacing w:after="0" w:line="112" w:lineRule="exact"/>
        <w:rPr>
          <w:sz w:val="20"/>
          <w:szCs w:val="20"/>
          <w:color w:val="auto"/>
        </w:rPr>
      </w:pPr>
    </w:p>
    <w:p>
      <w:pPr>
        <w:jc w:val="right"/>
        <w:spacing w:after="0"/>
        <w:tabs>
          <w:tab w:leader="none" w:pos="260" w:val="left"/>
          <w:tab w:leader="none" w:pos="6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9</w:t>
      </w:r>
    </w:p>
    <w:p>
      <w:pPr>
        <w:sectPr>
          <w:pgSz w:w="11900" w:h="16838" w:orient="portrait"/>
          <w:cols w:equalWidth="0" w:num="1">
            <w:col w:w="10800"/>
          </w:cols>
          <w:pgMar w:left="320" w:top="441" w:right="77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Criteria for Board Membership</w:t>
      </w:r>
    </w:p>
    <w:p>
      <w:pPr>
        <w:spacing w:after="0" w:line="218" w:lineRule="exact"/>
        <w:rPr>
          <w:sz w:val="20"/>
          <w:szCs w:val="20"/>
          <w:color w:val="auto"/>
        </w:rPr>
      </w:pPr>
    </w:p>
    <w:p>
      <w:pPr>
        <w:ind w:left="440"/>
        <w:spacing w:after="0" w:line="236" w:lineRule="auto"/>
        <w:rPr>
          <w:sz w:val="20"/>
          <w:szCs w:val="20"/>
          <w:color w:val="auto"/>
        </w:rPr>
      </w:pPr>
      <w:r>
        <w:rPr>
          <w:rFonts w:ascii="Arial" w:cs="Arial" w:eastAsia="Arial" w:hAnsi="Arial"/>
          <w:sz w:val="17"/>
          <w:szCs w:val="17"/>
          <w:color w:val="auto"/>
        </w:rPr>
        <w:t>To fulfill its responsibility to identify and recommend to the full Board nominees for election as directors, the Corporate Governance and Ethics Committee reviews the composition of the Board to determine the qualifications and areas of expertise needed to further enhance the composition of the Board. In evaluating potential nominees, the Committee and the Board consider each individual in the context of the Board as a whole, with the objective of recommending to stockholders a slate of individual director nominees that can best continue the success of our business and advance stockholders’ interests. In evaluating the suitability of individual nominees, the Corporate Governance and Ethics Committee and the Board consider many factors, including:</w:t>
      </w:r>
    </w:p>
    <w:p>
      <w:pPr>
        <w:sectPr>
          <w:pgSz w:w="11900" w:h="16838" w:orient="portrait"/>
          <w:cols w:equalWidth="0" w:num="1">
            <w:col w:w="10800"/>
          </w:cols>
          <w:pgMar w:left="320" w:top="441" w:right="779" w:bottom="1440" w:gutter="0" w:footer="0" w:header="0"/>
        </w:sectPr>
      </w:pPr>
    </w:p>
    <w:p>
      <w:pPr>
        <w:spacing w:after="0" w:line="226"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376"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376"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expertise and involvement in areas relevant to our business such as defense, intelligence, science, finance, government or commercial and international business;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interpersonal skills, substantial personal accomplishments and diversity as to gender, age, race/ethnicity and experience;</w:t>
      </w:r>
    </w:p>
    <w:p>
      <w:pPr>
        <w:spacing w:after="0" w:line="59"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commitment to business ethics, professional reputation, independence and understanding of the responsibilities of a director and the governance processes of a public company;</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demonstrated leadership, with the ability to exercise sound judgment informed by diversity of experience and perspectives; and</w:t>
      </w:r>
    </w:p>
    <w:p>
      <w:pPr>
        <w:spacing w:after="0" w:line="70" w:lineRule="exact"/>
        <w:rPr>
          <w:sz w:val="20"/>
          <w:szCs w:val="20"/>
          <w:color w:val="auto"/>
        </w:rPr>
      </w:pPr>
    </w:p>
    <w:p>
      <w:pPr>
        <w:ind w:right="380"/>
        <w:spacing w:after="0" w:line="239" w:lineRule="auto"/>
        <w:rPr>
          <w:sz w:val="20"/>
          <w:szCs w:val="20"/>
          <w:color w:val="auto"/>
        </w:rPr>
      </w:pPr>
      <w:r>
        <w:rPr>
          <w:rFonts w:ascii="Arial" w:cs="Arial" w:eastAsia="Arial" w:hAnsi="Arial"/>
          <w:sz w:val="17"/>
          <w:szCs w:val="17"/>
          <w:color w:val="auto"/>
        </w:rPr>
        <w:t>benefits from the continuing service of qualified incumbent directors in promoting stability and continuity, contributing to the Board’s ability to work together as a collective body and giving the company the benefit of experience and insight that its directors have accumulated during their tenure.</w:t>
      </w:r>
    </w:p>
    <w:p>
      <w:pPr>
        <w:spacing w:after="0" w:line="191" w:lineRule="exact"/>
        <w:rPr>
          <w:sz w:val="20"/>
          <w:szCs w:val="20"/>
          <w:color w:val="auto"/>
        </w:rPr>
      </w:pPr>
    </w:p>
    <w:p>
      <w:pPr>
        <w:sectPr>
          <w:pgSz w:w="11900" w:h="16838" w:orient="portrait"/>
          <w:cols w:equalWidth="0" w:num="2">
            <w:col w:w="880" w:space="380"/>
            <w:col w:w="9540"/>
          </w:cols>
          <w:pgMar w:left="320" w:top="441" w:right="779" w:bottom="1440" w:gutter="0" w:footer="0" w:header="0"/>
          <w:type w:val="continuous"/>
        </w:sectPr>
      </w:pPr>
    </w:p>
    <w:p>
      <w:pPr>
        <w:ind w:left="440" w:right="100"/>
        <w:spacing w:after="0" w:line="237" w:lineRule="auto"/>
        <w:rPr>
          <w:sz w:val="20"/>
          <w:szCs w:val="20"/>
          <w:color w:val="auto"/>
        </w:rPr>
      </w:pPr>
      <w:r>
        <w:rPr>
          <w:rFonts w:ascii="Arial" w:cs="Arial" w:eastAsia="Arial" w:hAnsi="Arial"/>
          <w:sz w:val="17"/>
          <w:szCs w:val="17"/>
          <w:color w:val="auto"/>
        </w:rPr>
        <w:t>The Corporate Governance and Ethics Committee reviews the director selection process annually and the Committee and the Board assess its effectiveness through an annual written evaluation process. The Board expects a high level of commitment from its members and will review a candidate’s other commitments and service on other boards to ensure that the candidate has sufficient time to devote to us. In addition, non-employee directors may not serve on the boards of directors of more than two other publicly-traded companies. Moreover, directors are expected to act ethically at all times and adhere to our Code of Business Conduct of the Board of Directors.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Board Leadership Structure</w:t>
      </w:r>
    </w:p>
    <w:p>
      <w:pPr>
        <w:spacing w:after="0" w:line="218" w:lineRule="exact"/>
        <w:rPr>
          <w:sz w:val="20"/>
          <w:szCs w:val="20"/>
          <w:color w:val="auto"/>
        </w:rPr>
      </w:pPr>
    </w:p>
    <w:p>
      <w:pPr>
        <w:ind w:left="440"/>
        <w:spacing w:after="0" w:line="236" w:lineRule="auto"/>
        <w:rPr>
          <w:sz w:val="20"/>
          <w:szCs w:val="20"/>
          <w:color w:val="auto"/>
        </w:rPr>
      </w:pPr>
      <w:r>
        <w:rPr>
          <w:rFonts w:ascii="Arial" w:cs="Arial" w:eastAsia="Arial" w:hAnsi="Arial"/>
          <w:sz w:val="17"/>
          <w:szCs w:val="17"/>
          <w:color w:val="auto"/>
        </w:rPr>
        <w:t>The Board is currently led by Roger A. Krone as Chair and Robert S. Shapard as independent Lead Director. Our Board believes that it is in the best interests of stockholders for the Board to have the flexibility to determine the most qualified and appropriate individual to serve as Chair of the Board, whether that person is an independent director or the Chief Executive Officer. The Board selects the Chair annually and may decide to separate or combine the roles of Chair of the Board and Chief Executive Officer, if appropriate, any time in the future. In cases where the Board determines it is in the best interests of our stockholders to combine the positions of Chair and Chief Executive Officer, the Corporate Governance and Ethics Committee nominates an independent director to serve as “Lead Director,” who then must be approved by at least a majority of the independent directors.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Lead Director has specifically delineated duties, which include:</w:t>
      </w:r>
    </w:p>
    <w:p>
      <w:pPr>
        <w:sectPr>
          <w:pgSz w:w="11900" w:h="16838" w:orient="portrait"/>
          <w:cols w:equalWidth="0" w:num="1">
            <w:col w:w="10800"/>
          </w:cols>
          <w:pgMar w:left="320" w:top="441" w:right="779" w:bottom="1440" w:gutter="0" w:footer="0" w:header="0"/>
          <w:type w:val="continuous"/>
        </w:sectPr>
      </w:pPr>
    </w:p>
    <w:p>
      <w:pPr>
        <w:spacing w:after="0" w:line="231"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reviewing and approving meeting agendas and the annual schedule of meetings;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providing input to the Chair on the quantity, quality and timeliness of information provided to the Board;</w:t>
      </w:r>
    </w:p>
    <w:p>
      <w:pPr>
        <w:spacing w:after="0" w:line="59" w:lineRule="exact"/>
        <w:rPr>
          <w:sz w:val="20"/>
          <w:szCs w:val="20"/>
          <w:color w:val="auto"/>
        </w:rPr>
      </w:pPr>
    </w:p>
    <w:p>
      <w:pPr>
        <w:ind w:right="100"/>
        <w:spacing w:after="0" w:line="312" w:lineRule="auto"/>
        <w:rPr>
          <w:sz w:val="20"/>
          <w:szCs w:val="20"/>
          <w:color w:val="auto"/>
        </w:rPr>
      </w:pPr>
      <w:r>
        <w:rPr>
          <w:rFonts w:ascii="Arial" w:cs="Arial" w:eastAsia="Arial" w:hAnsi="Arial"/>
          <w:sz w:val="17"/>
          <w:szCs w:val="17"/>
          <w:color w:val="auto"/>
        </w:rPr>
        <w:t>calling and chairing all meetings of the independent directors and apprising the Chair of the issues considered, as appropriate; presiding, in the Chair’s absence, at Board meetings and the annual meeting of stockholders;</w:t>
      </w:r>
    </w:p>
    <w:p>
      <w:pPr>
        <w:ind w:right="240"/>
        <w:spacing w:after="0" w:line="243" w:lineRule="auto"/>
        <w:rPr>
          <w:sz w:val="20"/>
          <w:szCs w:val="20"/>
          <w:color w:val="auto"/>
        </w:rPr>
      </w:pPr>
      <w:r>
        <w:rPr>
          <w:rFonts w:ascii="Arial" w:cs="Arial" w:eastAsia="Arial" w:hAnsi="Arial"/>
          <w:sz w:val="17"/>
          <w:szCs w:val="17"/>
          <w:color w:val="auto"/>
        </w:rPr>
        <w:t>helping the Chair facilitate full and candid Board discussions, ensuring all directors express their views on key Board matters and assisting the Board in achieving a consensus;</w:t>
      </w:r>
    </w:p>
    <w:p>
      <w:pPr>
        <w:spacing w:after="0" w:line="49" w:lineRule="exact"/>
        <w:rPr>
          <w:sz w:val="20"/>
          <w:szCs w:val="20"/>
          <w:color w:val="auto"/>
        </w:rPr>
      </w:pPr>
    </w:p>
    <w:p>
      <w:pPr>
        <w:sectPr>
          <w:pgSz w:w="11900" w:h="16838" w:orient="portrait"/>
          <w:cols w:equalWidth="0" w:num="2">
            <w:col w:w="880" w:space="380"/>
            <w:col w:w="9540"/>
          </w:cols>
          <w:pgMar w:left="320" w:top="441" w:right="779" w:bottom="1440" w:gutter="0" w:footer="0" w:header="0"/>
          <w:type w:val="continuous"/>
        </w:sectPr>
      </w:pPr>
    </w:p>
    <w:p>
      <w:pPr>
        <w:spacing w:after="0" w:line="7"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being authorized to attend all committee meetings, as appropriate;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serving as the liaison between the independent directors and the Chair and Chief Executive Officer;</w:t>
      </w:r>
    </w:p>
    <w:p>
      <w:pPr>
        <w:spacing w:after="0" w:line="131" w:lineRule="exact"/>
        <w:rPr>
          <w:sz w:val="20"/>
          <w:szCs w:val="20"/>
          <w:color w:val="auto"/>
        </w:rPr>
      </w:pPr>
    </w:p>
    <w:p>
      <w:pPr>
        <w:sectPr>
          <w:pgSz w:w="11900" w:h="16838" w:orient="portrait"/>
          <w:cols w:equalWidth="0" w:num="2">
            <w:col w:w="880" w:space="380"/>
            <w:col w:w="9540"/>
          </w:cols>
          <w:pgMar w:left="320" w:top="441" w:right="779" w:bottom="1440" w:gutter="0" w:footer="0" w:header="0"/>
          <w:type w:val="continuous"/>
        </w:sect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10</w:t>
        <w:tab/>
        <w:t>|</w:t>
        <w:tab/>
        <w:t>2020 Proxy Statement</w:t>
      </w:r>
    </w:p>
    <w:p>
      <w:pPr>
        <w:sectPr>
          <w:pgSz w:w="11900" w:h="16838" w:orient="portrait"/>
          <w:cols w:equalWidth="0" w:num="1">
            <w:col w:w="10800"/>
          </w:cols>
          <w:pgMar w:left="320" w:top="441" w:right="779" w:bottom="1440" w:gutter="0" w:footer="0" w:header="0"/>
          <w:type w:val="continuous"/>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7260"/>
        <w:spacing w:after="0"/>
        <w:rPr>
          <w:sz w:val="20"/>
          <w:szCs w:val="20"/>
          <w:color w:val="auto"/>
        </w:rPr>
      </w:pPr>
      <w:r>
        <w:rPr>
          <w:rFonts w:ascii="Arial" w:cs="Arial" w:eastAsia="Arial" w:hAnsi="Arial"/>
          <w:sz w:val="30"/>
          <w:szCs w:val="30"/>
          <w:color w:val="483E6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ectPr>
          <w:pgSz w:w="11900" w:h="16838" w:orient="portrait"/>
          <w:cols w:equalWidth="0" w:num="1">
            <w:col w:w="10800"/>
          </w:cols>
          <w:pgMar w:left="320" w:top="441" w:right="77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376"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376"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376"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376"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ind w:right="820"/>
        <w:spacing w:after="0" w:line="243" w:lineRule="auto"/>
        <w:rPr>
          <w:sz w:val="20"/>
          <w:szCs w:val="20"/>
          <w:color w:val="auto"/>
        </w:rPr>
      </w:pPr>
      <w:r>
        <w:rPr>
          <w:rFonts w:ascii="Arial" w:cs="Arial" w:eastAsia="Arial" w:hAnsi="Arial"/>
          <w:sz w:val="17"/>
          <w:szCs w:val="17"/>
          <w:color w:val="auto"/>
        </w:rPr>
        <w:t>being available for consultation and direct communication with significant stockholders and other interested parties, if requested;</w:t>
      </w:r>
    </w:p>
    <w:p>
      <w:pPr>
        <w:spacing w:after="0" w:line="49"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collaborating with the Human Resources and Compensation Committee on the annual performance evaluation of the Chief Executive Officer;</w:t>
      </w:r>
    </w:p>
    <w:p>
      <w:pPr>
        <w:spacing w:after="0" w:line="49"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collaborating with the Corporate Governance and Ethics Committee on the performance and structure of the Board and its committees, including the performance of individual directors;</w:t>
      </w:r>
    </w:p>
    <w:p>
      <w:pPr>
        <w:spacing w:after="0" w:line="49"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on behalf of the independent directors, retaining such counsel or other advisors as they deem appropriate in the conduct of their duties and responsibilities; and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performing such other duties as the Board may determine from time to time.</w:t>
      </w:r>
    </w:p>
    <w:p>
      <w:pPr>
        <w:spacing w:after="0" w:line="198" w:lineRule="exact"/>
        <w:rPr>
          <w:sz w:val="20"/>
          <w:szCs w:val="20"/>
          <w:color w:val="auto"/>
        </w:rPr>
      </w:pPr>
    </w:p>
    <w:p>
      <w:pPr>
        <w:sectPr>
          <w:pgSz w:w="11900" w:h="16838" w:orient="portrait"/>
          <w:cols w:equalWidth="0" w:num="2">
            <w:col w:w="880" w:space="380"/>
            <w:col w:w="9540"/>
          </w:cols>
          <w:pgMar w:left="320" w:top="441" w:right="779" w:bottom="1440" w:gutter="0" w:footer="0" w:header="0"/>
          <w:type w:val="continuous"/>
        </w:sectPr>
      </w:pPr>
    </w:p>
    <w:p>
      <w:pPr>
        <w:ind w:left="440" w:right="100"/>
        <w:spacing w:after="0" w:line="237" w:lineRule="auto"/>
        <w:rPr>
          <w:sz w:val="20"/>
          <w:szCs w:val="20"/>
          <w:color w:val="auto"/>
        </w:rPr>
      </w:pPr>
      <w:r>
        <w:rPr>
          <w:rFonts w:ascii="Arial" w:cs="Arial" w:eastAsia="Arial" w:hAnsi="Arial"/>
          <w:sz w:val="17"/>
          <w:szCs w:val="17"/>
          <w:color w:val="auto"/>
        </w:rPr>
        <w:t>Our Board is committed to strong corporate governance and believes that Board independence and oversight of management are effectively maintained through the Board’s current composition, committee structure and the position of Lead Director. Currently, 12 of our 13 directors are “independent” as defined by the NYSE rules and our Corporate Governance Guidelines. The Board’s Audit and Finance, Human Resources and Compensation and Corporate Governance and Ethics Committees are each comprised entirely of independent directors.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The Board’s Role in Risk Oversight</w:t>
      </w:r>
    </w:p>
    <w:p>
      <w:pPr>
        <w:spacing w:after="0" w:line="218" w:lineRule="exact"/>
        <w:rPr>
          <w:sz w:val="20"/>
          <w:szCs w:val="20"/>
          <w:color w:val="auto"/>
        </w:rPr>
      </w:pPr>
    </w:p>
    <w:p>
      <w:pPr>
        <w:ind w:left="440"/>
        <w:spacing w:after="0" w:line="235" w:lineRule="auto"/>
        <w:rPr>
          <w:sz w:val="20"/>
          <w:szCs w:val="20"/>
          <w:color w:val="auto"/>
        </w:rPr>
      </w:pPr>
      <w:r>
        <w:rPr>
          <w:rFonts w:ascii="Arial" w:cs="Arial" w:eastAsia="Arial" w:hAnsi="Arial"/>
          <w:sz w:val="17"/>
          <w:szCs w:val="17"/>
          <w:color w:val="auto"/>
        </w:rPr>
        <w:t>As part of its oversight function, the Board and its committees monitor risk as part of their regular deliberations throughout the year. When granting authority to management, approving strategies, making decisions and receiving management reports, the Board considers, among other things, the risks facing the company. The Board also oversees risk in particular areas through its committee structure. The Audit and Finance Committee evaluates the company’s guidelines and policies regarding risk assessment and risk management, including risks related to internal control over financial reporting, the company’s major financial risk exposures, including financial, capital investment and insurance risks, and the steps management has taken to monitor and control such exposures. The Human Resources and Compensation Committee evaluates risks potentially arising from the company’s human resources and compensation policies and practices. The Corporate Governance and Ethics Committee oversees risks associated with unethical conduct and political, social, environmental and reputational risks. The Technology and Information Security Committee assists the Board in overseeing the company’s risk posture as it relates to technology development and application activities and information security and related exposures. Company management also maintains an Enterprise Risk Management Committee, comprised of the Chief Executive Officer and senior executives that, among other things, establishes the overall corporate risk strategy and ensures that policies, systems, processes and training are established to identify and address appropriate risk matters within the company. This management committee reports regularly to the Audit and Finance Committee, and annually to the full Board, on its activities and findings, highlighting the key risks we face and management’s actions for managing those risks.</w:t>
      </w:r>
    </w:p>
    <w:p>
      <w:pPr>
        <w:spacing w:after="0" w:line="171" w:lineRule="exact"/>
        <w:rPr>
          <w:sz w:val="20"/>
          <w:szCs w:val="20"/>
          <w:color w:val="auto"/>
        </w:rPr>
      </w:pPr>
    </w:p>
    <w:p>
      <w:pPr>
        <w:ind w:left="440" w:right="60"/>
        <w:spacing w:after="0" w:line="239" w:lineRule="auto"/>
        <w:rPr>
          <w:sz w:val="20"/>
          <w:szCs w:val="20"/>
          <w:color w:val="auto"/>
        </w:rPr>
      </w:pPr>
      <w:r>
        <w:rPr>
          <w:rFonts w:ascii="Arial" w:cs="Arial" w:eastAsia="Arial" w:hAnsi="Arial"/>
          <w:sz w:val="17"/>
          <w:szCs w:val="17"/>
          <w:b w:val="1"/>
          <w:bCs w:val="1"/>
          <w:color w:val="483E65"/>
        </w:rPr>
        <w:t xml:space="preserve">Our full Board and our Board’s Technology and Information Security Committee are each involved in oversight of our management of cybersecurity and related risk. </w:t>
      </w:r>
      <w:r>
        <w:rPr>
          <w:rFonts w:ascii="Arial" w:cs="Arial" w:eastAsia="Arial" w:hAnsi="Arial"/>
          <w:sz w:val="17"/>
          <w:szCs w:val="17"/>
          <w:color w:val="000000"/>
        </w:rPr>
        <w:t>Information security is critical to maintaining the trust of our customers and business</w:t>
      </w:r>
      <w:r>
        <w:rPr>
          <w:rFonts w:ascii="Arial" w:cs="Arial" w:eastAsia="Arial" w:hAnsi="Arial"/>
          <w:sz w:val="17"/>
          <w:szCs w:val="17"/>
          <w:b w:val="1"/>
          <w:bCs w:val="1"/>
          <w:color w:val="483E65"/>
        </w:rPr>
        <w:t xml:space="preserve"> </w:t>
      </w:r>
      <w:r>
        <w:rPr>
          <w:rFonts w:ascii="Arial" w:cs="Arial" w:eastAsia="Arial" w:hAnsi="Arial"/>
          <w:sz w:val="17"/>
          <w:szCs w:val="17"/>
          <w:color w:val="000000"/>
        </w:rPr>
        <w:t>partners, and we are committed to protecting the security of our data and systems from potential breach. As a government contractor and a provider of information technology services, we are entrusted with highly sensitive information, and we are continuously exposed to unauthorized attempts to compromise this information through cyberattacks, the risk of insider threats and other information security risks. Management provides our Board and the Technology and Information Security Committee with regular updates about our cybersecurity and related risk exposures, our policies and procedures to mitigate such exposures and the status of projects to strengthen our information security infrastructure and defend against and respond to threats.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Board of Directors Meetings</w:t>
      </w:r>
    </w:p>
    <w:p>
      <w:pPr>
        <w:spacing w:after="0" w:line="218" w:lineRule="exact"/>
        <w:rPr>
          <w:sz w:val="20"/>
          <w:szCs w:val="20"/>
          <w:color w:val="auto"/>
        </w:rPr>
      </w:pPr>
    </w:p>
    <w:p>
      <w:pPr>
        <w:ind w:left="440" w:right="40"/>
        <w:spacing w:after="0" w:line="237" w:lineRule="auto"/>
        <w:rPr>
          <w:sz w:val="20"/>
          <w:szCs w:val="20"/>
          <w:color w:val="auto"/>
        </w:rPr>
      </w:pPr>
      <w:r>
        <w:rPr>
          <w:rFonts w:ascii="Arial" w:cs="Arial" w:eastAsia="Arial" w:hAnsi="Arial"/>
          <w:sz w:val="17"/>
          <w:szCs w:val="17"/>
          <w:color w:val="auto"/>
        </w:rPr>
        <w:t>During fiscal 2019, the Board held eleven meetings of the entire Board. The independent directors met ten times during the year, either in executive session of regular board meetings or in separate meetings. Mr. Shapard, the independent Lead Director, presides at all executive sessions of our independent directors as provided by our Corporate Governance Guidelines. During fiscal 2019, no director attended fewer than 75% of the aggregate of the meetings of the Board and committees of the Board on which they served. It is our policy to encourage all directors to attend our annual meeting.</w:t>
      </w:r>
    </w:p>
    <w:p>
      <w:pPr>
        <w:spacing w:after="0" w:line="112"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11</w:t>
      </w:r>
    </w:p>
    <w:p>
      <w:pPr>
        <w:sectPr>
          <w:pgSz w:w="11900" w:h="16838" w:orient="portrait"/>
          <w:cols w:equalWidth="0" w:num="1">
            <w:col w:w="10800"/>
          </w:cols>
          <w:pgMar w:left="320" w:top="441" w:right="779" w:bottom="1440" w:gutter="0" w:footer="0" w:header="0"/>
          <w:type w:val="continuous"/>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Board Committees</w:t>
      </w:r>
    </w:p>
    <w:p>
      <w:pPr>
        <w:spacing w:after="0" w:line="218" w:lineRule="exact"/>
        <w:rPr>
          <w:sz w:val="20"/>
          <w:szCs w:val="20"/>
          <w:color w:val="auto"/>
        </w:rPr>
      </w:pPr>
    </w:p>
    <w:p>
      <w:pPr>
        <w:ind w:left="440" w:right="200"/>
        <w:spacing w:after="0" w:line="239" w:lineRule="auto"/>
        <w:rPr>
          <w:sz w:val="20"/>
          <w:szCs w:val="20"/>
          <w:color w:val="auto"/>
        </w:rPr>
      </w:pPr>
      <w:r>
        <w:rPr>
          <w:rFonts w:ascii="Arial" w:cs="Arial" w:eastAsia="Arial" w:hAnsi="Arial"/>
          <w:sz w:val="17"/>
          <w:szCs w:val="17"/>
          <w:color w:val="auto"/>
        </w:rPr>
        <w:t>The Board has delegated certain duties to committees, which assist the Board in carrying out its responsibilities. There are four standing committees of the Board. Each independent director serves on at least two committees. The key oversight responsibilities of the committees, the current committee memberships, and the number of meetings held during 2019 are described below.</w:t>
      </w:r>
    </w:p>
    <w:p>
      <w:pPr>
        <w:spacing w:after="0" w:line="191" w:lineRule="exact"/>
        <w:rPr>
          <w:sz w:val="20"/>
          <w:szCs w:val="20"/>
          <w:color w:val="auto"/>
        </w:rPr>
      </w:pPr>
    </w:p>
    <w:p>
      <w:pPr>
        <w:ind w:left="440" w:right="140"/>
        <w:spacing w:after="0" w:line="237" w:lineRule="auto"/>
        <w:rPr>
          <w:sz w:val="20"/>
          <w:szCs w:val="20"/>
          <w:color w:val="auto"/>
        </w:rPr>
      </w:pPr>
      <w:r>
        <w:rPr>
          <w:rFonts w:ascii="Arial" w:cs="Arial" w:eastAsia="Arial" w:hAnsi="Arial"/>
          <w:sz w:val="17"/>
          <w:szCs w:val="17"/>
          <w:color w:val="auto"/>
        </w:rPr>
        <w:t>The Board has adopted charters for each of the Audit and Finance Committee, the Corporate Governance and Ethics Committee, the Human Resources and Compensation Committee, and the Technology and Information Security Committee. The charters of these committees are available on our website at www.leidos.com by clicking on the links entitled “Investor Relations,” “Corporate Governance” and then “Board Committees.” You may also obtain printed copies of these charters by writing to our Corporate Secretary at the Company’s headquarters.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Listed below are the members of each of the four standing committees as of the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142875</wp:posOffset>
            </wp:positionV>
            <wp:extent cx="4469765" cy="27914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469765" cy="2791460"/>
                    </a:xfrm>
                    <a:prstGeom prst="rect">
                      <a:avLst/>
                    </a:prstGeom>
                    <a:noFill/>
                  </pic:spPr>
                </pic:pic>
              </a:graphicData>
            </a:graphic>
          </wp:anchor>
        </w:drawing>
      </w:r>
    </w:p>
    <w:p>
      <w:pPr>
        <w:spacing w:after="0" w:line="205" w:lineRule="exact"/>
        <w:rPr>
          <w:sz w:val="20"/>
          <w:szCs w:val="20"/>
          <w:color w:val="auto"/>
        </w:rPr>
      </w:pPr>
    </w:p>
    <w:tbl>
      <w:tblPr>
        <w:tblLayout w:type="fixed"/>
        <w:tblInd w:w="3780" w:type="dxa"/>
        <w:tblCellMar>
          <w:top w:w="0" w:type="dxa"/>
          <w:left w:w="0" w:type="dxa"/>
          <w:bottom w:w="0" w:type="dxa"/>
          <w:right w:w="0" w:type="dxa"/>
        </w:tblCellMar>
      </w:tblPr>
      <w:tr>
        <w:trPr>
          <w:trHeight w:val="166"/>
        </w:trPr>
        <w:tc>
          <w:tcPr>
            <w:tcW w:w="1700" w:type="dxa"/>
            <w:vAlign w:val="bottom"/>
            <w:shd w:val="clear" w:color="auto" w:fill="483E65"/>
          </w:tcPr>
          <w:p>
            <w:pPr>
              <w:spacing w:after="0"/>
              <w:rPr>
                <w:sz w:val="14"/>
                <w:szCs w:val="14"/>
                <w:color w:val="auto"/>
              </w:rPr>
            </w:pPr>
          </w:p>
        </w:tc>
        <w:tc>
          <w:tcPr>
            <w:tcW w:w="1760" w:type="dxa"/>
            <w:vAlign w:val="bottom"/>
            <w:shd w:val="clear" w:color="auto" w:fill="483E65"/>
          </w:tcPr>
          <w:p>
            <w:pPr>
              <w:jc w:val="center"/>
              <w:ind w:left="152"/>
              <w:spacing w:after="0"/>
              <w:rPr>
                <w:sz w:val="20"/>
                <w:szCs w:val="20"/>
                <w:color w:val="auto"/>
              </w:rPr>
            </w:pPr>
            <w:r>
              <w:rPr>
                <w:rFonts w:ascii="Arial" w:cs="Arial" w:eastAsia="Arial" w:hAnsi="Arial"/>
                <w:sz w:val="14"/>
                <w:szCs w:val="14"/>
                <w:b w:val="1"/>
                <w:bCs w:val="1"/>
                <w:color w:val="FFFFFF"/>
                <w:w w:val="96"/>
              </w:rPr>
              <w:t>Human</w:t>
            </w:r>
          </w:p>
        </w:tc>
        <w:tc>
          <w:tcPr>
            <w:tcW w:w="1880" w:type="dxa"/>
            <w:vAlign w:val="bottom"/>
            <w:shd w:val="clear" w:color="auto" w:fill="483E65"/>
          </w:tcPr>
          <w:p>
            <w:pPr>
              <w:spacing w:after="0"/>
              <w:rPr>
                <w:sz w:val="14"/>
                <w:szCs w:val="14"/>
                <w:color w:val="auto"/>
              </w:rPr>
            </w:pPr>
          </w:p>
        </w:tc>
        <w:tc>
          <w:tcPr>
            <w:tcW w:w="1700" w:type="dxa"/>
            <w:vAlign w:val="bottom"/>
            <w:shd w:val="clear" w:color="auto" w:fill="483E65"/>
          </w:tcPr>
          <w:p>
            <w:pPr>
              <w:spacing w:after="0"/>
              <w:rPr>
                <w:sz w:val="14"/>
                <w:szCs w:val="14"/>
                <w:color w:val="auto"/>
              </w:rPr>
            </w:pPr>
          </w:p>
        </w:tc>
      </w:tr>
      <w:tr>
        <w:trPr>
          <w:trHeight w:val="152"/>
        </w:trPr>
        <w:tc>
          <w:tcPr>
            <w:tcW w:w="1700" w:type="dxa"/>
            <w:vAlign w:val="bottom"/>
            <w:shd w:val="clear" w:color="auto" w:fill="483E65"/>
          </w:tcPr>
          <w:p>
            <w:pPr>
              <w:ind w:left="700"/>
              <w:spacing w:after="0" w:line="153" w:lineRule="exact"/>
              <w:rPr>
                <w:sz w:val="20"/>
                <w:szCs w:val="20"/>
                <w:color w:val="auto"/>
              </w:rPr>
            </w:pPr>
            <w:r>
              <w:rPr>
                <w:rFonts w:ascii="Arial" w:cs="Arial" w:eastAsia="Arial" w:hAnsi="Arial"/>
                <w:sz w:val="14"/>
                <w:szCs w:val="14"/>
                <w:b w:val="1"/>
                <w:bCs w:val="1"/>
                <w:color w:val="FFFFFF"/>
              </w:rPr>
              <w:t>Audit &amp;</w:t>
            </w:r>
          </w:p>
        </w:tc>
        <w:tc>
          <w:tcPr>
            <w:tcW w:w="1760" w:type="dxa"/>
            <w:vAlign w:val="bottom"/>
            <w:shd w:val="clear" w:color="auto" w:fill="483E65"/>
          </w:tcPr>
          <w:p>
            <w:pPr>
              <w:jc w:val="center"/>
              <w:ind w:left="152"/>
              <w:spacing w:after="0" w:line="153" w:lineRule="exact"/>
              <w:rPr>
                <w:sz w:val="20"/>
                <w:szCs w:val="20"/>
                <w:color w:val="auto"/>
              </w:rPr>
            </w:pPr>
            <w:r>
              <w:rPr>
                <w:rFonts w:ascii="Arial" w:cs="Arial" w:eastAsia="Arial" w:hAnsi="Arial"/>
                <w:sz w:val="14"/>
                <w:szCs w:val="14"/>
                <w:b w:val="1"/>
                <w:bCs w:val="1"/>
                <w:color w:val="FFFFFF"/>
                <w:w w:val="95"/>
              </w:rPr>
              <w:t>Resources &amp;</w:t>
            </w:r>
          </w:p>
        </w:tc>
        <w:tc>
          <w:tcPr>
            <w:tcW w:w="1880" w:type="dxa"/>
            <w:vAlign w:val="bottom"/>
            <w:shd w:val="clear" w:color="auto" w:fill="483E65"/>
          </w:tcPr>
          <w:p>
            <w:pPr>
              <w:jc w:val="center"/>
              <w:ind w:left="32"/>
              <w:spacing w:after="0" w:line="153" w:lineRule="exact"/>
              <w:rPr>
                <w:sz w:val="20"/>
                <w:szCs w:val="20"/>
                <w:color w:val="auto"/>
              </w:rPr>
            </w:pPr>
            <w:r>
              <w:rPr>
                <w:rFonts w:ascii="Arial" w:cs="Arial" w:eastAsia="Arial" w:hAnsi="Arial"/>
                <w:sz w:val="14"/>
                <w:szCs w:val="14"/>
                <w:b w:val="1"/>
                <w:bCs w:val="1"/>
                <w:color w:val="FFFFFF"/>
                <w:w w:val="98"/>
              </w:rPr>
              <w:t>Corporate</w:t>
            </w:r>
          </w:p>
        </w:tc>
        <w:tc>
          <w:tcPr>
            <w:tcW w:w="1700" w:type="dxa"/>
            <w:vAlign w:val="bottom"/>
            <w:shd w:val="clear" w:color="auto" w:fill="483E65"/>
          </w:tcPr>
          <w:p>
            <w:pPr>
              <w:jc w:val="center"/>
              <w:spacing w:after="0" w:line="153" w:lineRule="exact"/>
              <w:rPr>
                <w:sz w:val="20"/>
                <w:szCs w:val="20"/>
                <w:color w:val="auto"/>
              </w:rPr>
            </w:pPr>
            <w:r>
              <w:rPr>
                <w:rFonts w:ascii="Arial" w:cs="Arial" w:eastAsia="Arial" w:hAnsi="Arial"/>
                <w:sz w:val="14"/>
                <w:szCs w:val="14"/>
                <w:b w:val="1"/>
                <w:bCs w:val="1"/>
                <w:color w:val="FFFFFF"/>
                <w:w w:val="95"/>
              </w:rPr>
              <w:t>Technology &amp;</w:t>
            </w:r>
          </w:p>
        </w:tc>
      </w:tr>
      <w:tr>
        <w:trPr>
          <w:trHeight w:val="177"/>
        </w:trPr>
        <w:tc>
          <w:tcPr>
            <w:tcW w:w="1700" w:type="dxa"/>
            <w:vAlign w:val="bottom"/>
            <w:shd w:val="clear" w:color="auto" w:fill="483E65"/>
          </w:tcPr>
          <w:p>
            <w:pPr>
              <w:ind w:left="680"/>
              <w:spacing w:after="0"/>
              <w:rPr>
                <w:sz w:val="20"/>
                <w:szCs w:val="20"/>
                <w:color w:val="auto"/>
              </w:rPr>
            </w:pPr>
            <w:r>
              <w:rPr>
                <w:rFonts w:ascii="Arial" w:cs="Arial" w:eastAsia="Arial" w:hAnsi="Arial"/>
                <w:sz w:val="14"/>
                <w:szCs w:val="14"/>
                <w:b w:val="1"/>
                <w:bCs w:val="1"/>
                <w:color w:val="FFFFFF"/>
              </w:rPr>
              <w:t>Finance</w:t>
            </w:r>
          </w:p>
        </w:tc>
        <w:tc>
          <w:tcPr>
            <w:tcW w:w="1760" w:type="dxa"/>
            <w:vAlign w:val="bottom"/>
            <w:shd w:val="clear" w:color="auto" w:fill="483E65"/>
          </w:tcPr>
          <w:p>
            <w:pPr>
              <w:jc w:val="center"/>
              <w:ind w:left="152"/>
              <w:spacing w:after="0"/>
              <w:rPr>
                <w:sz w:val="20"/>
                <w:szCs w:val="20"/>
                <w:color w:val="auto"/>
              </w:rPr>
            </w:pPr>
            <w:r>
              <w:rPr>
                <w:rFonts w:ascii="Arial" w:cs="Arial" w:eastAsia="Arial" w:hAnsi="Arial"/>
                <w:sz w:val="14"/>
                <w:szCs w:val="14"/>
                <w:b w:val="1"/>
                <w:bCs w:val="1"/>
                <w:color w:val="FFFFFF"/>
                <w:w w:val="96"/>
              </w:rPr>
              <w:t>Compensation</w:t>
            </w:r>
          </w:p>
        </w:tc>
        <w:tc>
          <w:tcPr>
            <w:tcW w:w="1880" w:type="dxa"/>
            <w:vAlign w:val="bottom"/>
            <w:shd w:val="clear" w:color="auto" w:fill="483E65"/>
          </w:tcPr>
          <w:p>
            <w:pPr>
              <w:jc w:val="center"/>
              <w:ind w:left="12"/>
              <w:spacing w:after="0"/>
              <w:rPr>
                <w:sz w:val="20"/>
                <w:szCs w:val="20"/>
                <w:color w:val="auto"/>
              </w:rPr>
            </w:pPr>
            <w:r>
              <w:rPr>
                <w:rFonts w:ascii="Arial" w:cs="Arial" w:eastAsia="Arial" w:hAnsi="Arial"/>
                <w:sz w:val="14"/>
                <w:szCs w:val="14"/>
                <w:b w:val="1"/>
                <w:bCs w:val="1"/>
                <w:color w:val="FFFFFF"/>
                <w:w w:val="96"/>
              </w:rPr>
              <w:t>Governance &amp; Ethics</w:t>
            </w:r>
          </w:p>
        </w:tc>
        <w:tc>
          <w:tcPr>
            <w:tcW w:w="1700" w:type="dxa"/>
            <w:vAlign w:val="bottom"/>
            <w:shd w:val="clear" w:color="auto" w:fill="483E65"/>
          </w:tcPr>
          <w:p>
            <w:pPr>
              <w:jc w:val="center"/>
              <w:spacing w:after="0"/>
              <w:rPr>
                <w:sz w:val="20"/>
                <w:szCs w:val="20"/>
                <w:color w:val="auto"/>
              </w:rPr>
            </w:pPr>
            <w:r>
              <w:rPr>
                <w:rFonts w:ascii="Arial" w:cs="Arial" w:eastAsia="Arial" w:hAnsi="Arial"/>
                <w:sz w:val="14"/>
                <w:szCs w:val="14"/>
                <w:b w:val="1"/>
                <w:bCs w:val="1"/>
                <w:color w:val="FFFFFF"/>
                <w:w w:val="96"/>
              </w:rPr>
              <w:t>Information Security</w:t>
            </w:r>
          </w:p>
        </w:tc>
      </w:tr>
    </w:tbl>
    <w:p>
      <w:pPr>
        <w:spacing w:after="0" w:line="7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Gregory R. Dahlberg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13335</wp:posOffset>
            </wp:positionV>
            <wp:extent cx="2113915" cy="1936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13915" cy="193675"/>
                    </a:xfrm>
                    <a:prstGeom prst="rect">
                      <a:avLst/>
                    </a:prstGeom>
                    <a:noFill/>
                  </pic:spPr>
                </pic:pic>
              </a:graphicData>
            </a:graphic>
          </wp:anchor>
        </w:drawing>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David G. Fubini</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Miriam E.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13335</wp:posOffset>
            </wp:positionV>
            <wp:extent cx="2113915" cy="1936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13915" cy="193675"/>
                    </a:xfrm>
                    <a:prstGeom prst="rect">
                      <a:avLst/>
                    </a:prstGeom>
                    <a:noFill/>
                  </pic:spPr>
                </pic:pic>
              </a:graphicData>
            </a:graphic>
          </wp:anchor>
        </w:drawing>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Frank Kendall III</w:t>
      </w:r>
    </w:p>
    <w:p>
      <w:pPr>
        <w:spacing w:after="0" w:line="9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Robert C. Kovarik, Jr. </w:t>
      </w:r>
      <w:r>
        <w:rPr>
          <w:sz w:val="1"/>
          <w:szCs w:val="1"/>
          <w:color w:val="auto"/>
        </w:rPr>
        <w:drawing>
          <wp:inline distT="0" distB="0" distL="0" distR="0">
            <wp:extent cx="88900" cy="10477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0" cy="10477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17780</wp:posOffset>
            </wp:positionV>
            <wp:extent cx="2113915" cy="1936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13915" cy="193675"/>
                    </a:xfrm>
                    <a:prstGeom prst="rect">
                      <a:avLst/>
                    </a:prstGeom>
                    <a:noFill/>
                  </pic:spPr>
                </pic:pic>
              </a:graphicData>
            </a:graphic>
          </wp:anchor>
        </w:drawing>
      </w:r>
    </w:p>
    <w:p>
      <w:pPr>
        <w:spacing w:after="0" w:line="8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Harry M.J. Kraemer, Jr. </w:t>
      </w:r>
      <w:r>
        <w:rPr>
          <w:sz w:val="1"/>
          <w:szCs w:val="1"/>
          <w:color w:val="auto"/>
        </w:rPr>
        <w:drawing>
          <wp:inline distT="0" distB="0" distL="0" distR="0">
            <wp:extent cx="88900" cy="10477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0" cy="104775"/>
                    </a:xfrm>
                    <a:prstGeom prst="rect">
                      <a:avLst/>
                    </a:prstGeom>
                    <a:noFill/>
                    <a:ln>
                      <a:noFill/>
                    </a:ln>
                  </pic:spPr>
                </pic:pic>
              </a:graphicData>
            </a:graphic>
          </wp:inline>
        </w:drawing>
      </w:r>
    </w:p>
    <w:p>
      <w:pPr>
        <w:spacing w:after="0" w:line="10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Roger A. Krone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13335</wp:posOffset>
            </wp:positionV>
            <wp:extent cx="2113915" cy="1936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13915" cy="193675"/>
                    </a:xfrm>
                    <a:prstGeom prst="rect">
                      <a:avLst/>
                    </a:prstGeom>
                    <a:noFill/>
                  </pic:spPr>
                </pic:pic>
              </a:graphicData>
            </a:graphic>
          </wp:anchor>
        </w:drawing>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Gary S. May</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Surya N. Mohapatra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21590</wp:posOffset>
            </wp:positionV>
            <wp:extent cx="2113915" cy="1936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13915" cy="193675"/>
                    </a:xfrm>
                    <a:prstGeom prst="rect">
                      <a:avLst/>
                    </a:prstGeom>
                    <a:noFill/>
                  </pic:spPr>
                </pic:pic>
              </a:graphicData>
            </a:graphic>
          </wp:anchor>
        </w:drawing>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Lawrence C. Nussdorf </w:t>
      </w:r>
      <w:r>
        <w:rPr>
          <w:sz w:val="1"/>
          <w:szCs w:val="1"/>
          <w:color w:val="auto"/>
        </w:rPr>
        <w:drawing>
          <wp:inline distT="0" distB="0" distL="0" distR="0">
            <wp:extent cx="88900" cy="10477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0" cy="104775"/>
                    </a:xfrm>
                    <a:prstGeom prst="rect">
                      <a:avLst/>
                    </a:prstGeom>
                    <a:noFill/>
                    <a:ln>
                      <a:noFill/>
                    </a:ln>
                  </pic:spPr>
                </pic:pic>
              </a:graphicData>
            </a:graphic>
          </wp:inline>
        </w:drawing>
      </w:r>
    </w:p>
    <w:p>
      <w:pPr>
        <w:spacing w:after="0" w:line="10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Robert S. Shapard </w:t>
      </w:r>
      <w:r>
        <w:rPr>
          <w:sz w:val="1"/>
          <w:szCs w:val="1"/>
          <w:color w:val="auto"/>
        </w:rPr>
        <w:drawing>
          <wp:inline distT="0" distB="0" distL="0" distR="0">
            <wp:extent cx="88900" cy="10477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0" cy="10477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17780</wp:posOffset>
            </wp:positionV>
            <wp:extent cx="2113915" cy="1936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13915" cy="193675"/>
                    </a:xfrm>
                    <a:prstGeom prst="rect">
                      <a:avLst/>
                    </a:prstGeom>
                    <a:noFill/>
                  </pic:spPr>
                </pic:pic>
              </a:graphicData>
            </a:graphic>
          </wp:anchor>
        </w:drawing>
      </w:r>
    </w:p>
    <w:p>
      <w:pPr>
        <w:spacing w:after="0" w:line="8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Susan M. Stalnecker </w:t>
      </w:r>
      <w:r>
        <w:rPr>
          <w:sz w:val="1"/>
          <w:szCs w:val="1"/>
          <w:color w:val="auto"/>
        </w:rPr>
        <w:drawing>
          <wp:inline distT="0" distB="0" distL="0" distR="0">
            <wp:extent cx="88900" cy="10477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0" cy="104775"/>
                    </a:xfrm>
                    <a:prstGeom prst="rect">
                      <a:avLst/>
                    </a:prstGeom>
                    <a:noFill/>
                    <a:ln>
                      <a:noFill/>
                    </a:ln>
                  </pic:spPr>
                </pic:pic>
              </a:graphicData>
            </a:graphic>
          </wp:inline>
        </w:drawing>
      </w:r>
    </w:p>
    <w:p>
      <w:pPr>
        <w:spacing w:after="0" w:line="10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Noel B. Williams</w:t>
      </w:r>
    </w:p>
    <w:p>
      <w:pPr>
        <w:spacing w:after="0" w:line="136" w:lineRule="exact"/>
        <w:rPr>
          <w:sz w:val="20"/>
          <w:szCs w:val="20"/>
          <w:color w:val="auto"/>
        </w:rPr>
      </w:pPr>
    </w:p>
    <w:p>
      <w:pPr>
        <w:ind w:left="540"/>
        <w:spacing w:after="0"/>
        <w:rPr>
          <w:sz w:val="20"/>
          <w:szCs w:val="20"/>
          <w:color w:val="auto"/>
        </w:rPr>
      </w:pPr>
      <w:r>
        <w:rPr>
          <w:sz w:val="1"/>
          <w:szCs w:val="1"/>
          <w:color w:val="auto"/>
        </w:rPr>
        <w:drawing>
          <wp:inline distT="0" distB="0" distL="0" distR="0">
            <wp:extent cx="88900" cy="15303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0" cy="153035"/>
                    </a:xfrm>
                    <a:prstGeom prst="rect">
                      <a:avLst/>
                    </a:prstGeom>
                    <a:noFill/>
                    <a:ln>
                      <a:noFill/>
                    </a:ln>
                  </pic:spPr>
                </pic:pic>
              </a:graphicData>
            </a:graphic>
          </wp:inline>
        </w:drawing>
      </w:r>
      <w:r>
        <w:rPr>
          <w:rFonts w:ascii="Arial" w:cs="Arial" w:eastAsia="Arial" w:hAnsi="Arial"/>
          <w:sz w:val="17"/>
          <w:szCs w:val="17"/>
          <w:color w:val="auto"/>
        </w:rPr>
        <w:t xml:space="preserve"> Committee Chair</w:t>
      </w:r>
    </w:p>
    <w:p>
      <w:pPr>
        <w:spacing w:after="0" w:line="66" w:lineRule="exact"/>
        <w:rPr>
          <w:sz w:val="20"/>
          <w:szCs w:val="20"/>
          <w:color w:val="auto"/>
        </w:rPr>
      </w:pPr>
    </w:p>
    <w:p>
      <w:pPr>
        <w:ind w:left="540"/>
        <w:spacing w:after="0"/>
        <w:rPr>
          <w:sz w:val="20"/>
          <w:szCs w:val="20"/>
          <w:color w:val="auto"/>
        </w:rPr>
      </w:pPr>
      <w:r>
        <w:rPr>
          <w:sz w:val="1"/>
          <w:szCs w:val="1"/>
          <w:color w:val="auto"/>
        </w:rPr>
        <w:drawing>
          <wp:inline distT="0" distB="0" distL="0" distR="0">
            <wp:extent cx="88900" cy="10477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0" cy="104775"/>
                    </a:xfrm>
                    <a:prstGeom prst="rect">
                      <a:avLst/>
                    </a:prstGeom>
                    <a:noFill/>
                    <a:ln>
                      <a:noFill/>
                    </a:ln>
                  </pic:spPr>
                </pic:pic>
              </a:graphicData>
            </a:graphic>
          </wp:inline>
        </w:drawing>
      </w:r>
      <w:r>
        <w:rPr>
          <w:rFonts w:ascii="Arial" w:cs="Arial" w:eastAsia="Arial" w:hAnsi="Arial"/>
          <w:sz w:val="17"/>
          <w:szCs w:val="17"/>
          <w:color w:val="auto"/>
        </w:rPr>
        <w:t xml:space="preserve"> Audit Committee Financial Expert</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Committee Responsibilities</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Following are descriptions of the primary areas of responsibility for each of the four standing committees:</w:t>
      </w:r>
    </w:p>
    <w:p>
      <w:pPr>
        <w:spacing w:after="0" w:line="204" w:lineRule="exact"/>
        <w:rPr>
          <w:sz w:val="20"/>
          <w:szCs w:val="20"/>
          <w:color w:val="auto"/>
        </w:rPr>
      </w:pPr>
    </w:p>
    <w:p>
      <w:pPr>
        <w:ind w:left="720"/>
        <w:spacing w:after="0"/>
        <w:tabs>
          <w:tab w:leader="none" w:pos="6620" w:val="left"/>
        </w:tabs>
        <w:rPr>
          <w:sz w:val="20"/>
          <w:szCs w:val="20"/>
          <w:color w:val="auto"/>
        </w:rPr>
      </w:pPr>
      <w:r>
        <w:rPr>
          <w:rFonts w:ascii="Arial" w:cs="Arial" w:eastAsia="Arial" w:hAnsi="Arial"/>
          <w:sz w:val="17"/>
          <w:szCs w:val="17"/>
          <w:b w:val="1"/>
          <w:bCs w:val="1"/>
          <w:color w:val="483E65"/>
        </w:rPr>
        <w:t>Audit &amp; Finance Committee</w:t>
      </w:r>
      <w:r>
        <w:rPr>
          <w:sz w:val="20"/>
          <w:szCs w:val="20"/>
          <w:color w:val="auto"/>
        </w:rPr>
        <w:tab/>
      </w:r>
      <w:r>
        <w:rPr>
          <w:rFonts w:ascii="Arial" w:cs="Arial" w:eastAsia="Arial" w:hAnsi="Arial"/>
          <w:sz w:val="16"/>
          <w:szCs w:val="16"/>
          <w:b w:val="1"/>
          <w:bCs w:val="1"/>
          <w:color w:val="483E65"/>
        </w:rPr>
        <w:t>Number of Meetings in Last Fiscal Year: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-110490</wp:posOffset>
            </wp:positionV>
            <wp:extent cx="6583680" cy="1212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83680" cy="121285"/>
                    </a:xfrm>
                    <a:prstGeom prst="rect">
                      <a:avLst/>
                    </a:prstGeom>
                    <a:noFill/>
                  </pic:spPr>
                </pic:pic>
              </a:graphicData>
            </a:graphic>
          </wp:anchor>
        </w:drawing>
      </w:r>
    </w:p>
    <w:p>
      <w:pPr>
        <w:sectPr>
          <w:pgSz w:w="11900" w:h="16838" w:orient="portrait"/>
          <w:cols w:equalWidth="0" w:num="1">
            <w:col w:w="10820"/>
          </w:cols>
          <w:pgMar w:left="320" w:top="441" w:right="759" w:bottom="1440" w:gutter="0" w:footer="0" w:header="0"/>
        </w:sectPr>
      </w:pPr>
    </w:p>
    <w:p>
      <w:pPr>
        <w:spacing w:after="0" w:line="136"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Appoints and evaluates independent auditor and pre-approves fees;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Pre-approves audit and permitted non-audit services;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Reviews any audit problems;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Reviews adequacy of internal controls over financial reporting and disclosure controls and procedures;</w:t>
      </w:r>
    </w:p>
    <w:p>
      <w:pPr>
        <w:spacing w:after="0" w:line="131" w:lineRule="exact"/>
        <w:rPr>
          <w:sz w:val="20"/>
          <w:szCs w:val="20"/>
          <w:color w:val="auto"/>
        </w:rPr>
      </w:pPr>
    </w:p>
    <w:p>
      <w:pPr>
        <w:sectPr>
          <w:pgSz w:w="11900" w:h="16838" w:orient="portrait"/>
          <w:cols w:equalWidth="0" w:num="2">
            <w:col w:w="780" w:space="260"/>
            <w:col w:w="9780"/>
          </w:cols>
          <w:pgMar w:left="320" w:top="441" w:right="759" w:bottom="1440" w:gutter="0" w:footer="0" w:header="0"/>
          <w:type w:val="continuous"/>
        </w:sect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12</w:t>
        <w:tab/>
        <w:t>|</w:t>
        <w:tab/>
        <w:t>2020 Proxy Statement</w:t>
      </w:r>
    </w:p>
    <w:p>
      <w:pPr>
        <w:sectPr>
          <w:pgSz w:w="11900" w:h="16838" w:orient="portrait"/>
          <w:cols w:equalWidth="0" w:num="1">
            <w:col w:w="10820"/>
          </w:cols>
          <w:pgMar w:left="320" w:top="441" w:right="759" w:bottom="1440" w:gutter="0" w:footer="0" w:header="0"/>
          <w:type w:val="continuous"/>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7260"/>
        <w:spacing w:after="0"/>
        <w:rPr>
          <w:sz w:val="20"/>
          <w:szCs w:val="20"/>
          <w:color w:val="auto"/>
        </w:rPr>
      </w:pPr>
      <w:r>
        <w:rPr>
          <w:rFonts w:ascii="Arial" w:cs="Arial" w:eastAsia="Arial" w:hAnsi="Arial"/>
          <w:sz w:val="30"/>
          <w:szCs w:val="30"/>
          <w:color w:val="483E6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ectPr>
          <w:pgSz w:w="11900" w:h="16838" w:orient="portrait"/>
          <w:cols w:equalWidth="0" w:num="1">
            <w:col w:w="10800"/>
          </w:cols>
          <w:pgMar w:left="320" w:top="441" w:right="77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Reviews and updates the internal audit plan;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Reviews any significant risks and exposures and steps taken to minimize risks;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Reviews quarterly and annual financial statements prior to public release;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Reviews critical accounting policies or changes in accounting policies;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Reviews periodically legal matters that may significantly impact the financial statements; and</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Reviews and makes any necessary recommendations to the Board and management concerning:</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   capital structure, including the issuance of equity and debt securities and the incurrence of indebtedness;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   payment of dividends, stock splits and stock repurchases;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   financial projections, plans and strategies;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   general financial planning, cash flow and working capital management, capital budgeting and expenditures;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   tax planning and compliance;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   mergers, acquisitions and strategic transactions; and</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   investor relations programs and policies.</w:t>
      </w:r>
    </w:p>
    <w:p>
      <w:pPr>
        <w:spacing w:after="0" w:line="200" w:lineRule="exact"/>
        <w:rPr>
          <w:sz w:val="20"/>
          <w:szCs w:val="20"/>
          <w:color w:val="auto"/>
        </w:rPr>
      </w:pPr>
    </w:p>
    <w:p>
      <w:pPr>
        <w:sectPr>
          <w:pgSz w:w="11900" w:h="16838" w:orient="portrait"/>
          <w:cols w:equalWidth="0" w:num="2">
            <w:col w:w="780" w:space="260"/>
            <w:col w:w="9760"/>
          </w:cols>
          <w:pgMar w:left="320" w:top="441" w:right="779" w:bottom="1440" w:gutter="0" w:footer="0" w:header="0"/>
          <w:type w:val="continuous"/>
        </w:sectPr>
      </w:pPr>
    </w:p>
    <w:p>
      <w:pPr>
        <w:spacing w:after="0" w:line="118" w:lineRule="exact"/>
        <w:rPr>
          <w:sz w:val="20"/>
          <w:szCs w:val="20"/>
          <w:color w:val="auto"/>
        </w:rPr>
      </w:pPr>
    </w:p>
    <w:p>
      <w:pPr>
        <w:ind w:left="720"/>
        <w:spacing w:after="0"/>
        <w:tabs>
          <w:tab w:leader="none" w:pos="6620" w:val="left"/>
        </w:tabs>
        <w:rPr>
          <w:sz w:val="20"/>
          <w:szCs w:val="20"/>
          <w:color w:val="auto"/>
        </w:rPr>
      </w:pPr>
      <w:r>
        <w:rPr>
          <w:rFonts w:ascii="Arial" w:cs="Arial" w:eastAsia="Arial" w:hAnsi="Arial"/>
          <w:sz w:val="17"/>
          <w:szCs w:val="17"/>
          <w:b w:val="1"/>
          <w:bCs w:val="1"/>
          <w:color w:val="483E65"/>
        </w:rPr>
        <w:t>Corporate Governance &amp; Ethics Committee</w:t>
      </w:r>
      <w:r>
        <w:rPr>
          <w:sz w:val="20"/>
          <w:szCs w:val="20"/>
          <w:color w:val="auto"/>
        </w:rPr>
        <w:tab/>
      </w:r>
      <w:r>
        <w:rPr>
          <w:rFonts w:ascii="Arial" w:cs="Arial" w:eastAsia="Arial" w:hAnsi="Arial"/>
          <w:sz w:val="16"/>
          <w:szCs w:val="16"/>
          <w:b w:val="1"/>
          <w:bCs w:val="1"/>
          <w:color w:val="483E65"/>
        </w:rPr>
        <w:t>Number of Meetings in Last Fiscal Year: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-110490</wp:posOffset>
            </wp:positionV>
            <wp:extent cx="6583680" cy="1212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83680" cy="121285"/>
                    </a:xfrm>
                    <a:prstGeom prst="rect">
                      <a:avLst/>
                    </a:prstGeom>
                    <a:noFill/>
                  </pic:spPr>
                </pic:pic>
              </a:graphicData>
            </a:graphic>
          </wp:anchor>
        </w:drawing>
      </w:r>
    </w:p>
    <w:p>
      <w:pPr>
        <w:sectPr>
          <w:pgSz w:w="11900" w:h="16838" w:orient="portrait"/>
          <w:cols w:equalWidth="0" w:num="1">
            <w:col w:w="10800"/>
          </w:cols>
          <w:pgMar w:left="320" w:top="441" w:right="779" w:bottom="1440" w:gutter="0" w:footer="0" w:header="0"/>
          <w:type w:val="continuous"/>
        </w:sectPr>
      </w:pPr>
    </w:p>
    <w:p>
      <w:pPr>
        <w:spacing w:after="0" w:line="136"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00" w:lineRule="exact"/>
        <w:rPr>
          <w:sz w:val="20"/>
          <w:szCs w:val="20"/>
          <w:color w:val="auto"/>
        </w:rPr>
      </w:pPr>
    </w:p>
    <w:p>
      <w:pPr>
        <w:spacing w:after="0" w:line="227"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00" w:lineRule="exact"/>
        <w:rPr>
          <w:sz w:val="20"/>
          <w:szCs w:val="20"/>
          <w:color w:val="auto"/>
        </w:rPr>
      </w:pPr>
    </w:p>
    <w:p>
      <w:pPr>
        <w:spacing w:after="0" w:line="227"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Evaluates, identifies and recommends director nominees;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Reviews the composition and procedures of the Board;</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Makes recommendations regarding the size, composition and charters of the Board’s committees;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Reviews and develops long-range plans for CEO and management succession;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Develops a set of corporate governance principles;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Recommends an independent director to serve as non-executive Chair of the Board or as Lead Director;</w:t>
      </w:r>
    </w:p>
    <w:p>
      <w:pPr>
        <w:spacing w:after="0" w:line="109"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Reviews policies and practices regarding ethical responsibilities and monitors the effectiveness of our ethics, compliance and training programs;</w:t>
      </w:r>
    </w:p>
    <w:p>
      <w:pPr>
        <w:spacing w:after="0" w:line="100"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Reviews our approach to corporate responsibility including political, social and environmental issues that may affect our business operations, performance, public image or reputation; and</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Develops and oversees an annual self-evaluation process of the Board and its committees.</w:t>
      </w:r>
    </w:p>
    <w:p>
      <w:pPr>
        <w:spacing w:after="0" w:line="200" w:lineRule="exact"/>
        <w:rPr>
          <w:sz w:val="20"/>
          <w:szCs w:val="20"/>
          <w:color w:val="auto"/>
        </w:rPr>
      </w:pPr>
    </w:p>
    <w:p>
      <w:pPr>
        <w:sectPr>
          <w:pgSz w:w="11900" w:h="16838" w:orient="portrait"/>
          <w:cols w:equalWidth="0" w:num="2">
            <w:col w:w="780" w:space="260"/>
            <w:col w:w="9760"/>
          </w:cols>
          <w:pgMar w:left="320" w:top="441" w:right="779" w:bottom="1440" w:gutter="0" w:footer="0" w:header="0"/>
          <w:type w:val="continuous"/>
        </w:sectPr>
      </w:pPr>
    </w:p>
    <w:p>
      <w:pPr>
        <w:spacing w:after="0" w:line="118" w:lineRule="exact"/>
        <w:rPr>
          <w:sz w:val="20"/>
          <w:szCs w:val="20"/>
          <w:color w:val="auto"/>
        </w:rPr>
      </w:pPr>
    </w:p>
    <w:p>
      <w:pPr>
        <w:ind w:left="720"/>
        <w:spacing w:after="0"/>
        <w:tabs>
          <w:tab w:leader="none" w:pos="6620" w:val="left"/>
        </w:tabs>
        <w:rPr>
          <w:sz w:val="20"/>
          <w:szCs w:val="20"/>
          <w:color w:val="auto"/>
        </w:rPr>
      </w:pPr>
      <w:r>
        <w:rPr>
          <w:rFonts w:ascii="Arial" w:cs="Arial" w:eastAsia="Arial" w:hAnsi="Arial"/>
          <w:sz w:val="17"/>
          <w:szCs w:val="17"/>
          <w:b w:val="1"/>
          <w:bCs w:val="1"/>
          <w:color w:val="483E65"/>
        </w:rPr>
        <w:t>Human Resources &amp; Compensation Committee</w:t>
      </w:r>
      <w:r>
        <w:rPr>
          <w:sz w:val="20"/>
          <w:szCs w:val="20"/>
          <w:color w:val="auto"/>
        </w:rPr>
        <w:tab/>
      </w:r>
      <w:r>
        <w:rPr>
          <w:rFonts w:ascii="Arial" w:cs="Arial" w:eastAsia="Arial" w:hAnsi="Arial"/>
          <w:sz w:val="16"/>
          <w:szCs w:val="16"/>
          <w:b w:val="1"/>
          <w:bCs w:val="1"/>
          <w:color w:val="483E65"/>
        </w:rPr>
        <w:t>Number of Meetings in Last Fiscal Year: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-110490</wp:posOffset>
            </wp:positionV>
            <wp:extent cx="6583680" cy="1212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83680" cy="121285"/>
                    </a:xfrm>
                    <a:prstGeom prst="rect">
                      <a:avLst/>
                    </a:prstGeom>
                    <a:noFill/>
                  </pic:spPr>
                </pic:pic>
              </a:graphicData>
            </a:graphic>
          </wp:anchor>
        </w:drawing>
      </w:r>
    </w:p>
    <w:p>
      <w:pPr>
        <w:sectPr>
          <w:pgSz w:w="11900" w:h="16838" w:orient="portrait"/>
          <w:cols w:equalWidth="0" w:num="1">
            <w:col w:w="10800"/>
          </w:cols>
          <w:pgMar w:left="320" w:top="441" w:right="779" w:bottom="1440" w:gutter="0" w:footer="0" w:header="0"/>
          <w:type w:val="continuous"/>
        </w:sectPr>
      </w:pPr>
    </w:p>
    <w:p>
      <w:pPr>
        <w:spacing w:after="0" w:line="136"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Determines CEO compensation and approves compensation of our other executive officers;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Exercises all rights, authority and functions under our stock, retirement and other compensation plans;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Approves non-employee director compensation;</w:t>
      </w:r>
    </w:p>
    <w:p>
      <w:pPr>
        <w:spacing w:after="0" w:line="109" w:lineRule="exact"/>
        <w:rPr>
          <w:sz w:val="20"/>
          <w:szCs w:val="20"/>
          <w:color w:val="auto"/>
        </w:rPr>
      </w:pPr>
    </w:p>
    <w:p>
      <w:pPr>
        <w:ind w:right="1880"/>
        <w:spacing w:after="0" w:line="374" w:lineRule="auto"/>
        <w:rPr>
          <w:sz w:val="20"/>
          <w:szCs w:val="20"/>
          <w:color w:val="auto"/>
        </w:rPr>
      </w:pPr>
      <w:r>
        <w:rPr>
          <w:rFonts w:ascii="Arial" w:cs="Arial" w:eastAsia="Arial" w:hAnsi="Arial"/>
          <w:sz w:val="17"/>
          <w:szCs w:val="17"/>
          <w:color w:val="auto"/>
        </w:rPr>
        <w:t>Reviews and approves the annual report on executive compensation for inclusion in our proxy statement; Reviews compensation risk;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Periodically reviews our human resources strategy, policies and programs.</w:t>
      </w:r>
    </w:p>
    <w:p>
      <w:pPr>
        <w:spacing w:after="0" w:line="178" w:lineRule="exact"/>
        <w:rPr>
          <w:sz w:val="20"/>
          <w:szCs w:val="20"/>
          <w:color w:val="auto"/>
        </w:rPr>
      </w:pPr>
    </w:p>
    <w:p>
      <w:pPr>
        <w:sectPr>
          <w:pgSz w:w="11900" w:h="16838" w:orient="portrait"/>
          <w:cols w:equalWidth="0" w:num="2">
            <w:col w:w="780" w:space="260"/>
            <w:col w:w="9760"/>
          </w:cols>
          <w:pgMar w:left="320" w:top="441" w:right="779" w:bottom="1440" w:gutter="0" w:footer="0" w:header="0"/>
          <w:type w:val="continuous"/>
        </w:sectPr>
      </w:pPr>
    </w:p>
    <w:p>
      <w:pPr>
        <w:ind w:left="860"/>
        <w:spacing w:after="0"/>
        <w:rPr>
          <w:sz w:val="20"/>
          <w:szCs w:val="20"/>
          <w:color w:val="auto"/>
        </w:rPr>
      </w:pPr>
      <w:r>
        <w:rPr>
          <w:rFonts w:ascii="Arial" w:cs="Arial" w:eastAsia="Arial" w:hAnsi="Arial"/>
          <w:sz w:val="17"/>
          <w:szCs w:val="17"/>
          <w:b w:val="1"/>
          <w:bCs w:val="1"/>
          <w:i w:val="1"/>
          <w:iCs w:val="1"/>
          <w:color w:val="483E65"/>
        </w:rPr>
        <w:t>Role of Independent Consultant</w:t>
      </w:r>
    </w:p>
    <w:p>
      <w:pPr>
        <w:spacing w:after="0" w:line="218" w:lineRule="exact"/>
        <w:rPr>
          <w:sz w:val="20"/>
          <w:szCs w:val="20"/>
          <w:color w:val="auto"/>
        </w:rPr>
      </w:pPr>
    </w:p>
    <w:p>
      <w:pPr>
        <w:ind w:left="440" w:right="100"/>
        <w:spacing w:after="0" w:line="239" w:lineRule="auto"/>
        <w:rPr>
          <w:sz w:val="20"/>
          <w:szCs w:val="20"/>
          <w:color w:val="auto"/>
        </w:rPr>
      </w:pPr>
      <w:r>
        <w:rPr>
          <w:rFonts w:ascii="Arial" w:cs="Arial" w:eastAsia="Arial" w:hAnsi="Arial"/>
          <w:sz w:val="17"/>
          <w:szCs w:val="17"/>
          <w:color w:val="auto"/>
        </w:rPr>
        <w:t>The Human Resources and Compensation Committee has retained Frederic W. Cook &amp; Co., as its independent compensation consultant to assist the Committee in evaluating executive compensation programs and in setting executive officer compensation. The consultant serves the Committee in an advisory role only and does not decide or approve any</w:t>
      </w:r>
    </w:p>
    <w:p>
      <w:pPr>
        <w:spacing w:after="0" w:line="112"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13</w:t>
      </w:r>
    </w:p>
    <w:p>
      <w:pPr>
        <w:sectPr>
          <w:pgSz w:w="11900" w:h="16838" w:orient="portrait"/>
          <w:cols w:equalWidth="0" w:num="1">
            <w:col w:w="10800"/>
          </w:cols>
          <w:pgMar w:left="320" w:top="441" w:right="779" w:bottom="1440" w:gutter="0" w:footer="0" w:header="0"/>
          <w:type w:val="continuous"/>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93" w:lineRule="exact"/>
        <w:rPr>
          <w:sz w:val="20"/>
          <w:szCs w:val="20"/>
          <w:color w:val="auto"/>
        </w:rPr>
      </w:pPr>
    </w:p>
    <w:p>
      <w:pPr>
        <w:ind w:left="440" w:right="700"/>
        <w:spacing w:after="0" w:line="243" w:lineRule="auto"/>
        <w:rPr>
          <w:sz w:val="20"/>
          <w:szCs w:val="20"/>
          <w:color w:val="auto"/>
        </w:rPr>
      </w:pPr>
      <w:r>
        <w:rPr>
          <w:rFonts w:ascii="Arial" w:cs="Arial" w:eastAsia="Arial" w:hAnsi="Arial"/>
          <w:sz w:val="17"/>
          <w:szCs w:val="17"/>
          <w:color w:val="auto"/>
        </w:rPr>
        <w:t>compensation actions. The consultant reports directly to the Committee and does not perform any services for management. The consultant’s duties include the following:</w:t>
      </w:r>
    </w:p>
    <w:p>
      <w:pPr>
        <w:sectPr>
          <w:pgSz w:w="11900" w:h="16838" w:orient="portrait"/>
          <w:cols w:equalWidth="0" w:num="1">
            <w:col w:w="10780"/>
          </w:cols>
          <w:pgMar w:left="320" w:top="441" w:right="799" w:bottom="1440" w:gutter="0" w:footer="0" w:header="0"/>
        </w:sectPr>
      </w:pPr>
    </w:p>
    <w:p>
      <w:pPr>
        <w:spacing w:after="0" w:line="221"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00" w:lineRule="exact"/>
        <w:rPr>
          <w:sz w:val="20"/>
          <w:szCs w:val="20"/>
          <w:color w:val="auto"/>
        </w:rPr>
      </w:pPr>
    </w:p>
    <w:p>
      <w:pPr>
        <w:spacing w:after="0" w:line="227"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00" w:lineRule="exact"/>
        <w:rPr>
          <w:sz w:val="20"/>
          <w:szCs w:val="20"/>
          <w:color w:val="auto"/>
        </w:rPr>
      </w:pPr>
    </w:p>
    <w:p>
      <w:pPr>
        <w:spacing w:after="0" w:line="227" w:lineRule="exact"/>
        <w:rPr>
          <w:sz w:val="20"/>
          <w:szCs w:val="20"/>
          <w:color w:val="auto"/>
        </w:rPr>
      </w:pPr>
    </w:p>
    <w:p>
      <w:pPr>
        <w:ind w:left="7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1060"/>
        <w:spacing w:after="0" w:line="243" w:lineRule="auto"/>
        <w:rPr>
          <w:sz w:val="20"/>
          <w:szCs w:val="20"/>
          <w:color w:val="auto"/>
        </w:rPr>
      </w:pPr>
      <w:r>
        <w:rPr>
          <w:rFonts w:ascii="Arial" w:cs="Arial" w:eastAsia="Arial" w:hAnsi="Arial"/>
          <w:sz w:val="17"/>
          <w:szCs w:val="17"/>
          <w:color w:val="auto"/>
        </w:rPr>
        <w:t>reviewing our total compensation philosophy, peer group, and target competitive positioning for reasonableness and appropriateness;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reviewing our overall executive compensation program and advising the Committee on evolving best practices;</w:t>
      </w:r>
    </w:p>
    <w:p>
      <w:pPr>
        <w:spacing w:after="0" w:line="109"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providing independent analyses and recommendations to the Committee on executive officers’ compensation and new programs that management submits to the Committee for approval; and</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reviewing the Compensation Discussion and Analysis for our Proxy Statement.</w:t>
      </w:r>
    </w:p>
    <w:p>
      <w:pPr>
        <w:spacing w:after="0" w:line="198" w:lineRule="exact"/>
        <w:rPr>
          <w:sz w:val="20"/>
          <w:szCs w:val="20"/>
          <w:color w:val="auto"/>
        </w:rPr>
      </w:pPr>
    </w:p>
    <w:p>
      <w:pPr>
        <w:sectPr>
          <w:pgSz w:w="11900" w:h="16838" w:orient="portrait"/>
          <w:cols w:equalWidth="0" w:num="2">
            <w:col w:w="780" w:space="260"/>
            <w:col w:w="9740"/>
          </w:cols>
          <w:pgMar w:left="320" w:top="441" w:right="799" w:bottom="1440" w:gutter="0" w:footer="0" w:header="0"/>
          <w:type w:val="continuous"/>
        </w:sectPr>
      </w:pPr>
    </w:p>
    <w:p>
      <w:pPr>
        <w:ind w:left="440" w:right="20"/>
        <w:spacing w:after="0" w:line="239" w:lineRule="auto"/>
        <w:rPr>
          <w:sz w:val="20"/>
          <w:szCs w:val="20"/>
          <w:color w:val="auto"/>
        </w:rPr>
      </w:pPr>
      <w:r>
        <w:rPr>
          <w:rFonts w:ascii="Arial" w:cs="Arial" w:eastAsia="Arial" w:hAnsi="Arial"/>
          <w:sz w:val="17"/>
          <w:szCs w:val="17"/>
          <w:color w:val="auto"/>
        </w:rPr>
        <w:t>The consultant interacts directly with members of management only on matters under the Committee’s oversight and with the knowledge and permission of the Committee. The Committee has assessed the independence of Frederic W. Cook &amp; Co. pursuant to applicable SEC and NYSE listing rules and concluded that the firm’s work for the Committee does not raise any conflict of interest.</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Compensation Committee Interlocks and Insider Participation</w:t>
      </w:r>
    </w:p>
    <w:p>
      <w:pPr>
        <w:spacing w:after="0" w:line="218" w:lineRule="exact"/>
        <w:rPr>
          <w:sz w:val="20"/>
          <w:szCs w:val="20"/>
          <w:color w:val="auto"/>
        </w:rPr>
      </w:pPr>
    </w:p>
    <w:p>
      <w:pPr>
        <w:ind w:left="440" w:right="400"/>
        <w:spacing w:after="0" w:line="237" w:lineRule="auto"/>
        <w:rPr>
          <w:sz w:val="20"/>
          <w:szCs w:val="20"/>
          <w:color w:val="auto"/>
        </w:rPr>
      </w:pPr>
      <w:r>
        <w:rPr>
          <w:rFonts w:ascii="Arial" w:cs="Arial" w:eastAsia="Arial" w:hAnsi="Arial"/>
          <w:sz w:val="17"/>
          <w:szCs w:val="17"/>
          <w:color w:val="auto"/>
        </w:rPr>
        <w:t>None of the members of our Human Resources and Compensation Committee has, at any time, been an officer or employee of ours. None of our executive officers currently serves, or in the past fiscal year has served, as a member of the board of directors or compensation committee of any entity that has one or more executive officers serving on our Board or Human Resources and Compensation Committee.</w:t>
      </w:r>
    </w:p>
    <w:p>
      <w:pPr>
        <w:spacing w:after="0" w:line="313" w:lineRule="exact"/>
        <w:rPr>
          <w:sz w:val="20"/>
          <w:szCs w:val="20"/>
          <w:color w:val="auto"/>
        </w:rPr>
      </w:pPr>
    </w:p>
    <w:p>
      <w:pPr>
        <w:ind w:left="720"/>
        <w:spacing w:after="0"/>
        <w:tabs>
          <w:tab w:leader="none" w:pos="6620" w:val="left"/>
        </w:tabs>
        <w:rPr>
          <w:sz w:val="20"/>
          <w:szCs w:val="20"/>
          <w:color w:val="auto"/>
        </w:rPr>
      </w:pPr>
      <w:r>
        <w:rPr>
          <w:rFonts w:ascii="Arial" w:cs="Arial" w:eastAsia="Arial" w:hAnsi="Arial"/>
          <w:sz w:val="17"/>
          <w:szCs w:val="17"/>
          <w:b w:val="1"/>
          <w:bCs w:val="1"/>
          <w:color w:val="483E65"/>
        </w:rPr>
        <w:t>Technology &amp; Information Security Committee</w:t>
      </w:r>
      <w:r>
        <w:rPr>
          <w:sz w:val="20"/>
          <w:szCs w:val="20"/>
          <w:color w:val="auto"/>
        </w:rPr>
        <w:tab/>
      </w:r>
      <w:r>
        <w:rPr>
          <w:rFonts w:ascii="Arial" w:cs="Arial" w:eastAsia="Arial" w:hAnsi="Arial"/>
          <w:sz w:val="16"/>
          <w:szCs w:val="16"/>
          <w:b w:val="1"/>
          <w:bCs w:val="1"/>
          <w:color w:val="483E65"/>
        </w:rPr>
        <w:t>Number of Meetings in Last Fiscal Year: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-110490</wp:posOffset>
            </wp:positionV>
            <wp:extent cx="6583680" cy="1212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83680" cy="121285"/>
                    </a:xfrm>
                    <a:prstGeom prst="rect">
                      <a:avLst/>
                    </a:prstGeom>
                    <a:noFill/>
                  </pic:spPr>
                </pic:pic>
              </a:graphicData>
            </a:graphic>
          </wp:anchor>
        </w:drawing>
      </w:r>
    </w:p>
    <w:p>
      <w:pPr>
        <w:spacing w:after="0" w:line="109" w:lineRule="exact"/>
        <w:rPr>
          <w:sz w:val="20"/>
          <w:szCs w:val="20"/>
          <w:color w:val="auto"/>
        </w:rPr>
      </w:pPr>
    </w:p>
    <w:p>
      <w:pPr>
        <w:ind w:left="1040" w:hanging="295"/>
        <w:spacing w:after="0"/>
        <w:tabs>
          <w:tab w:leader="none" w:pos="1040" w:val="left"/>
        </w:tabs>
        <w:numPr>
          <w:ilvl w:val="0"/>
          <w:numId w:val="11"/>
        </w:numPr>
        <w:rPr>
          <w:rFonts w:ascii="Arial" w:cs="Arial" w:eastAsia="Arial" w:hAnsi="Arial"/>
          <w:sz w:val="9"/>
          <w:szCs w:val="9"/>
          <w:color w:val="77387A"/>
        </w:rPr>
      </w:pPr>
      <w:r>
        <w:rPr>
          <w:rFonts w:ascii="Arial" w:cs="Arial" w:eastAsia="Arial" w:hAnsi="Arial"/>
          <w:sz w:val="17"/>
          <w:szCs w:val="17"/>
          <w:color w:val="auto"/>
        </w:rPr>
        <w:t>Reviews our approach to integration of technology and innovation;</w:t>
      </w:r>
    </w:p>
    <w:p>
      <w:pPr>
        <w:spacing w:after="0" w:line="109" w:lineRule="exact"/>
        <w:rPr>
          <w:rFonts w:ascii="Arial" w:cs="Arial" w:eastAsia="Arial" w:hAnsi="Arial"/>
          <w:sz w:val="9"/>
          <w:szCs w:val="9"/>
          <w:color w:val="77387A"/>
        </w:rPr>
      </w:pPr>
    </w:p>
    <w:p>
      <w:pPr>
        <w:ind w:left="1040" w:right="680" w:hanging="295"/>
        <w:spacing w:after="0" w:line="243" w:lineRule="auto"/>
        <w:tabs>
          <w:tab w:leader="none" w:pos="1040" w:val="left"/>
        </w:tabs>
        <w:numPr>
          <w:ilvl w:val="0"/>
          <w:numId w:val="11"/>
        </w:numPr>
        <w:rPr>
          <w:rFonts w:ascii="Arial" w:cs="Arial" w:eastAsia="Arial" w:hAnsi="Arial"/>
          <w:sz w:val="9"/>
          <w:szCs w:val="9"/>
          <w:color w:val="77387A"/>
        </w:rPr>
      </w:pPr>
      <w:r>
        <w:rPr>
          <w:rFonts w:ascii="Arial" w:cs="Arial" w:eastAsia="Arial" w:hAnsi="Arial"/>
          <w:sz w:val="17"/>
          <w:szCs w:val="17"/>
          <w:color w:val="auto"/>
        </w:rPr>
        <w:t>Assesses trends or potential disruptions, including emerging technologies, that may influence our strategy with respect to technology and innovation;</w:t>
      </w:r>
    </w:p>
    <w:p>
      <w:pPr>
        <w:spacing w:after="0" w:line="99" w:lineRule="exact"/>
        <w:rPr>
          <w:rFonts w:ascii="Arial" w:cs="Arial" w:eastAsia="Arial" w:hAnsi="Arial"/>
          <w:sz w:val="9"/>
          <w:szCs w:val="9"/>
          <w:color w:val="77387A"/>
        </w:rPr>
      </w:pPr>
    </w:p>
    <w:p>
      <w:pPr>
        <w:ind w:left="1040" w:right="600" w:hanging="295"/>
        <w:spacing w:after="0" w:line="243" w:lineRule="auto"/>
        <w:tabs>
          <w:tab w:leader="none" w:pos="1040" w:val="left"/>
        </w:tabs>
        <w:numPr>
          <w:ilvl w:val="0"/>
          <w:numId w:val="11"/>
        </w:numPr>
        <w:rPr>
          <w:rFonts w:ascii="Arial" w:cs="Arial" w:eastAsia="Arial" w:hAnsi="Arial"/>
          <w:sz w:val="9"/>
          <w:szCs w:val="9"/>
          <w:color w:val="77387A"/>
        </w:rPr>
      </w:pPr>
      <w:r>
        <w:rPr>
          <w:rFonts w:ascii="Arial" w:cs="Arial" w:eastAsia="Arial" w:hAnsi="Arial"/>
          <w:sz w:val="17"/>
          <w:szCs w:val="17"/>
          <w:color w:val="auto"/>
        </w:rPr>
        <w:t>Assists the Board in overseeing risks relating to technology development, information security and the effectiveness of our processes to identify, monitor and mitigate these risks;</w:t>
      </w:r>
    </w:p>
    <w:p>
      <w:pPr>
        <w:spacing w:after="0" w:line="169"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Director Nominations Process</w:t>
      </w:r>
    </w:p>
    <w:p>
      <w:pPr>
        <w:spacing w:after="0" w:line="218" w:lineRule="exact"/>
        <w:rPr>
          <w:sz w:val="20"/>
          <w:szCs w:val="20"/>
          <w:color w:val="auto"/>
        </w:rPr>
      </w:pPr>
    </w:p>
    <w:p>
      <w:pPr>
        <w:ind w:left="440" w:right="220"/>
        <w:spacing w:after="0" w:line="237" w:lineRule="auto"/>
        <w:rPr>
          <w:sz w:val="20"/>
          <w:szCs w:val="20"/>
          <w:color w:val="auto"/>
        </w:rPr>
      </w:pPr>
      <w:r>
        <w:rPr>
          <w:rFonts w:ascii="Arial" w:cs="Arial" w:eastAsia="Arial" w:hAnsi="Arial"/>
          <w:sz w:val="17"/>
          <w:szCs w:val="17"/>
          <w:color w:val="auto"/>
        </w:rPr>
        <w:t>The Corporate Governance and Ethics Committee utilizes a variety of methods for identifying and evaluating nominees for director. The Committee regularly assesses the Board’s current and projected strengths and needs by, among other things, reviewing the Board’s current profile, the criteria for board membership described in this proxy under the caption “Corporate Governance—Criteria for Board Membership” and our current and future needs.</w:t>
      </w:r>
    </w:p>
    <w:p>
      <w:pPr>
        <w:spacing w:after="0" w:line="194" w:lineRule="exact"/>
        <w:rPr>
          <w:sz w:val="20"/>
          <w:szCs w:val="20"/>
          <w:color w:val="auto"/>
        </w:rPr>
      </w:pPr>
    </w:p>
    <w:p>
      <w:pPr>
        <w:ind w:left="440"/>
        <w:spacing w:after="0" w:line="235" w:lineRule="auto"/>
        <w:rPr>
          <w:sz w:val="20"/>
          <w:szCs w:val="20"/>
          <w:color w:val="auto"/>
        </w:rPr>
      </w:pPr>
      <w:r>
        <w:rPr>
          <w:rFonts w:ascii="Arial" w:cs="Arial" w:eastAsia="Arial" w:hAnsi="Arial"/>
          <w:sz w:val="17"/>
          <w:szCs w:val="17"/>
          <w:color w:val="auto"/>
        </w:rPr>
        <w:t>When vacancies on the Board are anticipated or otherwise arise, the Committee prepares a target candidate profile and develops an initial list of director candidates identified by the current members of the Board, business contacts, community leaders and members of management. The Committee may also retain a professional search firm to assist in developing a list of qualified candidates. The Corporate Governance and Ethics Committee would also consider any stockholder recommendations for director nominees that are properly received. The Committee then screens and evaluates the resulting slate of director candidates to identify those individuals who best fit the target candidate profile and Board membership criteria and provides the Board with its recommendations. The Board then considers the recommendations and votes on whether to nominate the director candidate for election by the stockholders at the annual meeting or to appoint the director candidate to fill a vacancy on the Board.</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Stockholder Recommendations and Nominations of Director Candidates</w:t>
      </w:r>
    </w:p>
    <w:p>
      <w:pPr>
        <w:spacing w:after="0" w:line="218" w:lineRule="exact"/>
        <w:rPr>
          <w:sz w:val="20"/>
          <w:szCs w:val="20"/>
          <w:color w:val="auto"/>
        </w:rPr>
      </w:pPr>
    </w:p>
    <w:p>
      <w:pPr>
        <w:ind w:left="440"/>
        <w:spacing w:after="0" w:line="239" w:lineRule="auto"/>
        <w:rPr>
          <w:sz w:val="20"/>
          <w:szCs w:val="20"/>
          <w:color w:val="auto"/>
        </w:rPr>
      </w:pPr>
      <w:r>
        <w:rPr>
          <w:rFonts w:ascii="Arial" w:cs="Arial" w:eastAsia="Arial" w:hAnsi="Arial"/>
          <w:sz w:val="17"/>
          <w:szCs w:val="17"/>
          <w:color w:val="auto"/>
        </w:rPr>
        <w:t>The Corporate Governance and Ethics Committee considers stockholder recommendations for candidates for the Board of Directors using the same criteria described above under “Corporate Governance—Criteria for Board Membership.” The name of any recommended candidate for director, together with a brief biographical sketch, a document indicating the</w:t>
      </w:r>
    </w:p>
    <w:p>
      <w:pPr>
        <w:spacing w:after="0" w:line="112" w:lineRule="exact"/>
        <w:rPr>
          <w:sz w:val="20"/>
          <w:szCs w:val="20"/>
          <w:color w:val="auto"/>
        </w:r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14</w:t>
        <w:tab/>
        <w:t>|</w:t>
        <w:tab/>
        <w:t>2020 Proxy Statement</w:t>
      </w:r>
    </w:p>
    <w:p>
      <w:pPr>
        <w:sectPr>
          <w:pgSz w:w="11900" w:h="16838" w:orient="portrait"/>
          <w:cols w:equalWidth="0" w:num="1">
            <w:col w:w="10780"/>
          </w:cols>
          <w:pgMar w:left="320" w:top="441" w:right="799" w:bottom="1440" w:gutter="0" w:footer="0" w:header="0"/>
          <w:type w:val="continuous"/>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93" w:lineRule="exact"/>
        <w:rPr>
          <w:sz w:val="20"/>
          <w:szCs w:val="20"/>
          <w:color w:val="auto"/>
        </w:rPr>
      </w:pPr>
    </w:p>
    <w:p>
      <w:pPr>
        <w:ind w:left="440" w:right="180"/>
        <w:spacing w:after="0" w:line="243" w:lineRule="auto"/>
        <w:rPr>
          <w:sz w:val="20"/>
          <w:szCs w:val="20"/>
          <w:color w:val="auto"/>
        </w:rPr>
      </w:pPr>
      <w:r>
        <w:rPr>
          <w:rFonts w:ascii="Arial" w:cs="Arial" w:eastAsia="Arial" w:hAnsi="Arial"/>
          <w:sz w:val="17"/>
          <w:szCs w:val="17"/>
          <w:color w:val="auto"/>
        </w:rPr>
        <w:t>candidate’s willingness to serve if elected, and evidence of the nominating stockholder’s ownership of shares of our common stock must be sent to: Leidos Holdings, Inc., Office of the Corporate Secretary, 1750 Presidents Street, Reston, Virginia 20190.</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Any stockholder may nominate a person for election as a director by complying with the procedures set forth in our bylaws.</w:t>
      </w:r>
    </w:p>
    <w:p>
      <w:pPr>
        <w:spacing w:after="0" w:line="178"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Mandatory Retirement Policy</w:t>
      </w:r>
    </w:p>
    <w:p>
      <w:pPr>
        <w:spacing w:after="0" w:line="218" w:lineRule="exact"/>
        <w:rPr>
          <w:sz w:val="20"/>
          <w:szCs w:val="20"/>
          <w:color w:val="auto"/>
        </w:rPr>
      </w:pPr>
    </w:p>
    <w:p>
      <w:pPr>
        <w:ind w:left="440" w:right="240"/>
        <w:spacing w:after="0" w:line="239" w:lineRule="auto"/>
        <w:rPr>
          <w:sz w:val="20"/>
          <w:szCs w:val="20"/>
          <w:color w:val="auto"/>
        </w:rPr>
      </w:pPr>
      <w:r>
        <w:rPr>
          <w:rFonts w:ascii="Arial" w:cs="Arial" w:eastAsia="Arial" w:hAnsi="Arial"/>
          <w:sz w:val="17"/>
          <w:szCs w:val="17"/>
          <w:color w:val="auto"/>
        </w:rPr>
        <w:t>Employee directors are expected to retire from the Board upon their retirement or resignation as an employee of the company. It is the general policy of the Corporate Governance and Ethics Committee not to nominate candidates for re-election at any annual stockholder meeting to be held after he or she has attained the age of 75.</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Director Compensation</w:t>
      </w:r>
    </w:p>
    <w:p>
      <w:pPr>
        <w:spacing w:after="0" w:line="218" w:lineRule="exact"/>
        <w:rPr>
          <w:sz w:val="20"/>
          <w:szCs w:val="20"/>
          <w:color w:val="auto"/>
        </w:rPr>
      </w:pPr>
    </w:p>
    <w:p>
      <w:pPr>
        <w:ind w:left="440" w:right="160"/>
        <w:spacing w:after="0" w:line="236" w:lineRule="auto"/>
        <w:rPr>
          <w:sz w:val="20"/>
          <w:szCs w:val="20"/>
          <w:color w:val="auto"/>
        </w:rPr>
      </w:pPr>
      <w:r>
        <w:rPr>
          <w:rFonts w:ascii="Arial" w:cs="Arial" w:eastAsia="Arial" w:hAnsi="Arial"/>
          <w:sz w:val="17"/>
          <w:szCs w:val="17"/>
          <w:color w:val="auto"/>
        </w:rPr>
        <w:t>We use a combination of cash and stock-based incentives to attract and retain qualified candidates to serve as directors. In determining director compensation, we consider the significant amount of time required of our directors in fulfilling their duties, as well as the skill and expertise of our directors. The Human Resources and Compensation Committee periodically reviews director compensation with the assistance of its independent compensation consultant and recommends to the Board the form and amount of compensation to be provided. The director compensation described below represents the total compensation received by our directors for their service as directors for both Leidos Holdings, Inc. and Leidos, Inc.</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summary of our annual compensation program for our non-employee directors, as paid for service in 2019:</w:t>
      </w:r>
    </w:p>
    <w:p>
      <w:pPr>
        <w:spacing w:after="0" w:line="178"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Cash Compensation</w:t>
      </w:r>
    </w:p>
    <w:p>
      <w:pPr>
        <w:spacing w:after="0" w:line="218" w:lineRule="exact"/>
        <w:rPr>
          <w:sz w:val="20"/>
          <w:szCs w:val="20"/>
          <w:color w:val="auto"/>
        </w:rPr>
      </w:pPr>
    </w:p>
    <w:p>
      <w:pPr>
        <w:ind w:left="440" w:right="20"/>
        <w:spacing w:after="0" w:line="237" w:lineRule="auto"/>
        <w:rPr>
          <w:sz w:val="20"/>
          <w:szCs w:val="20"/>
          <w:color w:val="auto"/>
        </w:rPr>
      </w:pPr>
      <w:r>
        <w:rPr>
          <w:rFonts w:ascii="Arial" w:cs="Arial" w:eastAsia="Arial" w:hAnsi="Arial"/>
          <w:sz w:val="17"/>
          <w:szCs w:val="17"/>
          <w:color w:val="auto"/>
        </w:rPr>
        <w:t>In 2019, our directors received an annual cash retainer of $120,000. The Chair of the Audit and Finance Committee received an additional annual retainer of $25,000, and the chair of each other committee received an additional annual retainer of $15,000. The independent Lead Director also received an additional annual retainer of $30,000. These annual retainer amounts are prorated based on time served on the Board or in a committee Chair role during the year. We also reimburse our directors for expenses incurred while attending meetings or otherwise performing services as a director. We do not pay separate meeting fees.</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Equity Compensation</w:t>
      </w:r>
    </w:p>
    <w:p>
      <w:pPr>
        <w:spacing w:after="0" w:line="218" w:lineRule="exact"/>
        <w:rPr>
          <w:sz w:val="20"/>
          <w:szCs w:val="20"/>
          <w:color w:val="auto"/>
        </w:rPr>
      </w:pPr>
    </w:p>
    <w:p>
      <w:pPr>
        <w:ind w:left="440" w:right="60"/>
        <w:spacing w:after="0" w:line="237" w:lineRule="auto"/>
        <w:rPr>
          <w:sz w:val="20"/>
          <w:szCs w:val="20"/>
          <w:color w:val="auto"/>
        </w:rPr>
      </w:pPr>
      <w:r>
        <w:rPr>
          <w:rFonts w:ascii="Arial" w:cs="Arial" w:eastAsia="Arial" w:hAnsi="Arial"/>
          <w:sz w:val="17"/>
          <w:szCs w:val="17"/>
          <w:color w:val="auto"/>
        </w:rPr>
        <w:t>Directors receive annual equity awards under our equity incentive plan. Each of our directors receives an annual equity award valued at approximately $ 155,000, $105,000 in the form of restricted stock units and $50,000 in the form of stock options. These equity awards vest on the earlier of one year from the date of grant or on the date of the next annual meeting of stockholders following the date of grant. If a director retires due to our mandatory retirement policy, the director’s equity awards continue to vest as scheduled and options remain exercisable for the remainder of the option term.</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Deferral Plans</w:t>
      </w:r>
    </w:p>
    <w:p>
      <w:pPr>
        <w:spacing w:after="0" w:line="218" w:lineRule="exact"/>
        <w:rPr>
          <w:sz w:val="20"/>
          <w:szCs w:val="20"/>
          <w:color w:val="auto"/>
        </w:rPr>
      </w:pPr>
    </w:p>
    <w:p>
      <w:pPr>
        <w:ind w:left="440" w:right="60"/>
        <w:spacing w:after="0" w:line="239" w:lineRule="auto"/>
        <w:rPr>
          <w:sz w:val="20"/>
          <w:szCs w:val="20"/>
          <w:color w:val="auto"/>
        </w:rPr>
      </w:pPr>
      <w:r>
        <w:rPr>
          <w:rFonts w:ascii="Arial" w:cs="Arial" w:eastAsia="Arial" w:hAnsi="Arial"/>
          <w:sz w:val="17"/>
          <w:szCs w:val="17"/>
          <w:color w:val="auto"/>
        </w:rPr>
        <w:t>The directors are eligible to defer all or any portion of their cash retainers or certain equity compensation into our Keystaff Deferral Plan or Key Executive Stock Deferral Plan, or both. These plans are described in further detail under the caption “Executive Compensation— Nonqualified Deferred Compensation” below.</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Stock Ownership Guidelines and Policies</w:t>
      </w:r>
    </w:p>
    <w:p>
      <w:pPr>
        <w:spacing w:after="0" w:line="218" w:lineRule="exact"/>
        <w:rPr>
          <w:sz w:val="20"/>
          <w:szCs w:val="20"/>
          <w:color w:val="auto"/>
        </w:rPr>
      </w:pPr>
    </w:p>
    <w:p>
      <w:pPr>
        <w:ind w:left="440" w:right="60"/>
        <w:spacing w:after="0" w:line="236" w:lineRule="auto"/>
        <w:rPr>
          <w:sz w:val="20"/>
          <w:szCs w:val="20"/>
          <w:color w:val="auto"/>
        </w:rPr>
      </w:pPr>
      <w:r>
        <w:rPr>
          <w:rFonts w:ascii="Arial" w:cs="Arial" w:eastAsia="Arial" w:hAnsi="Arial"/>
          <w:sz w:val="17"/>
          <w:szCs w:val="17"/>
          <w:color w:val="auto"/>
        </w:rPr>
        <w:t>The Board believes that its members should acquire and hold shares of our stock in an amount that is meaningful and appropriate. To encourage directors to have a material investment in our stock, the Board has adopted stock ownership guidelines that call for directors to hold shares of our stock earned from their service on our Board until attaining stock ownership with a value of at least five times the amount of their annual cash retainer. All of our directors continue to observe this holding requirement. In addition to these ownership guidelines, our directors are also subject to policies that prohibit certain short-term or speculative transactions in our securities that we believe carry a greater risk of liability for insider trading violations or may create an appearance of impropriety. Our policy requires directors to obtain preclearance from our General Counsel for all transactions in our securities.</w:t>
      </w:r>
    </w:p>
    <w:p>
      <w:pPr>
        <w:spacing w:after="0" w:line="113"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15</w:t>
      </w:r>
    </w:p>
    <w:p>
      <w:pPr>
        <w:sectPr>
          <w:pgSz w:w="11900" w:h="16838" w:orient="portrait"/>
          <w:cols w:equalWidth="0" w:num="1">
            <w:col w:w="10800"/>
          </w:cols>
          <w:pgMar w:left="320" w:top="441" w:right="77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9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information regarding the compensation paid to our directors for service in fiscal 2019.</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2400" w:type="dxa"/>
            <w:vAlign w:val="bottom"/>
          </w:tcPr>
          <w:p>
            <w:pPr>
              <w:jc w:val="right"/>
              <w:ind w:right="675"/>
              <w:spacing w:after="0"/>
              <w:rPr>
                <w:sz w:val="20"/>
                <w:szCs w:val="20"/>
                <w:color w:val="auto"/>
              </w:rPr>
            </w:pPr>
            <w:r>
              <w:rPr>
                <w:rFonts w:ascii="Arial" w:cs="Arial" w:eastAsia="Arial" w:hAnsi="Arial"/>
                <w:sz w:val="17"/>
                <w:szCs w:val="17"/>
                <w:color w:val="483E65"/>
              </w:rPr>
              <w:t>Fees earned or</w:t>
            </w:r>
          </w:p>
        </w:tc>
        <w:tc>
          <w:tcPr>
            <w:tcW w:w="27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6"/>
        </w:trPr>
        <w:tc>
          <w:tcPr>
            <w:tcW w:w="2180" w:type="dxa"/>
            <w:vAlign w:val="bottom"/>
          </w:tcPr>
          <w:p>
            <w:pPr>
              <w:ind w:left="180"/>
              <w:spacing w:after="0"/>
              <w:rPr>
                <w:sz w:val="20"/>
                <w:szCs w:val="20"/>
                <w:color w:val="auto"/>
              </w:rPr>
            </w:pPr>
            <w:r>
              <w:rPr>
                <w:rFonts w:ascii="Arial" w:cs="Arial" w:eastAsia="Arial" w:hAnsi="Arial"/>
                <w:sz w:val="17"/>
                <w:szCs w:val="17"/>
                <w:color w:val="483E65"/>
              </w:rPr>
              <w:t>Name</w:t>
            </w:r>
            <w:r>
              <w:rPr>
                <w:rFonts w:ascii="Arial" w:cs="Arial" w:eastAsia="Arial" w:hAnsi="Arial"/>
                <w:sz w:val="14"/>
                <w:szCs w:val="14"/>
                <w:color w:val="483E65"/>
              </w:rPr>
              <w:t>(1)</w:t>
            </w:r>
          </w:p>
        </w:tc>
        <w:tc>
          <w:tcPr>
            <w:tcW w:w="2400" w:type="dxa"/>
            <w:vAlign w:val="bottom"/>
          </w:tcPr>
          <w:p>
            <w:pPr>
              <w:jc w:val="right"/>
              <w:ind w:right="595"/>
              <w:spacing w:after="0"/>
              <w:rPr>
                <w:sz w:val="20"/>
                <w:szCs w:val="20"/>
                <w:color w:val="auto"/>
              </w:rPr>
            </w:pPr>
            <w:r>
              <w:rPr>
                <w:rFonts w:ascii="Arial" w:cs="Arial" w:eastAsia="Arial" w:hAnsi="Arial"/>
                <w:sz w:val="17"/>
                <w:szCs w:val="17"/>
                <w:color w:val="483E65"/>
              </w:rPr>
              <w:t xml:space="preserve">paid in cash ($) </w:t>
            </w:r>
            <w:r>
              <w:rPr>
                <w:rFonts w:ascii="Arial" w:cs="Arial" w:eastAsia="Arial" w:hAnsi="Arial"/>
                <w:sz w:val="14"/>
                <w:szCs w:val="14"/>
                <w:color w:val="483E65"/>
              </w:rPr>
              <w:t>(2)</w:t>
            </w:r>
          </w:p>
        </w:tc>
        <w:tc>
          <w:tcPr>
            <w:tcW w:w="2780" w:type="dxa"/>
            <w:vAlign w:val="bottom"/>
          </w:tcPr>
          <w:p>
            <w:pPr>
              <w:jc w:val="right"/>
              <w:ind w:right="555"/>
              <w:spacing w:after="0"/>
              <w:rPr>
                <w:sz w:val="20"/>
                <w:szCs w:val="20"/>
                <w:color w:val="auto"/>
              </w:rPr>
            </w:pPr>
            <w:r>
              <w:rPr>
                <w:rFonts w:ascii="Arial" w:cs="Arial" w:eastAsia="Arial" w:hAnsi="Arial"/>
                <w:sz w:val="17"/>
                <w:szCs w:val="17"/>
                <w:color w:val="483E65"/>
              </w:rPr>
              <w:t xml:space="preserve">Stock awards ($) </w:t>
            </w:r>
            <w:r>
              <w:rPr>
                <w:rFonts w:ascii="Arial" w:cs="Arial" w:eastAsia="Arial" w:hAnsi="Arial"/>
                <w:sz w:val="14"/>
                <w:szCs w:val="14"/>
                <w:color w:val="483E65"/>
              </w:rPr>
              <w:t>(3)</w:t>
            </w:r>
          </w:p>
        </w:tc>
        <w:tc>
          <w:tcPr>
            <w:tcW w:w="2600" w:type="dxa"/>
            <w:vAlign w:val="bottom"/>
          </w:tcPr>
          <w:p>
            <w:pPr>
              <w:jc w:val="right"/>
              <w:ind w:right="315"/>
              <w:spacing w:after="0"/>
              <w:rPr>
                <w:sz w:val="20"/>
                <w:szCs w:val="20"/>
                <w:color w:val="auto"/>
              </w:rPr>
            </w:pPr>
            <w:r>
              <w:rPr>
                <w:rFonts w:ascii="Arial" w:cs="Arial" w:eastAsia="Arial" w:hAnsi="Arial"/>
                <w:sz w:val="17"/>
                <w:szCs w:val="17"/>
                <w:color w:val="483E65"/>
              </w:rPr>
              <w:t xml:space="preserve">Option awards ($) </w:t>
            </w:r>
            <w:r>
              <w:rPr>
                <w:rFonts w:ascii="Arial" w:cs="Arial" w:eastAsia="Arial" w:hAnsi="Arial"/>
                <w:sz w:val="14"/>
                <w:szCs w:val="14"/>
                <w:color w:val="483E65"/>
              </w:rPr>
              <w:t>(4)</w:t>
            </w:r>
          </w:p>
        </w:tc>
        <w:tc>
          <w:tcPr>
            <w:tcW w:w="940" w:type="dxa"/>
            <w:vAlign w:val="bottom"/>
          </w:tcPr>
          <w:p>
            <w:pPr>
              <w:jc w:val="right"/>
              <w:spacing w:after="0"/>
              <w:rPr>
                <w:sz w:val="20"/>
                <w:szCs w:val="20"/>
                <w:color w:val="auto"/>
              </w:rPr>
            </w:pPr>
            <w:r>
              <w:rPr>
                <w:rFonts w:ascii="Arial" w:cs="Arial" w:eastAsia="Arial" w:hAnsi="Arial"/>
                <w:sz w:val="17"/>
                <w:szCs w:val="17"/>
                <w:color w:val="483E65"/>
              </w:rPr>
              <w:t>Total (</w:t>
            </w:r>
          </w:p>
        </w:tc>
      </w:tr>
      <w:tr>
        <w:trPr>
          <w:trHeight w:val="39"/>
        </w:trPr>
        <w:tc>
          <w:tcPr>
            <w:tcW w:w="2180" w:type="dxa"/>
            <w:vAlign w:val="bottom"/>
            <w:tcBorders>
              <w:bottom w:val="single" w:sz="8" w:color="483E65"/>
            </w:tcBorders>
          </w:tcPr>
          <w:p>
            <w:pPr>
              <w:spacing w:after="0"/>
              <w:rPr>
                <w:sz w:val="3"/>
                <w:szCs w:val="3"/>
                <w:color w:val="auto"/>
              </w:rPr>
            </w:pPr>
          </w:p>
        </w:tc>
        <w:tc>
          <w:tcPr>
            <w:tcW w:w="2400" w:type="dxa"/>
            <w:vAlign w:val="bottom"/>
            <w:tcBorders>
              <w:bottom w:val="single" w:sz="8" w:color="483E65"/>
            </w:tcBorders>
          </w:tcPr>
          <w:p>
            <w:pPr>
              <w:spacing w:after="0"/>
              <w:rPr>
                <w:sz w:val="3"/>
                <w:szCs w:val="3"/>
                <w:color w:val="auto"/>
              </w:rPr>
            </w:pPr>
          </w:p>
        </w:tc>
        <w:tc>
          <w:tcPr>
            <w:tcW w:w="2780" w:type="dxa"/>
            <w:vAlign w:val="bottom"/>
            <w:tcBorders>
              <w:bottom w:val="single" w:sz="8" w:color="483E65"/>
            </w:tcBorders>
          </w:tcPr>
          <w:p>
            <w:pPr>
              <w:spacing w:after="0"/>
              <w:rPr>
                <w:sz w:val="3"/>
                <w:szCs w:val="3"/>
                <w:color w:val="auto"/>
              </w:rPr>
            </w:pPr>
          </w:p>
        </w:tc>
        <w:tc>
          <w:tcPr>
            <w:tcW w:w="2600" w:type="dxa"/>
            <w:vAlign w:val="bottom"/>
            <w:tcBorders>
              <w:bottom w:val="single" w:sz="8" w:color="483E65"/>
            </w:tcBorders>
          </w:tcPr>
          <w:p>
            <w:pPr>
              <w:spacing w:after="0"/>
              <w:rPr>
                <w:sz w:val="3"/>
                <w:szCs w:val="3"/>
                <w:color w:val="auto"/>
              </w:rPr>
            </w:pPr>
          </w:p>
        </w:tc>
        <w:tc>
          <w:tcPr>
            <w:tcW w:w="940" w:type="dxa"/>
            <w:vAlign w:val="bottom"/>
            <w:tcBorders>
              <w:bottom w:val="single" w:sz="8" w:color="483E65"/>
            </w:tcBorders>
          </w:tcPr>
          <w:p>
            <w:pPr>
              <w:spacing w:after="0"/>
              <w:rPr>
                <w:sz w:val="3"/>
                <w:szCs w:val="3"/>
                <w:color w:val="auto"/>
              </w:rPr>
            </w:pPr>
          </w:p>
        </w:tc>
      </w:tr>
      <w:tr>
        <w:trPr>
          <w:trHeight w:val="183"/>
        </w:trPr>
        <w:tc>
          <w:tcPr>
            <w:tcW w:w="2180" w:type="dxa"/>
            <w:vAlign w:val="bottom"/>
          </w:tcPr>
          <w:p>
            <w:pPr>
              <w:ind w:left="100"/>
              <w:spacing w:after="0" w:line="184" w:lineRule="exact"/>
              <w:rPr>
                <w:sz w:val="20"/>
                <w:szCs w:val="20"/>
                <w:color w:val="auto"/>
              </w:rPr>
            </w:pPr>
            <w:r>
              <w:rPr>
                <w:rFonts w:ascii="Arial" w:cs="Arial" w:eastAsia="Arial" w:hAnsi="Arial"/>
                <w:sz w:val="17"/>
                <w:szCs w:val="17"/>
                <w:color w:val="auto"/>
              </w:rPr>
              <w:t>Gregory R. Dahlberg</w:t>
            </w:r>
          </w:p>
        </w:tc>
        <w:tc>
          <w:tcPr>
            <w:tcW w:w="2400" w:type="dxa"/>
            <w:vAlign w:val="bottom"/>
          </w:tcPr>
          <w:p>
            <w:pPr>
              <w:jc w:val="right"/>
              <w:ind w:right="955"/>
              <w:spacing w:after="0" w:line="184" w:lineRule="exact"/>
              <w:rPr>
                <w:sz w:val="20"/>
                <w:szCs w:val="20"/>
                <w:color w:val="auto"/>
              </w:rPr>
            </w:pPr>
            <w:r>
              <w:rPr>
                <w:rFonts w:ascii="Arial" w:cs="Arial" w:eastAsia="Arial" w:hAnsi="Arial"/>
                <w:sz w:val="17"/>
                <w:szCs w:val="17"/>
                <w:color w:val="auto"/>
              </w:rPr>
              <w:t>$120,000</w:t>
            </w:r>
          </w:p>
        </w:tc>
        <w:tc>
          <w:tcPr>
            <w:tcW w:w="2780" w:type="dxa"/>
            <w:vAlign w:val="bottom"/>
          </w:tcPr>
          <w:p>
            <w:pPr>
              <w:jc w:val="right"/>
              <w:ind w:right="975"/>
              <w:spacing w:after="0" w:line="184" w:lineRule="exact"/>
              <w:rPr>
                <w:sz w:val="20"/>
                <w:szCs w:val="20"/>
                <w:color w:val="auto"/>
              </w:rPr>
            </w:pPr>
            <w:r>
              <w:rPr>
                <w:rFonts w:ascii="Arial" w:cs="Arial" w:eastAsia="Arial" w:hAnsi="Arial"/>
                <w:sz w:val="17"/>
                <w:szCs w:val="17"/>
                <w:color w:val="auto"/>
              </w:rPr>
              <w:t>$105,000</w:t>
            </w:r>
          </w:p>
        </w:tc>
        <w:tc>
          <w:tcPr>
            <w:tcW w:w="2600" w:type="dxa"/>
            <w:vAlign w:val="bottom"/>
          </w:tcPr>
          <w:p>
            <w:pPr>
              <w:jc w:val="right"/>
              <w:ind w:right="835"/>
              <w:spacing w:after="0" w:line="184" w:lineRule="exact"/>
              <w:rPr>
                <w:sz w:val="20"/>
                <w:szCs w:val="20"/>
                <w:color w:val="auto"/>
              </w:rPr>
            </w:pPr>
            <w:r>
              <w:rPr>
                <w:rFonts w:ascii="Arial" w:cs="Arial" w:eastAsia="Arial" w:hAnsi="Arial"/>
                <w:sz w:val="17"/>
                <w:szCs w:val="17"/>
                <w:color w:val="auto"/>
              </w:rPr>
              <w:t>$50,000</w:t>
            </w:r>
          </w:p>
        </w:tc>
        <w:tc>
          <w:tcPr>
            <w:tcW w:w="940" w:type="dxa"/>
            <w:vAlign w:val="bottom"/>
          </w:tcPr>
          <w:p>
            <w:pPr>
              <w:jc w:val="right"/>
              <w:spacing w:after="0" w:line="184" w:lineRule="exact"/>
              <w:rPr>
                <w:sz w:val="20"/>
                <w:szCs w:val="20"/>
                <w:color w:val="auto"/>
              </w:rPr>
            </w:pPr>
            <w:r>
              <w:rPr>
                <w:rFonts w:ascii="Arial" w:cs="Arial" w:eastAsia="Arial" w:hAnsi="Arial"/>
                <w:sz w:val="17"/>
                <w:szCs w:val="17"/>
                <w:color w:val="auto"/>
              </w:rPr>
              <w:t>$275,0</w:t>
            </w:r>
          </w:p>
        </w:tc>
      </w:tr>
      <w:tr>
        <w:trPr>
          <w:trHeight w:val="191"/>
        </w:trPr>
        <w:tc>
          <w:tcPr>
            <w:tcW w:w="218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David G. Fubini</w:t>
            </w:r>
          </w:p>
        </w:tc>
        <w:tc>
          <w:tcPr>
            <w:tcW w:w="2400" w:type="dxa"/>
            <w:vAlign w:val="bottom"/>
            <w:shd w:val="clear" w:color="auto" w:fill="ACABA7"/>
          </w:tcPr>
          <w:p>
            <w:pPr>
              <w:jc w:val="right"/>
              <w:ind w:right="955"/>
              <w:spacing w:after="0" w:line="191" w:lineRule="exact"/>
              <w:rPr>
                <w:sz w:val="20"/>
                <w:szCs w:val="20"/>
                <w:color w:val="auto"/>
              </w:rPr>
            </w:pPr>
            <w:r>
              <w:rPr>
                <w:rFonts w:ascii="Arial" w:cs="Arial" w:eastAsia="Arial" w:hAnsi="Arial"/>
                <w:sz w:val="17"/>
                <w:szCs w:val="17"/>
                <w:color w:val="auto"/>
              </w:rPr>
              <w:t>$120,000</w:t>
            </w:r>
          </w:p>
        </w:tc>
        <w:tc>
          <w:tcPr>
            <w:tcW w:w="2780" w:type="dxa"/>
            <w:vAlign w:val="bottom"/>
            <w:shd w:val="clear" w:color="auto" w:fill="ACABA7"/>
          </w:tcPr>
          <w:p>
            <w:pPr>
              <w:jc w:val="right"/>
              <w:ind w:right="975"/>
              <w:spacing w:after="0" w:line="191" w:lineRule="exact"/>
              <w:rPr>
                <w:sz w:val="20"/>
                <w:szCs w:val="20"/>
                <w:color w:val="auto"/>
              </w:rPr>
            </w:pPr>
            <w:r>
              <w:rPr>
                <w:rFonts w:ascii="Arial" w:cs="Arial" w:eastAsia="Arial" w:hAnsi="Arial"/>
                <w:sz w:val="17"/>
                <w:szCs w:val="17"/>
                <w:color w:val="auto"/>
              </w:rPr>
              <w:t>$105,000</w:t>
            </w:r>
          </w:p>
        </w:tc>
        <w:tc>
          <w:tcPr>
            <w:tcW w:w="2600" w:type="dxa"/>
            <w:vAlign w:val="bottom"/>
            <w:shd w:val="clear" w:color="auto" w:fill="ACABA7"/>
          </w:tcPr>
          <w:p>
            <w:pPr>
              <w:jc w:val="right"/>
              <w:ind w:right="835"/>
              <w:spacing w:after="0" w:line="191" w:lineRule="exact"/>
              <w:rPr>
                <w:sz w:val="20"/>
                <w:szCs w:val="20"/>
                <w:color w:val="auto"/>
              </w:rPr>
            </w:pPr>
            <w:r>
              <w:rPr>
                <w:rFonts w:ascii="Arial" w:cs="Arial" w:eastAsia="Arial" w:hAnsi="Arial"/>
                <w:sz w:val="17"/>
                <w:szCs w:val="17"/>
                <w:color w:val="auto"/>
              </w:rPr>
              <w:t>$50,000</w:t>
            </w:r>
          </w:p>
        </w:tc>
        <w:tc>
          <w:tcPr>
            <w:tcW w:w="94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$275,0</w:t>
            </w:r>
          </w:p>
        </w:tc>
      </w:tr>
      <w:tr>
        <w:trPr>
          <w:trHeight w:val="191"/>
        </w:trPr>
        <w:tc>
          <w:tcPr>
            <w:tcW w:w="2180" w:type="dxa"/>
            <w:vAlign w:val="bottom"/>
          </w:tcPr>
          <w:p>
            <w:pPr>
              <w:ind w:left="100"/>
              <w:spacing w:after="0" w:line="191" w:lineRule="exact"/>
              <w:rPr>
                <w:sz w:val="20"/>
                <w:szCs w:val="20"/>
                <w:color w:val="auto"/>
              </w:rPr>
            </w:pPr>
            <w:r>
              <w:rPr>
                <w:rFonts w:ascii="Arial" w:cs="Arial" w:eastAsia="Arial" w:hAnsi="Arial"/>
                <w:sz w:val="17"/>
                <w:szCs w:val="17"/>
                <w:color w:val="auto"/>
              </w:rPr>
              <w:t>Miriam E. John</w:t>
            </w:r>
          </w:p>
        </w:tc>
        <w:tc>
          <w:tcPr>
            <w:tcW w:w="2400" w:type="dxa"/>
            <w:vAlign w:val="bottom"/>
          </w:tcPr>
          <w:p>
            <w:pPr>
              <w:jc w:val="right"/>
              <w:ind w:right="955"/>
              <w:spacing w:after="0" w:line="191" w:lineRule="exact"/>
              <w:rPr>
                <w:sz w:val="20"/>
                <w:szCs w:val="20"/>
                <w:color w:val="auto"/>
              </w:rPr>
            </w:pPr>
            <w:r>
              <w:rPr>
                <w:rFonts w:ascii="Arial" w:cs="Arial" w:eastAsia="Arial" w:hAnsi="Arial"/>
                <w:sz w:val="17"/>
                <w:szCs w:val="17"/>
                <w:color w:val="auto"/>
              </w:rPr>
              <w:t>$135,000</w:t>
            </w:r>
          </w:p>
        </w:tc>
        <w:tc>
          <w:tcPr>
            <w:tcW w:w="2780" w:type="dxa"/>
            <w:vAlign w:val="bottom"/>
          </w:tcPr>
          <w:p>
            <w:pPr>
              <w:jc w:val="right"/>
              <w:ind w:right="975"/>
              <w:spacing w:after="0" w:line="191" w:lineRule="exact"/>
              <w:rPr>
                <w:sz w:val="20"/>
                <w:szCs w:val="20"/>
                <w:color w:val="auto"/>
              </w:rPr>
            </w:pPr>
            <w:r>
              <w:rPr>
                <w:rFonts w:ascii="Arial" w:cs="Arial" w:eastAsia="Arial" w:hAnsi="Arial"/>
                <w:sz w:val="17"/>
                <w:szCs w:val="17"/>
                <w:color w:val="auto"/>
              </w:rPr>
              <w:t>$105,000</w:t>
            </w:r>
          </w:p>
        </w:tc>
        <w:tc>
          <w:tcPr>
            <w:tcW w:w="2600" w:type="dxa"/>
            <w:vAlign w:val="bottom"/>
          </w:tcPr>
          <w:p>
            <w:pPr>
              <w:jc w:val="right"/>
              <w:ind w:right="835"/>
              <w:spacing w:after="0" w:line="191" w:lineRule="exact"/>
              <w:rPr>
                <w:sz w:val="20"/>
                <w:szCs w:val="20"/>
                <w:color w:val="auto"/>
              </w:rPr>
            </w:pPr>
            <w:r>
              <w:rPr>
                <w:rFonts w:ascii="Arial" w:cs="Arial" w:eastAsia="Arial" w:hAnsi="Arial"/>
                <w:sz w:val="17"/>
                <w:szCs w:val="17"/>
                <w:color w:val="auto"/>
              </w:rPr>
              <w:t>$50,000</w:t>
            </w:r>
          </w:p>
        </w:tc>
        <w:tc>
          <w:tcPr>
            <w:tcW w:w="940" w:type="dxa"/>
            <w:vAlign w:val="bottom"/>
          </w:tcPr>
          <w:p>
            <w:pPr>
              <w:jc w:val="right"/>
              <w:spacing w:after="0" w:line="191" w:lineRule="exact"/>
              <w:rPr>
                <w:sz w:val="20"/>
                <w:szCs w:val="20"/>
                <w:color w:val="auto"/>
              </w:rPr>
            </w:pPr>
            <w:r>
              <w:rPr>
                <w:rFonts w:ascii="Arial" w:cs="Arial" w:eastAsia="Arial" w:hAnsi="Arial"/>
                <w:sz w:val="17"/>
                <w:szCs w:val="17"/>
                <w:color w:val="auto"/>
              </w:rPr>
              <w:t>$290,0</w:t>
            </w:r>
          </w:p>
        </w:tc>
      </w:tr>
      <w:tr>
        <w:trPr>
          <w:trHeight w:val="191"/>
        </w:trPr>
        <w:tc>
          <w:tcPr>
            <w:tcW w:w="218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Frank Kendall III</w:t>
            </w:r>
          </w:p>
        </w:tc>
        <w:tc>
          <w:tcPr>
            <w:tcW w:w="2400" w:type="dxa"/>
            <w:vAlign w:val="bottom"/>
            <w:shd w:val="clear" w:color="auto" w:fill="ACABA7"/>
          </w:tcPr>
          <w:p>
            <w:pPr>
              <w:jc w:val="right"/>
              <w:ind w:right="955"/>
              <w:spacing w:after="0" w:line="191" w:lineRule="exact"/>
              <w:rPr>
                <w:sz w:val="20"/>
                <w:szCs w:val="20"/>
                <w:color w:val="auto"/>
              </w:rPr>
            </w:pPr>
            <w:r>
              <w:rPr>
                <w:rFonts w:ascii="Arial" w:cs="Arial" w:eastAsia="Arial" w:hAnsi="Arial"/>
                <w:sz w:val="17"/>
                <w:szCs w:val="17"/>
                <w:color w:val="auto"/>
              </w:rPr>
              <w:t>$127,500</w:t>
            </w:r>
          </w:p>
        </w:tc>
        <w:tc>
          <w:tcPr>
            <w:tcW w:w="2780" w:type="dxa"/>
            <w:vAlign w:val="bottom"/>
            <w:shd w:val="clear" w:color="auto" w:fill="ACABA7"/>
          </w:tcPr>
          <w:p>
            <w:pPr>
              <w:jc w:val="right"/>
              <w:ind w:right="975"/>
              <w:spacing w:after="0" w:line="191" w:lineRule="exact"/>
              <w:rPr>
                <w:sz w:val="20"/>
                <w:szCs w:val="20"/>
                <w:color w:val="auto"/>
              </w:rPr>
            </w:pPr>
            <w:r>
              <w:rPr>
                <w:rFonts w:ascii="Arial" w:cs="Arial" w:eastAsia="Arial" w:hAnsi="Arial"/>
                <w:sz w:val="17"/>
                <w:szCs w:val="17"/>
                <w:color w:val="auto"/>
              </w:rPr>
              <w:t>$105,000</w:t>
            </w:r>
          </w:p>
        </w:tc>
        <w:tc>
          <w:tcPr>
            <w:tcW w:w="2600" w:type="dxa"/>
            <w:vAlign w:val="bottom"/>
            <w:shd w:val="clear" w:color="auto" w:fill="ACABA7"/>
          </w:tcPr>
          <w:p>
            <w:pPr>
              <w:jc w:val="right"/>
              <w:ind w:right="835"/>
              <w:spacing w:after="0" w:line="191" w:lineRule="exact"/>
              <w:rPr>
                <w:sz w:val="20"/>
                <w:szCs w:val="20"/>
                <w:color w:val="auto"/>
              </w:rPr>
            </w:pPr>
            <w:r>
              <w:rPr>
                <w:rFonts w:ascii="Arial" w:cs="Arial" w:eastAsia="Arial" w:hAnsi="Arial"/>
                <w:sz w:val="17"/>
                <w:szCs w:val="17"/>
                <w:color w:val="auto"/>
              </w:rPr>
              <w:t>$50,000</w:t>
            </w:r>
          </w:p>
        </w:tc>
        <w:tc>
          <w:tcPr>
            <w:tcW w:w="94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$282,5</w:t>
            </w:r>
          </w:p>
        </w:tc>
      </w:tr>
      <w:tr>
        <w:trPr>
          <w:trHeight w:val="191"/>
        </w:trPr>
        <w:tc>
          <w:tcPr>
            <w:tcW w:w="2180" w:type="dxa"/>
            <w:vAlign w:val="bottom"/>
          </w:tcPr>
          <w:p>
            <w:pPr>
              <w:ind w:left="100"/>
              <w:spacing w:after="0" w:line="191" w:lineRule="exact"/>
              <w:rPr>
                <w:sz w:val="20"/>
                <w:szCs w:val="20"/>
                <w:color w:val="auto"/>
              </w:rPr>
            </w:pPr>
            <w:r>
              <w:rPr>
                <w:rFonts w:ascii="Arial" w:cs="Arial" w:eastAsia="Arial" w:hAnsi="Arial"/>
                <w:sz w:val="17"/>
                <w:szCs w:val="17"/>
                <w:color w:val="auto"/>
              </w:rPr>
              <w:t>Robert C. Kovarik, Jr.</w:t>
            </w:r>
          </w:p>
        </w:tc>
        <w:tc>
          <w:tcPr>
            <w:tcW w:w="2400" w:type="dxa"/>
            <w:vAlign w:val="bottom"/>
          </w:tcPr>
          <w:p>
            <w:pPr>
              <w:jc w:val="right"/>
              <w:ind w:right="955"/>
              <w:spacing w:after="0" w:line="191" w:lineRule="exact"/>
              <w:rPr>
                <w:sz w:val="20"/>
                <w:szCs w:val="20"/>
                <w:color w:val="auto"/>
              </w:rPr>
            </w:pPr>
            <w:r>
              <w:rPr>
                <w:rFonts w:ascii="Arial" w:cs="Arial" w:eastAsia="Arial" w:hAnsi="Arial"/>
                <w:sz w:val="17"/>
                <w:szCs w:val="17"/>
                <w:color w:val="auto"/>
              </w:rPr>
              <w:t>$120,000</w:t>
            </w:r>
          </w:p>
        </w:tc>
        <w:tc>
          <w:tcPr>
            <w:tcW w:w="2780" w:type="dxa"/>
            <w:vAlign w:val="bottom"/>
          </w:tcPr>
          <w:p>
            <w:pPr>
              <w:jc w:val="right"/>
              <w:ind w:right="975"/>
              <w:spacing w:after="0" w:line="191" w:lineRule="exact"/>
              <w:rPr>
                <w:sz w:val="20"/>
                <w:szCs w:val="20"/>
                <w:color w:val="auto"/>
              </w:rPr>
            </w:pPr>
            <w:r>
              <w:rPr>
                <w:rFonts w:ascii="Arial" w:cs="Arial" w:eastAsia="Arial" w:hAnsi="Arial"/>
                <w:sz w:val="17"/>
                <w:szCs w:val="17"/>
                <w:color w:val="auto"/>
              </w:rPr>
              <w:t>$105,000</w:t>
            </w:r>
          </w:p>
        </w:tc>
        <w:tc>
          <w:tcPr>
            <w:tcW w:w="2600" w:type="dxa"/>
            <w:vAlign w:val="bottom"/>
          </w:tcPr>
          <w:p>
            <w:pPr>
              <w:jc w:val="right"/>
              <w:ind w:right="835"/>
              <w:spacing w:after="0" w:line="191" w:lineRule="exact"/>
              <w:rPr>
                <w:sz w:val="20"/>
                <w:szCs w:val="20"/>
                <w:color w:val="auto"/>
              </w:rPr>
            </w:pPr>
            <w:r>
              <w:rPr>
                <w:rFonts w:ascii="Arial" w:cs="Arial" w:eastAsia="Arial" w:hAnsi="Arial"/>
                <w:sz w:val="17"/>
                <w:szCs w:val="17"/>
                <w:color w:val="auto"/>
              </w:rPr>
              <w:t>$50,000</w:t>
            </w:r>
          </w:p>
        </w:tc>
        <w:tc>
          <w:tcPr>
            <w:tcW w:w="940" w:type="dxa"/>
            <w:vAlign w:val="bottom"/>
          </w:tcPr>
          <w:p>
            <w:pPr>
              <w:jc w:val="right"/>
              <w:spacing w:after="0" w:line="191" w:lineRule="exact"/>
              <w:rPr>
                <w:sz w:val="20"/>
                <w:szCs w:val="20"/>
                <w:color w:val="auto"/>
              </w:rPr>
            </w:pPr>
            <w:r>
              <w:rPr>
                <w:rFonts w:ascii="Arial" w:cs="Arial" w:eastAsia="Arial" w:hAnsi="Arial"/>
                <w:sz w:val="17"/>
                <w:szCs w:val="17"/>
                <w:color w:val="auto"/>
              </w:rPr>
              <w:t>$275,0</w:t>
            </w:r>
          </w:p>
        </w:tc>
      </w:tr>
      <w:tr>
        <w:trPr>
          <w:trHeight w:val="191"/>
        </w:trPr>
        <w:tc>
          <w:tcPr>
            <w:tcW w:w="218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Harry M.J. Kraemer, Jr.</w:t>
            </w:r>
          </w:p>
        </w:tc>
        <w:tc>
          <w:tcPr>
            <w:tcW w:w="2400" w:type="dxa"/>
            <w:vAlign w:val="bottom"/>
            <w:shd w:val="clear" w:color="auto" w:fill="ACABA7"/>
          </w:tcPr>
          <w:p>
            <w:pPr>
              <w:jc w:val="right"/>
              <w:ind w:right="955"/>
              <w:spacing w:after="0" w:line="191" w:lineRule="exact"/>
              <w:rPr>
                <w:sz w:val="20"/>
                <w:szCs w:val="20"/>
                <w:color w:val="auto"/>
              </w:rPr>
            </w:pPr>
            <w:r>
              <w:rPr>
                <w:rFonts w:ascii="Arial" w:cs="Arial" w:eastAsia="Arial" w:hAnsi="Arial"/>
                <w:sz w:val="17"/>
                <w:szCs w:val="17"/>
                <w:color w:val="auto"/>
              </w:rPr>
              <w:t>$120,000</w:t>
            </w:r>
          </w:p>
        </w:tc>
        <w:tc>
          <w:tcPr>
            <w:tcW w:w="2780" w:type="dxa"/>
            <w:vAlign w:val="bottom"/>
            <w:shd w:val="clear" w:color="auto" w:fill="ACABA7"/>
          </w:tcPr>
          <w:p>
            <w:pPr>
              <w:jc w:val="right"/>
              <w:ind w:right="975"/>
              <w:spacing w:after="0" w:line="191" w:lineRule="exact"/>
              <w:rPr>
                <w:sz w:val="20"/>
                <w:szCs w:val="20"/>
                <w:color w:val="auto"/>
              </w:rPr>
            </w:pPr>
            <w:r>
              <w:rPr>
                <w:rFonts w:ascii="Arial" w:cs="Arial" w:eastAsia="Arial" w:hAnsi="Arial"/>
                <w:sz w:val="17"/>
                <w:szCs w:val="17"/>
                <w:color w:val="auto"/>
              </w:rPr>
              <w:t>$105,000</w:t>
            </w:r>
          </w:p>
        </w:tc>
        <w:tc>
          <w:tcPr>
            <w:tcW w:w="2600" w:type="dxa"/>
            <w:vAlign w:val="bottom"/>
            <w:shd w:val="clear" w:color="auto" w:fill="ACABA7"/>
          </w:tcPr>
          <w:p>
            <w:pPr>
              <w:jc w:val="right"/>
              <w:ind w:right="835"/>
              <w:spacing w:after="0" w:line="191" w:lineRule="exact"/>
              <w:rPr>
                <w:sz w:val="20"/>
                <w:szCs w:val="20"/>
                <w:color w:val="auto"/>
              </w:rPr>
            </w:pPr>
            <w:r>
              <w:rPr>
                <w:rFonts w:ascii="Arial" w:cs="Arial" w:eastAsia="Arial" w:hAnsi="Arial"/>
                <w:sz w:val="17"/>
                <w:szCs w:val="17"/>
                <w:color w:val="auto"/>
              </w:rPr>
              <w:t>$50,000</w:t>
            </w:r>
          </w:p>
        </w:tc>
        <w:tc>
          <w:tcPr>
            <w:tcW w:w="94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$275,0</w:t>
            </w:r>
          </w:p>
        </w:tc>
      </w:tr>
      <w:tr>
        <w:trPr>
          <w:trHeight w:val="191"/>
        </w:trPr>
        <w:tc>
          <w:tcPr>
            <w:tcW w:w="2180" w:type="dxa"/>
            <w:vAlign w:val="bottom"/>
          </w:tcPr>
          <w:p>
            <w:pPr>
              <w:ind w:left="100"/>
              <w:spacing w:after="0" w:line="191" w:lineRule="exact"/>
              <w:rPr>
                <w:sz w:val="20"/>
                <w:szCs w:val="20"/>
                <w:color w:val="auto"/>
              </w:rPr>
            </w:pPr>
            <w:r>
              <w:rPr>
                <w:rFonts w:ascii="Arial" w:cs="Arial" w:eastAsia="Arial" w:hAnsi="Arial"/>
                <w:sz w:val="17"/>
                <w:szCs w:val="17"/>
                <w:color w:val="auto"/>
              </w:rPr>
              <w:t>Gary S. May</w:t>
            </w:r>
          </w:p>
        </w:tc>
        <w:tc>
          <w:tcPr>
            <w:tcW w:w="2400" w:type="dxa"/>
            <w:vAlign w:val="bottom"/>
          </w:tcPr>
          <w:p>
            <w:pPr>
              <w:jc w:val="right"/>
              <w:ind w:right="955"/>
              <w:spacing w:after="0" w:line="191" w:lineRule="exact"/>
              <w:rPr>
                <w:sz w:val="20"/>
                <w:szCs w:val="20"/>
                <w:color w:val="auto"/>
              </w:rPr>
            </w:pPr>
            <w:r>
              <w:rPr>
                <w:rFonts w:ascii="Arial" w:cs="Arial" w:eastAsia="Arial" w:hAnsi="Arial"/>
                <w:sz w:val="17"/>
                <w:szCs w:val="17"/>
                <w:color w:val="auto"/>
              </w:rPr>
              <w:t>$127,500</w:t>
            </w:r>
          </w:p>
        </w:tc>
        <w:tc>
          <w:tcPr>
            <w:tcW w:w="2780" w:type="dxa"/>
            <w:vAlign w:val="bottom"/>
          </w:tcPr>
          <w:p>
            <w:pPr>
              <w:jc w:val="right"/>
              <w:ind w:right="975"/>
              <w:spacing w:after="0" w:line="191" w:lineRule="exact"/>
              <w:rPr>
                <w:sz w:val="20"/>
                <w:szCs w:val="20"/>
                <w:color w:val="auto"/>
              </w:rPr>
            </w:pPr>
            <w:r>
              <w:rPr>
                <w:rFonts w:ascii="Arial" w:cs="Arial" w:eastAsia="Arial" w:hAnsi="Arial"/>
                <w:sz w:val="17"/>
                <w:szCs w:val="17"/>
                <w:color w:val="auto"/>
              </w:rPr>
              <w:t>$105,000</w:t>
            </w:r>
          </w:p>
        </w:tc>
        <w:tc>
          <w:tcPr>
            <w:tcW w:w="2600" w:type="dxa"/>
            <w:vAlign w:val="bottom"/>
          </w:tcPr>
          <w:p>
            <w:pPr>
              <w:jc w:val="right"/>
              <w:ind w:right="835"/>
              <w:spacing w:after="0" w:line="191" w:lineRule="exact"/>
              <w:rPr>
                <w:sz w:val="20"/>
                <w:szCs w:val="20"/>
                <w:color w:val="auto"/>
              </w:rPr>
            </w:pPr>
            <w:r>
              <w:rPr>
                <w:rFonts w:ascii="Arial" w:cs="Arial" w:eastAsia="Arial" w:hAnsi="Arial"/>
                <w:sz w:val="17"/>
                <w:szCs w:val="17"/>
                <w:color w:val="auto"/>
              </w:rPr>
              <w:t>$50,000</w:t>
            </w:r>
          </w:p>
        </w:tc>
        <w:tc>
          <w:tcPr>
            <w:tcW w:w="940" w:type="dxa"/>
            <w:vAlign w:val="bottom"/>
          </w:tcPr>
          <w:p>
            <w:pPr>
              <w:jc w:val="right"/>
              <w:spacing w:after="0" w:line="191" w:lineRule="exact"/>
              <w:rPr>
                <w:sz w:val="20"/>
                <w:szCs w:val="20"/>
                <w:color w:val="auto"/>
              </w:rPr>
            </w:pPr>
            <w:r>
              <w:rPr>
                <w:rFonts w:ascii="Arial" w:cs="Arial" w:eastAsia="Arial" w:hAnsi="Arial"/>
                <w:sz w:val="17"/>
                <w:szCs w:val="17"/>
                <w:color w:val="auto"/>
              </w:rPr>
              <w:t>$282,5</w:t>
            </w:r>
          </w:p>
        </w:tc>
      </w:tr>
      <w:tr>
        <w:trPr>
          <w:trHeight w:val="191"/>
        </w:trPr>
        <w:tc>
          <w:tcPr>
            <w:tcW w:w="218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Surya N. Mohapatra</w:t>
            </w:r>
          </w:p>
        </w:tc>
        <w:tc>
          <w:tcPr>
            <w:tcW w:w="2400" w:type="dxa"/>
            <w:vAlign w:val="bottom"/>
            <w:shd w:val="clear" w:color="auto" w:fill="ACABA7"/>
          </w:tcPr>
          <w:p>
            <w:pPr>
              <w:jc w:val="right"/>
              <w:ind w:right="955"/>
              <w:spacing w:after="0" w:line="191" w:lineRule="exact"/>
              <w:rPr>
                <w:sz w:val="20"/>
                <w:szCs w:val="20"/>
                <w:color w:val="auto"/>
              </w:rPr>
            </w:pPr>
            <w:r>
              <w:rPr>
                <w:rFonts w:ascii="Arial" w:cs="Arial" w:eastAsia="Arial" w:hAnsi="Arial"/>
                <w:sz w:val="17"/>
                <w:szCs w:val="17"/>
                <w:color w:val="auto"/>
              </w:rPr>
              <w:t>$120,000</w:t>
            </w:r>
          </w:p>
        </w:tc>
        <w:tc>
          <w:tcPr>
            <w:tcW w:w="2780" w:type="dxa"/>
            <w:vAlign w:val="bottom"/>
            <w:shd w:val="clear" w:color="auto" w:fill="ACABA7"/>
          </w:tcPr>
          <w:p>
            <w:pPr>
              <w:jc w:val="right"/>
              <w:ind w:right="975"/>
              <w:spacing w:after="0" w:line="191" w:lineRule="exact"/>
              <w:rPr>
                <w:sz w:val="20"/>
                <w:szCs w:val="20"/>
                <w:color w:val="auto"/>
              </w:rPr>
            </w:pPr>
            <w:r>
              <w:rPr>
                <w:rFonts w:ascii="Arial" w:cs="Arial" w:eastAsia="Arial" w:hAnsi="Arial"/>
                <w:sz w:val="17"/>
                <w:szCs w:val="17"/>
                <w:color w:val="auto"/>
              </w:rPr>
              <w:t>$105,000</w:t>
            </w:r>
          </w:p>
        </w:tc>
        <w:tc>
          <w:tcPr>
            <w:tcW w:w="2600" w:type="dxa"/>
            <w:vAlign w:val="bottom"/>
            <w:shd w:val="clear" w:color="auto" w:fill="ACABA7"/>
          </w:tcPr>
          <w:p>
            <w:pPr>
              <w:jc w:val="right"/>
              <w:ind w:right="835"/>
              <w:spacing w:after="0" w:line="191" w:lineRule="exact"/>
              <w:rPr>
                <w:sz w:val="20"/>
                <w:szCs w:val="20"/>
                <w:color w:val="auto"/>
              </w:rPr>
            </w:pPr>
            <w:r>
              <w:rPr>
                <w:rFonts w:ascii="Arial" w:cs="Arial" w:eastAsia="Arial" w:hAnsi="Arial"/>
                <w:sz w:val="17"/>
                <w:szCs w:val="17"/>
                <w:color w:val="auto"/>
              </w:rPr>
              <w:t>$50,000</w:t>
            </w:r>
          </w:p>
        </w:tc>
        <w:tc>
          <w:tcPr>
            <w:tcW w:w="94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$275,0</w:t>
            </w:r>
          </w:p>
        </w:tc>
      </w:tr>
      <w:tr>
        <w:trPr>
          <w:trHeight w:val="191"/>
        </w:trPr>
        <w:tc>
          <w:tcPr>
            <w:tcW w:w="2180" w:type="dxa"/>
            <w:vAlign w:val="bottom"/>
          </w:tcPr>
          <w:p>
            <w:pPr>
              <w:ind w:left="100"/>
              <w:spacing w:after="0" w:line="191" w:lineRule="exact"/>
              <w:rPr>
                <w:sz w:val="20"/>
                <w:szCs w:val="20"/>
                <w:color w:val="auto"/>
              </w:rPr>
            </w:pPr>
            <w:r>
              <w:rPr>
                <w:rFonts w:ascii="Arial" w:cs="Arial" w:eastAsia="Arial" w:hAnsi="Arial"/>
                <w:sz w:val="17"/>
                <w:szCs w:val="17"/>
                <w:color w:val="auto"/>
              </w:rPr>
              <w:t>Lawrence C. Nussdorf</w:t>
            </w:r>
          </w:p>
        </w:tc>
        <w:tc>
          <w:tcPr>
            <w:tcW w:w="2400" w:type="dxa"/>
            <w:vAlign w:val="bottom"/>
          </w:tcPr>
          <w:p>
            <w:pPr>
              <w:jc w:val="right"/>
              <w:ind w:right="955"/>
              <w:spacing w:after="0" w:line="191" w:lineRule="exact"/>
              <w:rPr>
                <w:sz w:val="20"/>
                <w:szCs w:val="20"/>
                <w:color w:val="auto"/>
              </w:rPr>
            </w:pPr>
            <w:r>
              <w:rPr>
                <w:rFonts w:ascii="Arial" w:cs="Arial" w:eastAsia="Arial" w:hAnsi="Arial"/>
                <w:sz w:val="17"/>
                <w:szCs w:val="17"/>
                <w:color w:val="auto"/>
              </w:rPr>
              <w:t>$145,000</w:t>
            </w:r>
          </w:p>
        </w:tc>
        <w:tc>
          <w:tcPr>
            <w:tcW w:w="2780" w:type="dxa"/>
            <w:vAlign w:val="bottom"/>
          </w:tcPr>
          <w:p>
            <w:pPr>
              <w:jc w:val="right"/>
              <w:ind w:right="975"/>
              <w:spacing w:after="0" w:line="191" w:lineRule="exact"/>
              <w:rPr>
                <w:sz w:val="20"/>
                <w:szCs w:val="20"/>
                <w:color w:val="auto"/>
              </w:rPr>
            </w:pPr>
            <w:r>
              <w:rPr>
                <w:rFonts w:ascii="Arial" w:cs="Arial" w:eastAsia="Arial" w:hAnsi="Arial"/>
                <w:sz w:val="17"/>
                <w:szCs w:val="17"/>
                <w:color w:val="auto"/>
              </w:rPr>
              <w:t>$105,000</w:t>
            </w:r>
          </w:p>
        </w:tc>
        <w:tc>
          <w:tcPr>
            <w:tcW w:w="2600" w:type="dxa"/>
            <w:vAlign w:val="bottom"/>
          </w:tcPr>
          <w:p>
            <w:pPr>
              <w:jc w:val="right"/>
              <w:ind w:right="835"/>
              <w:spacing w:after="0" w:line="191" w:lineRule="exact"/>
              <w:rPr>
                <w:sz w:val="20"/>
                <w:szCs w:val="20"/>
                <w:color w:val="auto"/>
              </w:rPr>
            </w:pPr>
            <w:r>
              <w:rPr>
                <w:rFonts w:ascii="Arial" w:cs="Arial" w:eastAsia="Arial" w:hAnsi="Arial"/>
                <w:sz w:val="17"/>
                <w:szCs w:val="17"/>
                <w:color w:val="auto"/>
              </w:rPr>
              <w:t>$50,000</w:t>
            </w:r>
          </w:p>
        </w:tc>
        <w:tc>
          <w:tcPr>
            <w:tcW w:w="940" w:type="dxa"/>
            <w:vAlign w:val="bottom"/>
          </w:tcPr>
          <w:p>
            <w:pPr>
              <w:jc w:val="right"/>
              <w:spacing w:after="0" w:line="191" w:lineRule="exact"/>
              <w:rPr>
                <w:sz w:val="20"/>
                <w:szCs w:val="20"/>
                <w:color w:val="auto"/>
              </w:rPr>
            </w:pPr>
            <w:r>
              <w:rPr>
                <w:rFonts w:ascii="Arial" w:cs="Arial" w:eastAsia="Arial" w:hAnsi="Arial"/>
                <w:sz w:val="17"/>
                <w:szCs w:val="17"/>
                <w:color w:val="auto"/>
              </w:rPr>
              <w:t>$300,0</w:t>
            </w:r>
          </w:p>
        </w:tc>
      </w:tr>
      <w:tr>
        <w:trPr>
          <w:trHeight w:val="191"/>
        </w:trPr>
        <w:tc>
          <w:tcPr>
            <w:tcW w:w="218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Robert S. Shapard</w:t>
            </w:r>
          </w:p>
        </w:tc>
        <w:tc>
          <w:tcPr>
            <w:tcW w:w="2400" w:type="dxa"/>
            <w:vAlign w:val="bottom"/>
            <w:shd w:val="clear" w:color="auto" w:fill="ACABA7"/>
          </w:tcPr>
          <w:p>
            <w:pPr>
              <w:jc w:val="right"/>
              <w:ind w:right="955"/>
              <w:spacing w:after="0" w:line="191" w:lineRule="exact"/>
              <w:rPr>
                <w:sz w:val="20"/>
                <w:szCs w:val="20"/>
                <w:color w:val="auto"/>
              </w:rPr>
            </w:pPr>
            <w:r>
              <w:rPr>
                <w:rFonts w:ascii="Arial" w:cs="Arial" w:eastAsia="Arial" w:hAnsi="Arial"/>
                <w:sz w:val="17"/>
                <w:szCs w:val="17"/>
                <w:color w:val="auto"/>
              </w:rPr>
              <w:t>$165,000</w:t>
            </w:r>
          </w:p>
        </w:tc>
        <w:tc>
          <w:tcPr>
            <w:tcW w:w="2780" w:type="dxa"/>
            <w:vAlign w:val="bottom"/>
            <w:shd w:val="clear" w:color="auto" w:fill="ACABA7"/>
          </w:tcPr>
          <w:p>
            <w:pPr>
              <w:jc w:val="right"/>
              <w:ind w:right="975"/>
              <w:spacing w:after="0" w:line="191" w:lineRule="exact"/>
              <w:rPr>
                <w:sz w:val="20"/>
                <w:szCs w:val="20"/>
                <w:color w:val="auto"/>
              </w:rPr>
            </w:pPr>
            <w:r>
              <w:rPr>
                <w:rFonts w:ascii="Arial" w:cs="Arial" w:eastAsia="Arial" w:hAnsi="Arial"/>
                <w:sz w:val="17"/>
                <w:szCs w:val="17"/>
                <w:color w:val="auto"/>
              </w:rPr>
              <w:t>$105,000</w:t>
            </w:r>
          </w:p>
        </w:tc>
        <w:tc>
          <w:tcPr>
            <w:tcW w:w="2600" w:type="dxa"/>
            <w:vAlign w:val="bottom"/>
            <w:shd w:val="clear" w:color="auto" w:fill="ACABA7"/>
          </w:tcPr>
          <w:p>
            <w:pPr>
              <w:jc w:val="right"/>
              <w:ind w:right="835"/>
              <w:spacing w:after="0" w:line="191" w:lineRule="exact"/>
              <w:rPr>
                <w:sz w:val="20"/>
                <w:szCs w:val="20"/>
                <w:color w:val="auto"/>
              </w:rPr>
            </w:pPr>
            <w:r>
              <w:rPr>
                <w:rFonts w:ascii="Arial" w:cs="Arial" w:eastAsia="Arial" w:hAnsi="Arial"/>
                <w:sz w:val="17"/>
                <w:szCs w:val="17"/>
                <w:color w:val="auto"/>
              </w:rPr>
              <w:t>$50,000</w:t>
            </w:r>
          </w:p>
        </w:tc>
        <w:tc>
          <w:tcPr>
            <w:tcW w:w="94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$320,0</w:t>
            </w:r>
          </w:p>
        </w:tc>
      </w:tr>
      <w:tr>
        <w:trPr>
          <w:trHeight w:val="191"/>
        </w:trPr>
        <w:tc>
          <w:tcPr>
            <w:tcW w:w="2180" w:type="dxa"/>
            <w:vAlign w:val="bottom"/>
          </w:tcPr>
          <w:p>
            <w:pPr>
              <w:ind w:left="100"/>
              <w:spacing w:after="0" w:line="191" w:lineRule="exact"/>
              <w:rPr>
                <w:sz w:val="20"/>
                <w:szCs w:val="20"/>
                <w:color w:val="auto"/>
              </w:rPr>
            </w:pPr>
            <w:r>
              <w:rPr>
                <w:rFonts w:ascii="Arial" w:cs="Arial" w:eastAsia="Arial" w:hAnsi="Arial"/>
                <w:sz w:val="17"/>
                <w:szCs w:val="17"/>
                <w:color w:val="auto"/>
              </w:rPr>
              <w:t>Susan M. Stalnecker</w:t>
            </w:r>
          </w:p>
        </w:tc>
        <w:tc>
          <w:tcPr>
            <w:tcW w:w="2400" w:type="dxa"/>
            <w:vAlign w:val="bottom"/>
          </w:tcPr>
          <w:p>
            <w:pPr>
              <w:jc w:val="right"/>
              <w:ind w:right="955"/>
              <w:spacing w:after="0" w:line="191" w:lineRule="exact"/>
              <w:rPr>
                <w:sz w:val="20"/>
                <w:szCs w:val="20"/>
                <w:color w:val="auto"/>
              </w:rPr>
            </w:pPr>
            <w:r>
              <w:rPr>
                <w:rFonts w:ascii="Arial" w:cs="Arial" w:eastAsia="Arial" w:hAnsi="Arial"/>
                <w:sz w:val="17"/>
                <w:szCs w:val="17"/>
                <w:color w:val="auto"/>
              </w:rPr>
              <w:t>$120,000</w:t>
            </w:r>
          </w:p>
        </w:tc>
        <w:tc>
          <w:tcPr>
            <w:tcW w:w="2780" w:type="dxa"/>
            <w:vAlign w:val="bottom"/>
          </w:tcPr>
          <w:p>
            <w:pPr>
              <w:jc w:val="right"/>
              <w:ind w:right="975"/>
              <w:spacing w:after="0" w:line="191" w:lineRule="exact"/>
              <w:rPr>
                <w:sz w:val="20"/>
                <w:szCs w:val="20"/>
                <w:color w:val="auto"/>
              </w:rPr>
            </w:pPr>
            <w:r>
              <w:rPr>
                <w:rFonts w:ascii="Arial" w:cs="Arial" w:eastAsia="Arial" w:hAnsi="Arial"/>
                <w:sz w:val="17"/>
                <w:szCs w:val="17"/>
                <w:color w:val="auto"/>
              </w:rPr>
              <w:t>$105,000</w:t>
            </w:r>
          </w:p>
        </w:tc>
        <w:tc>
          <w:tcPr>
            <w:tcW w:w="2600" w:type="dxa"/>
            <w:vAlign w:val="bottom"/>
          </w:tcPr>
          <w:p>
            <w:pPr>
              <w:jc w:val="right"/>
              <w:ind w:right="835"/>
              <w:spacing w:after="0" w:line="191" w:lineRule="exact"/>
              <w:rPr>
                <w:sz w:val="20"/>
                <w:szCs w:val="20"/>
                <w:color w:val="auto"/>
              </w:rPr>
            </w:pPr>
            <w:r>
              <w:rPr>
                <w:rFonts w:ascii="Arial" w:cs="Arial" w:eastAsia="Arial" w:hAnsi="Arial"/>
                <w:sz w:val="17"/>
                <w:szCs w:val="17"/>
                <w:color w:val="auto"/>
              </w:rPr>
              <w:t>$50,000</w:t>
            </w:r>
          </w:p>
        </w:tc>
        <w:tc>
          <w:tcPr>
            <w:tcW w:w="940" w:type="dxa"/>
            <w:vAlign w:val="bottom"/>
          </w:tcPr>
          <w:p>
            <w:pPr>
              <w:jc w:val="right"/>
              <w:spacing w:after="0" w:line="191" w:lineRule="exact"/>
              <w:rPr>
                <w:sz w:val="20"/>
                <w:szCs w:val="20"/>
                <w:color w:val="auto"/>
              </w:rPr>
            </w:pPr>
            <w:r>
              <w:rPr>
                <w:rFonts w:ascii="Arial" w:cs="Arial" w:eastAsia="Arial" w:hAnsi="Arial"/>
                <w:sz w:val="17"/>
                <w:szCs w:val="17"/>
                <w:color w:val="auto"/>
              </w:rPr>
              <w:t>$275,0</w:t>
            </w:r>
          </w:p>
        </w:tc>
      </w:tr>
      <w:tr>
        <w:trPr>
          <w:trHeight w:val="191"/>
        </w:trPr>
        <w:tc>
          <w:tcPr>
            <w:tcW w:w="218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Noel B. Williams</w:t>
            </w:r>
          </w:p>
        </w:tc>
        <w:tc>
          <w:tcPr>
            <w:tcW w:w="2400" w:type="dxa"/>
            <w:vAlign w:val="bottom"/>
            <w:shd w:val="clear" w:color="auto" w:fill="ACABA7"/>
          </w:tcPr>
          <w:p>
            <w:pPr>
              <w:jc w:val="right"/>
              <w:ind w:right="955"/>
              <w:spacing w:after="0" w:line="191" w:lineRule="exact"/>
              <w:rPr>
                <w:sz w:val="20"/>
                <w:szCs w:val="20"/>
                <w:color w:val="auto"/>
              </w:rPr>
            </w:pPr>
            <w:r>
              <w:rPr>
                <w:rFonts w:ascii="Arial" w:cs="Arial" w:eastAsia="Arial" w:hAnsi="Arial"/>
                <w:sz w:val="17"/>
                <w:szCs w:val="17"/>
                <w:color w:val="auto"/>
              </w:rPr>
              <w:t>$135,000</w:t>
            </w:r>
          </w:p>
        </w:tc>
        <w:tc>
          <w:tcPr>
            <w:tcW w:w="2780" w:type="dxa"/>
            <w:vAlign w:val="bottom"/>
            <w:shd w:val="clear" w:color="auto" w:fill="ACABA7"/>
          </w:tcPr>
          <w:p>
            <w:pPr>
              <w:jc w:val="right"/>
              <w:ind w:right="975"/>
              <w:spacing w:after="0" w:line="191" w:lineRule="exact"/>
              <w:rPr>
                <w:sz w:val="20"/>
                <w:szCs w:val="20"/>
                <w:color w:val="auto"/>
              </w:rPr>
            </w:pPr>
            <w:r>
              <w:rPr>
                <w:rFonts w:ascii="Arial" w:cs="Arial" w:eastAsia="Arial" w:hAnsi="Arial"/>
                <w:sz w:val="17"/>
                <w:szCs w:val="17"/>
                <w:color w:val="auto"/>
              </w:rPr>
              <w:t>$105,000</w:t>
            </w:r>
          </w:p>
        </w:tc>
        <w:tc>
          <w:tcPr>
            <w:tcW w:w="2600" w:type="dxa"/>
            <w:vAlign w:val="bottom"/>
            <w:shd w:val="clear" w:color="auto" w:fill="ACABA7"/>
          </w:tcPr>
          <w:p>
            <w:pPr>
              <w:jc w:val="right"/>
              <w:ind w:right="835"/>
              <w:spacing w:after="0" w:line="191" w:lineRule="exact"/>
              <w:rPr>
                <w:sz w:val="20"/>
                <w:szCs w:val="20"/>
                <w:color w:val="auto"/>
              </w:rPr>
            </w:pPr>
            <w:r>
              <w:rPr>
                <w:rFonts w:ascii="Arial" w:cs="Arial" w:eastAsia="Arial" w:hAnsi="Arial"/>
                <w:sz w:val="17"/>
                <w:szCs w:val="17"/>
                <w:color w:val="auto"/>
              </w:rPr>
              <w:t>$50,000</w:t>
            </w:r>
          </w:p>
        </w:tc>
        <w:tc>
          <w:tcPr>
            <w:tcW w:w="94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$290,0</w:t>
            </w:r>
          </w:p>
        </w:tc>
      </w:tr>
    </w:tbl>
    <w:p>
      <w:pPr>
        <w:spacing w:after="0" w:line="114" w:lineRule="exact"/>
        <w:rPr>
          <w:sz w:val="20"/>
          <w:szCs w:val="20"/>
          <w:color w:val="auto"/>
        </w:rPr>
      </w:pPr>
    </w:p>
    <w:p>
      <w:pPr>
        <w:ind w:left="940" w:right="600" w:hanging="500"/>
        <w:spacing w:after="0" w:line="243" w:lineRule="auto"/>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Roger A. Krone, our Chief Executive Officer, is not included in this table because he did not receive additional compensation for his services as a director.</w:t>
      </w:r>
    </w:p>
    <w:p>
      <w:pPr>
        <w:spacing w:after="0" w:line="99" w:lineRule="exact"/>
        <w:rPr>
          <w:rFonts w:ascii="Arial" w:cs="Arial" w:eastAsia="Arial" w:hAnsi="Arial"/>
          <w:sz w:val="17"/>
          <w:szCs w:val="17"/>
          <w:color w:val="auto"/>
        </w:rPr>
      </w:pPr>
    </w:p>
    <w:p>
      <w:pPr>
        <w:ind w:left="940" w:right="820" w:hanging="500"/>
        <w:spacing w:after="0" w:line="237" w:lineRule="auto"/>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Amounts in this column represent the aggregate dollar amount of all fees earned or paid in cash for services as a director for annual retainer fees, committee and/or chair fees and meeting fees. The directors are eligible to defer such cash fees into our Keystaff Deferral Plan and Key Executive Stock Deferral Plan. Dr. John, Mr. Kendall and Mr. Kraemer elected to defer all of their fees earned in fiscal 2019 into our Keystaff Deferral Plan.</w:t>
      </w:r>
    </w:p>
    <w:p>
      <w:pPr>
        <w:spacing w:after="0" w:line="104" w:lineRule="exact"/>
        <w:rPr>
          <w:rFonts w:ascii="Arial" w:cs="Arial" w:eastAsia="Arial" w:hAnsi="Arial"/>
          <w:sz w:val="17"/>
          <w:szCs w:val="17"/>
          <w:color w:val="auto"/>
        </w:rPr>
      </w:pPr>
    </w:p>
    <w:p>
      <w:pPr>
        <w:ind w:left="940" w:right="760" w:hanging="500"/>
        <w:spacing w:after="0" w:line="236" w:lineRule="auto"/>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Amounts in this column reflect the grant date fair value of awards granted in 2019 computed in accordance with stock-based compensation accounting rules (FASB ASC Topic 718). For more information regarding our application of FASB ASC Topic 718, including the assumptions used in the calculations of these amounts, see Note 20 of Notes to Consolidated Financial Statements included in our Annual Report on Form 10-K as filed with the SEC on February 18, 2020. The directors are eligible to defer such awards into our Key Executive Stock Deferral Plan. Dr. John, Mr. Kendall and Mr. Kraemer elected to defer all of their restricted stock units granted in fiscal 2019 into our Key Executive Stock Deferral Plan.</w:t>
      </w:r>
    </w:p>
    <w:p>
      <w:pPr>
        <w:spacing w:after="0" w:line="193" w:lineRule="exact"/>
        <w:rPr>
          <w:rFonts w:ascii="Arial" w:cs="Arial" w:eastAsia="Arial" w:hAnsi="Arial"/>
          <w:sz w:val="17"/>
          <w:szCs w:val="17"/>
          <w:color w:val="auto"/>
        </w:rPr>
      </w:pPr>
    </w:p>
    <w:p>
      <w:pPr>
        <w:ind w:left="960" w:right="1200"/>
        <w:spacing w:after="0" w:line="243" w:lineRule="auto"/>
        <w:rPr>
          <w:rFonts w:ascii="Arial" w:cs="Arial" w:eastAsia="Arial" w:hAnsi="Arial"/>
          <w:sz w:val="17"/>
          <w:szCs w:val="17"/>
          <w:color w:val="auto"/>
        </w:rPr>
      </w:pPr>
      <w:r>
        <w:rPr>
          <w:rFonts w:ascii="Arial" w:cs="Arial" w:eastAsia="Arial" w:hAnsi="Arial"/>
          <w:sz w:val="17"/>
          <w:szCs w:val="17"/>
          <w:color w:val="auto"/>
        </w:rPr>
        <w:t>At the end of fiscal 2019, the following non-employee directors held the following number of unvested stock units, including unvested stock units in our Key Executive Stock Deferral Plan:</w:t>
      </w:r>
    </w:p>
    <w:p>
      <w:pPr>
        <w:spacing w:after="0" w:line="214" w:lineRule="exact"/>
        <w:rPr>
          <w:sz w:val="20"/>
          <w:szCs w:val="20"/>
          <w:color w:val="auto"/>
        </w:rPr>
      </w:pPr>
    </w:p>
    <w:tbl>
      <w:tblPr>
        <w:tblLayout w:type="fixed"/>
        <w:tblInd w:w="1180" w:type="dxa"/>
        <w:tblCellMar>
          <w:top w:w="0" w:type="dxa"/>
          <w:left w:w="0" w:type="dxa"/>
          <w:bottom w:w="0" w:type="dxa"/>
          <w:right w:w="0" w:type="dxa"/>
        </w:tblCellMar>
      </w:tblPr>
      <w:tr>
        <w:trPr>
          <w:trHeight w:val="203"/>
        </w:trPr>
        <w:tc>
          <w:tcPr>
            <w:tcW w:w="4440" w:type="dxa"/>
            <w:vAlign w:val="bottom"/>
          </w:tcPr>
          <w:p>
            <w:pPr>
              <w:ind w:left="180"/>
              <w:spacing w:after="0"/>
              <w:rPr>
                <w:sz w:val="20"/>
                <w:szCs w:val="20"/>
                <w:color w:val="auto"/>
              </w:rPr>
            </w:pPr>
            <w:r>
              <w:rPr>
                <w:rFonts w:ascii="Arial" w:cs="Arial" w:eastAsia="Arial" w:hAnsi="Arial"/>
                <w:sz w:val="17"/>
                <w:szCs w:val="17"/>
                <w:color w:val="483E65"/>
              </w:rPr>
              <w:t>Name</w:t>
            </w:r>
          </w:p>
        </w:tc>
        <w:tc>
          <w:tcPr>
            <w:tcW w:w="5200" w:type="dxa"/>
            <w:vAlign w:val="bottom"/>
          </w:tcPr>
          <w:p>
            <w:pPr>
              <w:jc w:val="right"/>
              <w:ind w:right="695"/>
              <w:spacing w:after="0"/>
              <w:rPr>
                <w:sz w:val="20"/>
                <w:szCs w:val="20"/>
                <w:color w:val="auto"/>
              </w:rPr>
            </w:pPr>
            <w:r>
              <w:rPr>
                <w:rFonts w:ascii="Arial" w:cs="Arial" w:eastAsia="Arial" w:hAnsi="Arial"/>
                <w:sz w:val="17"/>
                <w:szCs w:val="17"/>
                <w:color w:val="483E65"/>
              </w:rPr>
              <w:t>Unvested stock units (#)</w:t>
            </w:r>
          </w:p>
        </w:tc>
      </w:tr>
      <w:tr>
        <w:trPr>
          <w:trHeight w:val="39"/>
        </w:trPr>
        <w:tc>
          <w:tcPr>
            <w:tcW w:w="4440" w:type="dxa"/>
            <w:vAlign w:val="bottom"/>
            <w:tcBorders>
              <w:bottom w:val="single" w:sz="8" w:color="483E65"/>
            </w:tcBorders>
          </w:tcPr>
          <w:p>
            <w:pPr>
              <w:spacing w:after="0"/>
              <w:rPr>
                <w:sz w:val="3"/>
                <w:szCs w:val="3"/>
                <w:color w:val="auto"/>
              </w:rPr>
            </w:pPr>
          </w:p>
        </w:tc>
        <w:tc>
          <w:tcPr>
            <w:tcW w:w="5200" w:type="dxa"/>
            <w:vAlign w:val="bottom"/>
            <w:tcBorders>
              <w:bottom w:val="single" w:sz="8" w:color="483E65"/>
            </w:tcBorders>
          </w:tcPr>
          <w:p>
            <w:pPr>
              <w:spacing w:after="0"/>
              <w:rPr>
                <w:sz w:val="3"/>
                <w:szCs w:val="3"/>
                <w:color w:val="auto"/>
              </w:rPr>
            </w:pPr>
          </w:p>
        </w:tc>
      </w:tr>
      <w:tr>
        <w:trPr>
          <w:trHeight w:val="183"/>
        </w:trPr>
        <w:tc>
          <w:tcPr>
            <w:tcW w:w="4440" w:type="dxa"/>
            <w:vAlign w:val="bottom"/>
          </w:tcPr>
          <w:p>
            <w:pPr>
              <w:ind w:left="100"/>
              <w:spacing w:after="0" w:line="184" w:lineRule="exact"/>
              <w:rPr>
                <w:sz w:val="20"/>
                <w:szCs w:val="20"/>
                <w:color w:val="auto"/>
              </w:rPr>
            </w:pPr>
            <w:r>
              <w:rPr>
                <w:rFonts w:ascii="Arial" w:cs="Arial" w:eastAsia="Arial" w:hAnsi="Arial"/>
                <w:sz w:val="17"/>
                <w:szCs w:val="17"/>
                <w:color w:val="auto"/>
              </w:rPr>
              <w:t>Gregory R. Dahlberg</w:t>
            </w:r>
          </w:p>
        </w:tc>
        <w:tc>
          <w:tcPr>
            <w:tcW w:w="5200" w:type="dxa"/>
            <w:vAlign w:val="bottom"/>
          </w:tcPr>
          <w:p>
            <w:pPr>
              <w:jc w:val="right"/>
              <w:ind w:right="1255"/>
              <w:spacing w:after="0" w:line="184" w:lineRule="exact"/>
              <w:rPr>
                <w:sz w:val="20"/>
                <w:szCs w:val="20"/>
                <w:color w:val="auto"/>
              </w:rPr>
            </w:pPr>
            <w:r>
              <w:rPr>
                <w:rFonts w:ascii="Arial" w:cs="Arial" w:eastAsia="Arial" w:hAnsi="Arial"/>
                <w:sz w:val="17"/>
                <w:szCs w:val="17"/>
                <w:color w:val="auto"/>
              </w:rPr>
              <w:t>1,400</w:t>
            </w:r>
          </w:p>
        </w:tc>
      </w:tr>
      <w:tr>
        <w:trPr>
          <w:trHeight w:val="191"/>
        </w:trPr>
        <w:tc>
          <w:tcPr>
            <w:tcW w:w="444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David G. Fubini</w:t>
            </w:r>
          </w:p>
        </w:tc>
        <w:tc>
          <w:tcPr>
            <w:tcW w:w="5200" w:type="dxa"/>
            <w:vAlign w:val="bottom"/>
            <w:shd w:val="clear" w:color="auto" w:fill="ACABA7"/>
          </w:tcPr>
          <w:p>
            <w:pPr>
              <w:jc w:val="right"/>
              <w:ind w:right="1255"/>
              <w:spacing w:after="0" w:line="191" w:lineRule="exact"/>
              <w:rPr>
                <w:sz w:val="20"/>
                <w:szCs w:val="20"/>
                <w:color w:val="auto"/>
              </w:rPr>
            </w:pPr>
            <w:r>
              <w:rPr>
                <w:rFonts w:ascii="Arial" w:cs="Arial" w:eastAsia="Arial" w:hAnsi="Arial"/>
                <w:sz w:val="17"/>
                <w:szCs w:val="17"/>
                <w:color w:val="auto"/>
              </w:rPr>
              <w:t>1,400</w:t>
            </w:r>
          </w:p>
        </w:tc>
      </w:tr>
      <w:tr>
        <w:trPr>
          <w:trHeight w:val="191"/>
        </w:trPr>
        <w:tc>
          <w:tcPr>
            <w:tcW w:w="4440" w:type="dxa"/>
            <w:vAlign w:val="bottom"/>
          </w:tcPr>
          <w:p>
            <w:pPr>
              <w:ind w:left="100"/>
              <w:spacing w:after="0" w:line="191" w:lineRule="exact"/>
              <w:rPr>
                <w:sz w:val="20"/>
                <w:szCs w:val="20"/>
                <w:color w:val="auto"/>
              </w:rPr>
            </w:pPr>
            <w:r>
              <w:rPr>
                <w:rFonts w:ascii="Arial" w:cs="Arial" w:eastAsia="Arial" w:hAnsi="Arial"/>
                <w:sz w:val="17"/>
                <w:szCs w:val="17"/>
                <w:color w:val="auto"/>
              </w:rPr>
              <w:t>Miriam E. John</w:t>
            </w:r>
          </w:p>
        </w:tc>
        <w:tc>
          <w:tcPr>
            <w:tcW w:w="5200" w:type="dxa"/>
            <w:vAlign w:val="bottom"/>
          </w:tcPr>
          <w:p>
            <w:pPr>
              <w:jc w:val="right"/>
              <w:ind w:right="1255"/>
              <w:spacing w:after="0" w:line="191" w:lineRule="exact"/>
              <w:rPr>
                <w:sz w:val="20"/>
                <w:szCs w:val="20"/>
                <w:color w:val="auto"/>
              </w:rPr>
            </w:pPr>
            <w:r>
              <w:rPr>
                <w:rFonts w:ascii="Arial" w:cs="Arial" w:eastAsia="Arial" w:hAnsi="Arial"/>
                <w:sz w:val="17"/>
                <w:szCs w:val="17"/>
                <w:color w:val="auto"/>
              </w:rPr>
              <w:t>1,414</w:t>
            </w:r>
          </w:p>
        </w:tc>
      </w:tr>
      <w:tr>
        <w:trPr>
          <w:trHeight w:val="191"/>
        </w:trPr>
        <w:tc>
          <w:tcPr>
            <w:tcW w:w="444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Frank Kendall III</w:t>
            </w:r>
          </w:p>
        </w:tc>
        <w:tc>
          <w:tcPr>
            <w:tcW w:w="5200" w:type="dxa"/>
            <w:vAlign w:val="bottom"/>
            <w:shd w:val="clear" w:color="auto" w:fill="ACABA7"/>
          </w:tcPr>
          <w:p>
            <w:pPr>
              <w:jc w:val="right"/>
              <w:ind w:right="1255"/>
              <w:spacing w:after="0" w:line="191" w:lineRule="exact"/>
              <w:rPr>
                <w:sz w:val="20"/>
                <w:szCs w:val="20"/>
                <w:color w:val="auto"/>
              </w:rPr>
            </w:pPr>
            <w:r>
              <w:rPr>
                <w:rFonts w:ascii="Arial" w:cs="Arial" w:eastAsia="Arial" w:hAnsi="Arial"/>
                <w:sz w:val="17"/>
                <w:szCs w:val="17"/>
                <w:color w:val="auto"/>
              </w:rPr>
              <w:t>1,414</w:t>
            </w:r>
          </w:p>
        </w:tc>
      </w:tr>
      <w:tr>
        <w:trPr>
          <w:trHeight w:val="191"/>
        </w:trPr>
        <w:tc>
          <w:tcPr>
            <w:tcW w:w="4440" w:type="dxa"/>
            <w:vAlign w:val="bottom"/>
          </w:tcPr>
          <w:p>
            <w:pPr>
              <w:ind w:left="100"/>
              <w:spacing w:after="0" w:line="191" w:lineRule="exact"/>
              <w:rPr>
                <w:sz w:val="20"/>
                <w:szCs w:val="20"/>
                <w:color w:val="auto"/>
              </w:rPr>
            </w:pPr>
            <w:r>
              <w:rPr>
                <w:rFonts w:ascii="Arial" w:cs="Arial" w:eastAsia="Arial" w:hAnsi="Arial"/>
                <w:sz w:val="17"/>
                <w:szCs w:val="17"/>
                <w:color w:val="auto"/>
              </w:rPr>
              <w:t>Robert C. Kovarik, Jr.</w:t>
            </w:r>
          </w:p>
        </w:tc>
        <w:tc>
          <w:tcPr>
            <w:tcW w:w="5200" w:type="dxa"/>
            <w:vAlign w:val="bottom"/>
          </w:tcPr>
          <w:p>
            <w:pPr>
              <w:jc w:val="right"/>
              <w:ind w:right="1255"/>
              <w:spacing w:after="0" w:line="191" w:lineRule="exact"/>
              <w:rPr>
                <w:sz w:val="20"/>
                <w:szCs w:val="20"/>
                <w:color w:val="auto"/>
              </w:rPr>
            </w:pPr>
            <w:r>
              <w:rPr>
                <w:rFonts w:ascii="Arial" w:cs="Arial" w:eastAsia="Arial" w:hAnsi="Arial"/>
                <w:sz w:val="17"/>
                <w:szCs w:val="17"/>
                <w:color w:val="auto"/>
              </w:rPr>
              <w:t>1,400</w:t>
            </w:r>
          </w:p>
        </w:tc>
      </w:tr>
      <w:tr>
        <w:trPr>
          <w:trHeight w:val="191"/>
        </w:trPr>
        <w:tc>
          <w:tcPr>
            <w:tcW w:w="444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Harry M.J. Kraemer, Jr.</w:t>
            </w:r>
          </w:p>
        </w:tc>
        <w:tc>
          <w:tcPr>
            <w:tcW w:w="5200" w:type="dxa"/>
            <w:vAlign w:val="bottom"/>
            <w:shd w:val="clear" w:color="auto" w:fill="ACABA7"/>
          </w:tcPr>
          <w:p>
            <w:pPr>
              <w:jc w:val="right"/>
              <w:ind w:right="1255"/>
              <w:spacing w:after="0" w:line="191" w:lineRule="exact"/>
              <w:rPr>
                <w:sz w:val="20"/>
                <w:szCs w:val="20"/>
                <w:color w:val="auto"/>
              </w:rPr>
            </w:pPr>
            <w:r>
              <w:rPr>
                <w:rFonts w:ascii="Arial" w:cs="Arial" w:eastAsia="Arial" w:hAnsi="Arial"/>
                <w:sz w:val="17"/>
                <w:szCs w:val="17"/>
                <w:color w:val="auto"/>
              </w:rPr>
              <w:t>1,414</w:t>
            </w:r>
          </w:p>
        </w:tc>
      </w:tr>
      <w:tr>
        <w:trPr>
          <w:trHeight w:val="191"/>
        </w:trPr>
        <w:tc>
          <w:tcPr>
            <w:tcW w:w="4440" w:type="dxa"/>
            <w:vAlign w:val="bottom"/>
          </w:tcPr>
          <w:p>
            <w:pPr>
              <w:ind w:left="100"/>
              <w:spacing w:after="0" w:line="191" w:lineRule="exact"/>
              <w:rPr>
                <w:sz w:val="20"/>
                <w:szCs w:val="20"/>
                <w:color w:val="auto"/>
              </w:rPr>
            </w:pPr>
            <w:r>
              <w:rPr>
                <w:rFonts w:ascii="Arial" w:cs="Arial" w:eastAsia="Arial" w:hAnsi="Arial"/>
                <w:sz w:val="17"/>
                <w:szCs w:val="17"/>
                <w:color w:val="auto"/>
              </w:rPr>
              <w:t>Gary S. May</w:t>
            </w:r>
          </w:p>
        </w:tc>
        <w:tc>
          <w:tcPr>
            <w:tcW w:w="5200" w:type="dxa"/>
            <w:vAlign w:val="bottom"/>
          </w:tcPr>
          <w:p>
            <w:pPr>
              <w:jc w:val="right"/>
              <w:ind w:right="1255"/>
              <w:spacing w:after="0" w:line="191" w:lineRule="exact"/>
              <w:rPr>
                <w:sz w:val="20"/>
                <w:szCs w:val="20"/>
                <w:color w:val="auto"/>
              </w:rPr>
            </w:pPr>
            <w:r>
              <w:rPr>
                <w:rFonts w:ascii="Arial" w:cs="Arial" w:eastAsia="Arial" w:hAnsi="Arial"/>
                <w:sz w:val="17"/>
                <w:szCs w:val="17"/>
                <w:color w:val="auto"/>
              </w:rPr>
              <w:t>1,400</w:t>
            </w:r>
          </w:p>
        </w:tc>
      </w:tr>
      <w:tr>
        <w:trPr>
          <w:trHeight w:val="191"/>
        </w:trPr>
        <w:tc>
          <w:tcPr>
            <w:tcW w:w="444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Surya N. Mohapatra</w:t>
            </w:r>
          </w:p>
        </w:tc>
        <w:tc>
          <w:tcPr>
            <w:tcW w:w="5200" w:type="dxa"/>
            <w:vAlign w:val="bottom"/>
            <w:shd w:val="clear" w:color="auto" w:fill="ACABA7"/>
          </w:tcPr>
          <w:p>
            <w:pPr>
              <w:jc w:val="right"/>
              <w:ind w:right="1255"/>
              <w:spacing w:after="0" w:line="191" w:lineRule="exact"/>
              <w:rPr>
                <w:sz w:val="20"/>
                <w:szCs w:val="20"/>
                <w:color w:val="auto"/>
              </w:rPr>
            </w:pPr>
            <w:r>
              <w:rPr>
                <w:rFonts w:ascii="Arial" w:cs="Arial" w:eastAsia="Arial" w:hAnsi="Arial"/>
                <w:sz w:val="17"/>
                <w:szCs w:val="17"/>
                <w:color w:val="auto"/>
              </w:rPr>
              <w:t>1,400</w:t>
            </w:r>
          </w:p>
        </w:tc>
      </w:tr>
      <w:tr>
        <w:trPr>
          <w:trHeight w:val="191"/>
        </w:trPr>
        <w:tc>
          <w:tcPr>
            <w:tcW w:w="4440" w:type="dxa"/>
            <w:vAlign w:val="bottom"/>
          </w:tcPr>
          <w:p>
            <w:pPr>
              <w:ind w:left="100"/>
              <w:spacing w:after="0" w:line="191" w:lineRule="exact"/>
              <w:rPr>
                <w:sz w:val="20"/>
                <w:szCs w:val="20"/>
                <w:color w:val="auto"/>
              </w:rPr>
            </w:pPr>
            <w:r>
              <w:rPr>
                <w:rFonts w:ascii="Arial" w:cs="Arial" w:eastAsia="Arial" w:hAnsi="Arial"/>
                <w:sz w:val="17"/>
                <w:szCs w:val="17"/>
                <w:color w:val="auto"/>
              </w:rPr>
              <w:t>Lawrence C. Nussdorf</w:t>
            </w:r>
          </w:p>
        </w:tc>
        <w:tc>
          <w:tcPr>
            <w:tcW w:w="5200" w:type="dxa"/>
            <w:vAlign w:val="bottom"/>
          </w:tcPr>
          <w:p>
            <w:pPr>
              <w:jc w:val="right"/>
              <w:ind w:right="1255"/>
              <w:spacing w:after="0" w:line="191" w:lineRule="exact"/>
              <w:rPr>
                <w:sz w:val="20"/>
                <w:szCs w:val="20"/>
                <w:color w:val="auto"/>
              </w:rPr>
            </w:pPr>
            <w:r>
              <w:rPr>
                <w:rFonts w:ascii="Arial" w:cs="Arial" w:eastAsia="Arial" w:hAnsi="Arial"/>
                <w:sz w:val="17"/>
                <w:szCs w:val="17"/>
                <w:color w:val="auto"/>
              </w:rPr>
              <w:t>1,400</w:t>
            </w:r>
          </w:p>
        </w:tc>
      </w:tr>
      <w:tr>
        <w:trPr>
          <w:trHeight w:val="191"/>
        </w:trPr>
        <w:tc>
          <w:tcPr>
            <w:tcW w:w="444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Robert S. Shapard</w:t>
            </w:r>
          </w:p>
        </w:tc>
        <w:tc>
          <w:tcPr>
            <w:tcW w:w="5200" w:type="dxa"/>
            <w:vAlign w:val="bottom"/>
            <w:shd w:val="clear" w:color="auto" w:fill="ACABA7"/>
          </w:tcPr>
          <w:p>
            <w:pPr>
              <w:jc w:val="right"/>
              <w:ind w:right="1255"/>
              <w:spacing w:after="0" w:line="191" w:lineRule="exact"/>
              <w:rPr>
                <w:sz w:val="20"/>
                <w:szCs w:val="20"/>
                <w:color w:val="auto"/>
              </w:rPr>
            </w:pPr>
            <w:r>
              <w:rPr>
                <w:rFonts w:ascii="Arial" w:cs="Arial" w:eastAsia="Arial" w:hAnsi="Arial"/>
                <w:sz w:val="17"/>
                <w:szCs w:val="17"/>
                <w:color w:val="auto"/>
              </w:rPr>
              <w:t>1,400</w:t>
            </w:r>
          </w:p>
        </w:tc>
      </w:tr>
      <w:tr>
        <w:trPr>
          <w:trHeight w:val="191"/>
        </w:trPr>
        <w:tc>
          <w:tcPr>
            <w:tcW w:w="4440" w:type="dxa"/>
            <w:vAlign w:val="bottom"/>
          </w:tcPr>
          <w:p>
            <w:pPr>
              <w:ind w:left="100"/>
              <w:spacing w:after="0" w:line="191" w:lineRule="exact"/>
              <w:rPr>
                <w:sz w:val="20"/>
                <w:szCs w:val="20"/>
                <w:color w:val="auto"/>
              </w:rPr>
            </w:pPr>
            <w:r>
              <w:rPr>
                <w:rFonts w:ascii="Arial" w:cs="Arial" w:eastAsia="Arial" w:hAnsi="Arial"/>
                <w:sz w:val="17"/>
                <w:szCs w:val="17"/>
                <w:color w:val="auto"/>
              </w:rPr>
              <w:t>Susan M. Stalnecker</w:t>
            </w:r>
          </w:p>
        </w:tc>
        <w:tc>
          <w:tcPr>
            <w:tcW w:w="5200" w:type="dxa"/>
            <w:vAlign w:val="bottom"/>
          </w:tcPr>
          <w:p>
            <w:pPr>
              <w:jc w:val="right"/>
              <w:ind w:right="1255"/>
              <w:spacing w:after="0" w:line="191" w:lineRule="exact"/>
              <w:rPr>
                <w:sz w:val="20"/>
                <w:szCs w:val="20"/>
                <w:color w:val="auto"/>
              </w:rPr>
            </w:pPr>
            <w:r>
              <w:rPr>
                <w:rFonts w:ascii="Arial" w:cs="Arial" w:eastAsia="Arial" w:hAnsi="Arial"/>
                <w:sz w:val="17"/>
                <w:szCs w:val="17"/>
                <w:color w:val="auto"/>
              </w:rPr>
              <w:t>1,400</w:t>
            </w:r>
          </w:p>
        </w:tc>
      </w:tr>
      <w:tr>
        <w:trPr>
          <w:trHeight w:val="191"/>
        </w:trPr>
        <w:tc>
          <w:tcPr>
            <w:tcW w:w="444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Noel B. Williams</w:t>
            </w:r>
          </w:p>
        </w:tc>
        <w:tc>
          <w:tcPr>
            <w:tcW w:w="5200" w:type="dxa"/>
            <w:vAlign w:val="bottom"/>
            <w:shd w:val="clear" w:color="auto" w:fill="ACABA7"/>
          </w:tcPr>
          <w:p>
            <w:pPr>
              <w:jc w:val="right"/>
              <w:ind w:right="1255"/>
              <w:spacing w:after="0" w:line="191" w:lineRule="exact"/>
              <w:rPr>
                <w:sz w:val="20"/>
                <w:szCs w:val="20"/>
                <w:color w:val="auto"/>
              </w:rPr>
            </w:pPr>
            <w:r>
              <w:rPr>
                <w:rFonts w:ascii="Arial" w:cs="Arial" w:eastAsia="Arial" w:hAnsi="Arial"/>
                <w:sz w:val="17"/>
                <w:szCs w:val="17"/>
                <w:color w:val="auto"/>
              </w:rPr>
              <w:t>1,400</w:t>
            </w:r>
          </w:p>
        </w:tc>
      </w:tr>
    </w:tbl>
    <w:p>
      <w:pPr>
        <w:spacing w:after="0" w:line="114" w:lineRule="exact"/>
        <w:rPr>
          <w:sz w:val="20"/>
          <w:szCs w:val="20"/>
          <w:color w:val="auto"/>
        </w:rPr>
      </w:pPr>
    </w:p>
    <w:p>
      <w:pPr>
        <w:ind w:left="940" w:right="740" w:hanging="500"/>
        <w:spacing w:after="0" w:line="243" w:lineRule="auto"/>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Amounts in this column reflect the grant date fair value of stock options granted in 2019 computed in accordance with FASB ASC Topic 718. For more information regarding our application of FASB ASC Topic 718, including the</w:t>
      </w:r>
    </w:p>
    <w:p>
      <w:pPr>
        <w:spacing w:after="0" w:line="110" w:lineRule="exact"/>
        <w:rPr>
          <w:sz w:val="20"/>
          <w:szCs w:val="20"/>
          <w:color w:val="auto"/>
        </w:r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16</w:t>
        <w:tab/>
        <w:t>|</w:t>
        <w:tab/>
        <w:t>2020 Proxy Statement</w:t>
      </w:r>
    </w:p>
    <w:p>
      <w:pPr>
        <w:sectPr>
          <w:pgSz w:w="11900" w:h="16838" w:orient="portrait"/>
          <w:cols w:equalWidth="0" w:num="1">
            <w:col w:w="11340"/>
          </w:cols>
          <w:pgMar w:left="320" w:top="441"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93" w:lineRule="exact"/>
        <w:rPr>
          <w:sz w:val="20"/>
          <w:szCs w:val="20"/>
          <w:color w:val="auto"/>
        </w:rPr>
      </w:pPr>
    </w:p>
    <w:p>
      <w:pPr>
        <w:ind w:left="940" w:right="80"/>
        <w:spacing w:after="0" w:line="239" w:lineRule="auto"/>
        <w:rPr>
          <w:sz w:val="20"/>
          <w:szCs w:val="20"/>
          <w:color w:val="auto"/>
        </w:rPr>
      </w:pPr>
      <w:r>
        <w:rPr>
          <w:rFonts w:ascii="Arial" w:cs="Arial" w:eastAsia="Arial" w:hAnsi="Arial"/>
          <w:sz w:val="17"/>
          <w:szCs w:val="17"/>
          <w:color w:val="auto"/>
        </w:rPr>
        <w:t>assumptions used in the calculations of these amounts, see Note 20 of Notes to Consolidated Financial Statements included in our Annual Report on Form 10-K as filed with the SEC on February 18, 2020. At the end of fiscal 2019, our non-employee directors held vested and unvested options to purchase the following number of shares of our common stock:</w:t>
      </w:r>
    </w:p>
    <w:p>
      <w:pPr>
        <w:spacing w:after="0" w:line="216" w:lineRule="exact"/>
        <w:rPr>
          <w:sz w:val="20"/>
          <w:szCs w:val="20"/>
          <w:color w:val="auto"/>
        </w:rPr>
      </w:pPr>
    </w:p>
    <w:tbl>
      <w:tblPr>
        <w:tblLayout w:type="fixed"/>
        <w:tblInd w:w="1180" w:type="dxa"/>
        <w:tblCellMar>
          <w:top w:w="0" w:type="dxa"/>
          <w:left w:w="0" w:type="dxa"/>
          <w:bottom w:w="0" w:type="dxa"/>
          <w:right w:w="0" w:type="dxa"/>
        </w:tblCellMar>
      </w:tblPr>
      <w:tr>
        <w:trPr>
          <w:trHeight w:val="203"/>
        </w:trPr>
        <w:tc>
          <w:tcPr>
            <w:tcW w:w="3560" w:type="dxa"/>
            <w:vAlign w:val="bottom"/>
          </w:tcPr>
          <w:p>
            <w:pPr>
              <w:ind w:left="180"/>
              <w:spacing w:after="0"/>
              <w:rPr>
                <w:sz w:val="20"/>
                <w:szCs w:val="20"/>
                <w:color w:val="auto"/>
              </w:rPr>
            </w:pPr>
            <w:r>
              <w:rPr>
                <w:rFonts w:ascii="Arial" w:cs="Arial" w:eastAsia="Arial" w:hAnsi="Arial"/>
                <w:sz w:val="17"/>
                <w:szCs w:val="17"/>
                <w:color w:val="483E65"/>
              </w:rPr>
              <w:t>Name</w:t>
            </w:r>
          </w:p>
        </w:tc>
        <w:tc>
          <w:tcPr>
            <w:tcW w:w="6080" w:type="dxa"/>
            <w:vAlign w:val="bottom"/>
          </w:tcPr>
          <w:p>
            <w:pPr>
              <w:jc w:val="right"/>
              <w:ind w:right="375"/>
              <w:spacing w:after="0"/>
              <w:rPr>
                <w:sz w:val="20"/>
                <w:szCs w:val="20"/>
                <w:color w:val="auto"/>
              </w:rPr>
            </w:pPr>
            <w:r>
              <w:rPr>
                <w:rFonts w:ascii="Arial" w:cs="Arial" w:eastAsia="Arial" w:hAnsi="Arial"/>
                <w:sz w:val="17"/>
                <w:szCs w:val="17"/>
                <w:color w:val="483E65"/>
              </w:rPr>
              <w:t>Aggregate shares subject to outstanding options (#)</w:t>
            </w:r>
          </w:p>
        </w:tc>
      </w:tr>
      <w:tr>
        <w:trPr>
          <w:trHeight w:val="39"/>
        </w:trPr>
        <w:tc>
          <w:tcPr>
            <w:tcW w:w="3560" w:type="dxa"/>
            <w:vAlign w:val="bottom"/>
            <w:tcBorders>
              <w:bottom w:val="single" w:sz="8" w:color="483E65"/>
            </w:tcBorders>
          </w:tcPr>
          <w:p>
            <w:pPr>
              <w:spacing w:after="0"/>
              <w:rPr>
                <w:sz w:val="3"/>
                <w:szCs w:val="3"/>
                <w:color w:val="auto"/>
              </w:rPr>
            </w:pPr>
          </w:p>
        </w:tc>
        <w:tc>
          <w:tcPr>
            <w:tcW w:w="6080" w:type="dxa"/>
            <w:vAlign w:val="bottom"/>
            <w:tcBorders>
              <w:bottom w:val="single" w:sz="8" w:color="483E65"/>
            </w:tcBorders>
          </w:tcPr>
          <w:p>
            <w:pPr>
              <w:spacing w:after="0"/>
              <w:rPr>
                <w:sz w:val="3"/>
                <w:szCs w:val="3"/>
                <w:color w:val="auto"/>
              </w:rPr>
            </w:pPr>
          </w:p>
        </w:tc>
      </w:tr>
      <w:tr>
        <w:trPr>
          <w:trHeight w:val="183"/>
        </w:trPr>
        <w:tc>
          <w:tcPr>
            <w:tcW w:w="3560" w:type="dxa"/>
            <w:vAlign w:val="bottom"/>
          </w:tcPr>
          <w:p>
            <w:pPr>
              <w:ind w:left="100"/>
              <w:spacing w:after="0" w:line="184" w:lineRule="exact"/>
              <w:rPr>
                <w:sz w:val="20"/>
                <w:szCs w:val="20"/>
                <w:color w:val="auto"/>
              </w:rPr>
            </w:pPr>
            <w:r>
              <w:rPr>
                <w:rFonts w:ascii="Arial" w:cs="Arial" w:eastAsia="Arial" w:hAnsi="Arial"/>
                <w:sz w:val="17"/>
                <w:szCs w:val="17"/>
                <w:color w:val="auto"/>
              </w:rPr>
              <w:t>Gregory R. Dahlberg</w:t>
            </w:r>
          </w:p>
        </w:tc>
        <w:tc>
          <w:tcPr>
            <w:tcW w:w="6080" w:type="dxa"/>
            <w:vAlign w:val="bottom"/>
          </w:tcPr>
          <w:p>
            <w:pPr>
              <w:jc w:val="right"/>
              <w:ind w:right="2015"/>
              <w:spacing w:after="0" w:line="184" w:lineRule="exact"/>
              <w:rPr>
                <w:sz w:val="20"/>
                <w:szCs w:val="20"/>
                <w:color w:val="auto"/>
              </w:rPr>
            </w:pPr>
            <w:r>
              <w:rPr>
                <w:rFonts w:ascii="Arial" w:cs="Arial" w:eastAsia="Arial" w:hAnsi="Arial"/>
                <w:sz w:val="17"/>
                <w:szCs w:val="17"/>
                <w:color w:val="auto"/>
              </w:rPr>
              <w:t>17,396</w:t>
            </w:r>
          </w:p>
        </w:tc>
      </w:tr>
      <w:tr>
        <w:trPr>
          <w:trHeight w:val="191"/>
        </w:trPr>
        <w:tc>
          <w:tcPr>
            <w:tcW w:w="356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David G. Fubini</w:t>
            </w:r>
          </w:p>
        </w:tc>
        <w:tc>
          <w:tcPr>
            <w:tcW w:w="6080" w:type="dxa"/>
            <w:vAlign w:val="bottom"/>
            <w:shd w:val="clear" w:color="auto" w:fill="ACABA7"/>
          </w:tcPr>
          <w:p>
            <w:pPr>
              <w:jc w:val="right"/>
              <w:ind w:right="2015"/>
              <w:spacing w:after="0" w:line="191" w:lineRule="exact"/>
              <w:rPr>
                <w:sz w:val="20"/>
                <w:szCs w:val="20"/>
                <w:color w:val="auto"/>
              </w:rPr>
            </w:pPr>
            <w:r>
              <w:rPr>
                <w:rFonts w:ascii="Arial" w:cs="Arial" w:eastAsia="Arial" w:hAnsi="Arial"/>
                <w:sz w:val="17"/>
                <w:szCs w:val="17"/>
                <w:color w:val="auto"/>
              </w:rPr>
              <w:t>49,748</w:t>
            </w:r>
          </w:p>
        </w:tc>
      </w:tr>
      <w:tr>
        <w:trPr>
          <w:trHeight w:val="191"/>
        </w:trPr>
        <w:tc>
          <w:tcPr>
            <w:tcW w:w="3560" w:type="dxa"/>
            <w:vAlign w:val="bottom"/>
          </w:tcPr>
          <w:p>
            <w:pPr>
              <w:ind w:left="100"/>
              <w:spacing w:after="0" w:line="191" w:lineRule="exact"/>
              <w:rPr>
                <w:sz w:val="20"/>
                <w:szCs w:val="20"/>
                <w:color w:val="auto"/>
              </w:rPr>
            </w:pPr>
            <w:r>
              <w:rPr>
                <w:rFonts w:ascii="Arial" w:cs="Arial" w:eastAsia="Arial" w:hAnsi="Arial"/>
                <w:sz w:val="17"/>
                <w:szCs w:val="17"/>
                <w:color w:val="auto"/>
              </w:rPr>
              <w:t>Miriam E. John</w:t>
            </w:r>
          </w:p>
        </w:tc>
        <w:tc>
          <w:tcPr>
            <w:tcW w:w="6080" w:type="dxa"/>
            <w:vAlign w:val="bottom"/>
          </w:tcPr>
          <w:p>
            <w:pPr>
              <w:jc w:val="right"/>
              <w:ind w:right="2015"/>
              <w:spacing w:after="0" w:line="191" w:lineRule="exact"/>
              <w:rPr>
                <w:sz w:val="20"/>
                <w:szCs w:val="20"/>
                <w:color w:val="auto"/>
              </w:rPr>
            </w:pPr>
            <w:r>
              <w:rPr>
                <w:rFonts w:ascii="Arial" w:cs="Arial" w:eastAsia="Arial" w:hAnsi="Arial"/>
                <w:sz w:val="17"/>
                <w:szCs w:val="17"/>
                <w:color w:val="auto"/>
              </w:rPr>
              <w:t>47,855</w:t>
            </w:r>
          </w:p>
        </w:tc>
      </w:tr>
      <w:tr>
        <w:trPr>
          <w:trHeight w:val="191"/>
        </w:trPr>
        <w:tc>
          <w:tcPr>
            <w:tcW w:w="356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Frank Kendall III</w:t>
            </w:r>
          </w:p>
        </w:tc>
        <w:tc>
          <w:tcPr>
            <w:tcW w:w="6080" w:type="dxa"/>
            <w:vAlign w:val="bottom"/>
            <w:shd w:val="clear" w:color="auto" w:fill="ACABA7"/>
          </w:tcPr>
          <w:p>
            <w:pPr>
              <w:jc w:val="right"/>
              <w:ind w:right="2015"/>
              <w:spacing w:after="0" w:line="191" w:lineRule="exact"/>
              <w:rPr>
                <w:sz w:val="20"/>
                <w:szCs w:val="20"/>
                <w:color w:val="auto"/>
              </w:rPr>
            </w:pPr>
            <w:r>
              <w:rPr>
                <w:rFonts w:ascii="Arial" w:cs="Arial" w:eastAsia="Arial" w:hAnsi="Arial"/>
                <w:sz w:val="17"/>
                <w:szCs w:val="17"/>
                <w:color w:val="auto"/>
              </w:rPr>
              <w:t>12,084</w:t>
            </w:r>
          </w:p>
        </w:tc>
      </w:tr>
      <w:tr>
        <w:trPr>
          <w:trHeight w:val="191"/>
        </w:trPr>
        <w:tc>
          <w:tcPr>
            <w:tcW w:w="3560" w:type="dxa"/>
            <w:vAlign w:val="bottom"/>
          </w:tcPr>
          <w:p>
            <w:pPr>
              <w:ind w:left="100"/>
              <w:spacing w:after="0" w:line="191" w:lineRule="exact"/>
              <w:rPr>
                <w:sz w:val="20"/>
                <w:szCs w:val="20"/>
                <w:color w:val="auto"/>
              </w:rPr>
            </w:pPr>
            <w:r>
              <w:rPr>
                <w:rFonts w:ascii="Arial" w:cs="Arial" w:eastAsia="Arial" w:hAnsi="Arial"/>
                <w:sz w:val="17"/>
                <w:szCs w:val="17"/>
                <w:color w:val="auto"/>
              </w:rPr>
              <w:t>Robert C. Kovarik, Jr.</w:t>
            </w:r>
          </w:p>
        </w:tc>
        <w:tc>
          <w:tcPr>
            <w:tcW w:w="6080" w:type="dxa"/>
            <w:vAlign w:val="bottom"/>
          </w:tcPr>
          <w:p>
            <w:pPr>
              <w:jc w:val="right"/>
              <w:ind w:right="2015"/>
              <w:spacing w:after="0" w:line="191" w:lineRule="exact"/>
              <w:rPr>
                <w:sz w:val="20"/>
                <w:szCs w:val="20"/>
                <w:color w:val="auto"/>
              </w:rPr>
            </w:pPr>
            <w:r>
              <w:rPr>
                <w:rFonts w:ascii="Arial" w:cs="Arial" w:eastAsia="Arial" w:hAnsi="Arial"/>
                <w:sz w:val="17"/>
                <w:szCs w:val="17"/>
                <w:color w:val="auto"/>
              </w:rPr>
              <w:t>7,224</w:t>
            </w:r>
          </w:p>
        </w:tc>
      </w:tr>
      <w:tr>
        <w:trPr>
          <w:trHeight w:val="191"/>
        </w:trPr>
        <w:tc>
          <w:tcPr>
            <w:tcW w:w="356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Harry M.J. Kraemer, Jr.</w:t>
            </w:r>
          </w:p>
        </w:tc>
        <w:tc>
          <w:tcPr>
            <w:tcW w:w="6080" w:type="dxa"/>
            <w:vAlign w:val="bottom"/>
            <w:shd w:val="clear" w:color="auto" w:fill="ACABA7"/>
          </w:tcPr>
          <w:p>
            <w:pPr>
              <w:jc w:val="right"/>
              <w:ind w:right="2015"/>
              <w:spacing w:after="0" w:line="191" w:lineRule="exact"/>
              <w:rPr>
                <w:sz w:val="20"/>
                <w:szCs w:val="20"/>
                <w:color w:val="auto"/>
              </w:rPr>
            </w:pPr>
            <w:r>
              <w:rPr>
                <w:rFonts w:ascii="Arial" w:cs="Arial" w:eastAsia="Arial" w:hAnsi="Arial"/>
                <w:sz w:val="17"/>
                <w:szCs w:val="17"/>
                <w:color w:val="auto"/>
              </w:rPr>
              <w:t>47,855</w:t>
            </w:r>
          </w:p>
        </w:tc>
      </w:tr>
      <w:tr>
        <w:trPr>
          <w:trHeight w:val="191"/>
        </w:trPr>
        <w:tc>
          <w:tcPr>
            <w:tcW w:w="3560" w:type="dxa"/>
            <w:vAlign w:val="bottom"/>
          </w:tcPr>
          <w:p>
            <w:pPr>
              <w:ind w:left="100"/>
              <w:spacing w:after="0" w:line="191" w:lineRule="exact"/>
              <w:rPr>
                <w:sz w:val="20"/>
                <w:szCs w:val="20"/>
                <w:color w:val="auto"/>
              </w:rPr>
            </w:pPr>
            <w:r>
              <w:rPr>
                <w:rFonts w:ascii="Arial" w:cs="Arial" w:eastAsia="Arial" w:hAnsi="Arial"/>
                <w:sz w:val="17"/>
                <w:szCs w:val="17"/>
                <w:color w:val="auto"/>
              </w:rPr>
              <w:t>Gary S. May</w:t>
            </w:r>
          </w:p>
        </w:tc>
        <w:tc>
          <w:tcPr>
            <w:tcW w:w="6080" w:type="dxa"/>
            <w:vAlign w:val="bottom"/>
          </w:tcPr>
          <w:p>
            <w:pPr>
              <w:jc w:val="right"/>
              <w:ind w:right="2015"/>
              <w:spacing w:after="0" w:line="191" w:lineRule="exact"/>
              <w:rPr>
                <w:sz w:val="20"/>
                <w:szCs w:val="20"/>
                <w:color w:val="auto"/>
              </w:rPr>
            </w:pPr>
            <w:r>
              <w:rPr>
                <w:rFonts w:ascii="Arial" w:cs="Arial" w:eastAsia="Arial" w:hAnsi="Arial"/>
                <w:sz w:val="17"/>
                <w:szCs w:val="17"/>
                <w:color w:val="auto"/>
              </w:rPr>
              <w:t>31,549</w:t>
            </w:r>
          </w:p>
        </w:tc>
      </w:tr>
      <w:tr>
        <w:trPr>
          <w:trHeight w:val="191"/>
        </w:trPr>
        <w:tc>
          <w:tcPr>
            <w:tcW w:w="356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Surya N. Mohapatra</w:t>
            </w:r>
          </w:p>
        </w:tc>
        <w:tc>
          <w:tcPr>
            <w:tcW w:w="6080" w:type="dxa"/>
            <w:vAlign w:val="bottom"/>
            <w:shd w:val="clear" w:color="auto" w:fill="ACABA7"/>
          </w:tcPr>
          <w:p>
            <w:pPr>
              <w:jc w:val="right"/>
              <w:ind w:right="2015"/>
              <w:spacing w:after="0" w:line="191" w:lineRule="exact"/>
              <w:rPr>
                <w:sz w:val="20"/>
                <w:szCs w:val="20"/>
                <w:color w:val="auto"/>
              </w:rPr>
            </w:pPr>
            <w:r>
              <w:rPr>
                <w:rFonts w:ascii="Arial" w:cs="Arial" w:eastAsia="Arial" w:hAnsi="Arial"/>
                <w:sz w:val="17"/>
                <w:szCs w:val="17"/>
                <w:color w:val="auto"/>
              </w:rPr>
              <w:t>17,396</w:t>
            </w:r>
          </w:p>
        </w:tc>
      </w:tr>
      <w:tr>
        <w:trPr>
          <w:trHeight w:val="191"/>
        </w:trPr>
        <w:tc>
          <w:tcPr>
            <w:tcW w:w="3560" w:type="dxa"/>
            <w:vAlign w:val="bottom"/>
          </w:tcPr>
          <w:p>
            <w:pPr>
              <w:ind w:left="100"/>
              <w:spacing w:after="0" w:line="191" w:lineRule="exact"/>
              <w:rPr>
                <w:sz w:val="20"/>
                <w:szCs w:val="20"/>
                <w:color w:val="auto"/>
              </w:rPr>
            </w:pPr>
            <w:r>
              <w:rPr>
                <w:rFonts w:ascii="Arial" w:cs="Arial" w:eastAsia="Arial" w:hAnsi="Arial"/>
                <w:sz w:val="17"/>
                <w:szCs w:val="17"/>
                <w:color w:val="auto"/>
              </w:rPr>
              <w:t>Lawrence C. Nussdorf</w:t>
            </w:r>
          </w:p>
        </w:tc>
        <w:tc>
          <w:tcPr>
            <w:tcW w:w="6080" w:type="dxa"/>
            <w:vAlign w:val="bottom"/>
          </w:tcPr>
          <w:p>
            <w:pPr>
              <w:jc w:val="right"/>
              <w:ind w:right="2015"/>
              <w:spacing w:after="0" w:line="191" w:lineRule="exact"/>
              <w:rPr>
                <w:sz w:val="20"/>
                <w:szCs w:val="20"/>
                <w:color w:val="auto"/>
              </w:rPr>
            </w:pPr>
            <w:r>
              <w:rPr>
                <w:rFonts w:ascii="Arial" w:cs="Arial" w:eastAsia="Arial" w:hAnsi="Arial"/>
                <w:sz w:val="17"/>
                <w:szCs w:val="17"/>
                <w:color w:val="auto"/>
              </w:rPr>
              <w:t>47,855</w:t>
            </w:r>
          </w:p>
        </w:tc>
      </w:tr>
      <w:tr>
        <w:trPr>
          <w:trHeight w:val="191"/>
        </w:trPr>
        <w:tc>
          <w:tcPr>
            <w:tcW w:w="356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Robert S. Shapard</w:t>
            </w:r>
          </w:p>
        </w:tc>
        <w:tc>
          <w:tcPr>
            <w:tcW w:w="6080" w:type="dxa"/>
            <w:vAlign w:val="bottom"/>
            <w:shd w:val="clear" w:color="auto" w:fill="ACABA7"/>
          </w:tcPr>
          <w:p>
            <w:pPr>
              <w:jc w:val="right"/>
              <w:ind w:right="2015"/>
              <w:spacing w:after="0" w:line="191" w:lineRule="exact"/>
              <w:rPr>
                <w:sz w:val="20"/>
                <w:szCs w:val="20"/>
                <w:color w:val="auto"/>
              </w:rPr>
            </w:pPr>
            <w:r>
              <w:rPr>
                <w:rFonts w:ascii="Arial" w:cs="Arial" w:eastAsia="Arial" w:hAnsi="Arial"/>
                <w:sz w:val="17"/>
                <w:szCs w:val="17"/>
                <w:color w:val="auto"/>
              </w:rPr>
              <w:t>49,748</w:t>
            </w:r>
          </w:p>
        </w:tc>
      </w:tr>
      <w:tr>
        <w:trPr>
          <w:trHeight w:val="191"/>
        </w:trPr>
        <w:tc>
          <w:tcPr>
            <w:tcW w:w="3560" w:type="dxa"/>
            <w:vAlign w:val="bottom"/>
          </w:tcPr>
          <w:p>
            <w:pPr>
              <w:ind w:left="100"/>
              <w:spacing w:after="0" w:line="191" w:lineRule="exact"/>
              <w:rPr>
                <w:sz w:val="20"/>
                <w:szCs w:val="20"/>
                <w:color w:val="auto"/>
              </w:rPr>
            </w:pPr>
            <w:r>
              <w:rPr>
                <w:rFonts w:ascii="Arial" w:cs="Arial" w:eastAsia="Arial" w:hAnsi="Arial"/>
                <w:sz w:val="17"/>
                <w:szCs w:val="17"/>
                <w:color w:val="auto"/>
              </w:rPr>
              <w:t>Susan M. Stalnecker</w:t>
            </w:r>
          </w:p>
        </w:tc>
        <w:tc>
          <w:tcPr>
            <w:tcW w:w="6080" w:type="dxa"/>
            <w:vAlign w:val="bottom"/>
          </w:tcPr>
          <w:p>
            <w:pPr>
              <w:jc w:val="right"/>
              <w:ind w:right="2015"/>
              <w:spacing w:after="0" w:line="191" w:lineRule="exact"/>
              <w:rPr>
                <w:sz w:val="20"/>
                <w:szCs w:val="20"/>
                <w:color w:val="auto"/>
              </w:rPr>
            </w:pPr>
            <w:r>
              <w:rPr>
                <w:rFonts w:ascii="Arial" w:cs="Arial" w:eastAsia="Arial" w:hAnsi="Arial"/>
                <w:sz w:val="17"/>
                <w:szCs w:val="17"/>
                <w:color w:val="auto"/>
              </w:rPr>
              <w:t>17,396</w:t>
            </w:r>
          </w:p>
        </w:tc>
      </w:tr>
      <w:tr>
        <w:trPr>
          <w:trHeight w:val="191"/>
        </w:trPr>
        <w:tc>
          <w:tcPr>
            <w:tcW w:w="356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Noel B. Williams</w:t>
            </w:r>
          </w:p>
        </w:tc>
        <w:tc>
          <w:tcPr>
            <w:tcW w:w="6080" w:type="dxa"/>
            <w:vAlign w:val="bottom"/>
            <w:shd w:val="clear" w:color="auto" w:fill="ACABA7"/>
          </w:tcPr>
          <w:p>
            <w:pPr>
              <w:jc w:val="right"/>
              <w:ind w:right="2015"/>
              <w:spacing w:after="0" w:line="191" w:lineRule="exact"/>
              <w:rPr>
                <w:sz w:val="20"/>
                <w:szCs w:val="20"/>
                <w:color w:val="auto"/>
              </w:rPr>
            </w:pPr>
            <w:r>
              <w:rPr>
                <w:rFonts w:ascii="Arial" w:cs="Arial" w:eastAsia="Arial" w:hAnsi="Arial"/>
                <w:sz w:val="17"/>
                <w:szCs w:val="17"/>
                <w:color w:val="auto"/>
              </w:rPr>
              <w:t>49,748</w:t>
            </w:r>
          </w:p>
        </w:tc>
      </w:tr>
    </w:tbl>
    <w:p>
      <w:pPr>
        <w:spacing w:after="0" w:line="18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Related Party Transactions</w:t>
      </w:r>
    </w:p>
    <w:p>
      <w:pPr>
        <w:spacing w:after="0" w:line="218" w:lineRule="exact"/>
        <w:rPr>
          <w:sz w:val="20"/>
          <w:szCs w:val="20"/>
          <w:color w:val="auto"/>
        </w:rPr>
      </w:pPr>
    </w:p>
    <w:p>
      <w:pPr>
        <w:ind w:left="440" w:right="80"/>
        <w:spacing w:after="0" w:line="252" w:lineRule="auto"/>
        <w:rPr>
          <w:sz w:val="20"/>
          <w:szCs w:val="20"/>
          <w:color w:val="auto"/>
        </w:rPr>
      </w:pPr>
      <w:r>
        <w:rPr>
          <w:rFonts w:ascii="Arial" w:cs="Arial" w:eastAsia="Arial" w:hAnsi="Arial"/>
          <w:sz w:val="16"/>
          <w:szCs w:val="16"/>
          <w:color w:val="auto"/>
        </w:rPr>
        <w:t>There were no transactions during fiscal 2019 in which any related party had a direct or indirect material interest. The Board has adopted written policies and procedures for the review and approval of transactions between us and certain “related parties,” which are generally considered to be our directors and executive officers, nominees for director, holders of five percent or more of our outstanding capital stock and members of their immediate families. The Board has delegated to the Corporate Governance and Ethics Committee the authority to review and approve the material terms of any proposed related party transaction. If a proposed related party transaction involves a non-employee director or nominee for election as a director and may be material to a consideration of that person’s independence, the matter is also considered by the Chair of the Board and the Chair of the Corporate Governance and Ethics Committee.</w:t>
      </w:r>
    </w:p>
    <w:p>
      <w:pPr>
        <w:spacing w:after="0" w:line="185" w:lineRule="exact"/>
        <w:rPr>
          <w:sz w:val="20"/>
          <w:szCs w:val="20"/>
          <w:color w:val="auto"/>
        </w:rPr>
      </w:pPr>
    </w:p>
    <w:p>
      <w:pPr>
        <w:ind w:left="440" w:right="40"/>
        <w:spacing w:after="0" w:line="235" w:lineRule="auto"/>
        <w:rPr>
          <w:sz w:val="20"/>
          <w:szCs w:val="20"/>
          <w:color w:val="auto"/>
        </w:rPr>
      </w:pPr>
      <w:r>
        <w:rPr>
          <w:rFonts w:ascii="Arial" w:cs="Arial" w:eastAsia="Arial" w:hAnsi="Arial"/>
          <w:sz w:val="17"/>
          <w:szCs w:val="17"/>
          <w:color w:val="auto"/>
        </w:rPr>
        <w:t>In determining whether to approve or ratify a related party transaction, the Corporate Governance and Ethics Committee considers, among other factors it deems appropriate, the potential benefits to us, the impact on a director’s or nominee’s independence or an executive officer’s relationship with or service to us, whether the related party transaction is on terms no less favorable than terms generally available to an unaffiliated third party under the same or similar circumstances and the extent of the related party’s interest in the transaction. In deciding to approve a transaction, the Committee may, in its sole discretion, impose such conditions as it deems appropriate on us or the related party. Any transactions involving the compensation of executive officers, however, are to be reviewed and approved by the Human Resources and Compensation Committee. If a related party transaction will be ongoing, the Corporate Governance and Ethics Committee may establish guidelines to be followed in our ongoing dealings with the related party. Thereafter, the Corporate Governance and Ethics Committee will review and assess ongoing relationships with the related party on at least an annual basis to determine whether they are in compliance with the Committee’s guidelines and that the related party transaction remains appropriate.</w:t>
      </w:r>
    </w:p>
    <w:p>
      <w:pPr>
        <w:spacing w:after="0" w:line="194" w:lineRule="exact"/>
        <w:rPr>
          <w:sz w:val="20"/>
          <w:szCs w:val="20"/>
          <w:color w:val="auto"/>
        </w:rPr>
      </w:pPr>
    </w:p>
    <w:p>
      <w:pPr>
        <w:ind w:left="440" w:right="60"/>
        <w:spacing w:after="0" w:line="239" w:lineRule="auto"/>
        <w:rPr>
          <w:sz w:val="20"/>
          <w:szCs w:val="20"/>
          <w:color w:val="auto"/>
        </w:rPr>
      </w:pPr>
      <w:r>
        <w:rPr>
          <w:rFonts w:ascii="Arial" w:cs="Arial" w:eastAsia="Arial" w:hAnsi="Arial"/>
          <w:sz w:val="17"/>
          <w:szCs w:val="17"/>
          <w:color w:val="auto"/>
        </w:rPr>
        <w:t>We engage in transactions and have relationships with many entities, including educational and professional organizations, in the ordinary course of our business. Some of our directors, executive officers or their immediate family members may be directors, officers, partners, employees or stockholders of these entities. We carry out transactions with these firms on customary terms.</w:t>
      </w:r>
    </w:p>
    <w:p>
      <w:pPr>
        <w:spacing w:after="0" w:line="112" w:lineRule="exact"/>
        <w:rPr>
          <w:sz w:val="20"/>
          <w:szCs w:val="20"/>
          <w:color w:val="auto"/>
        </w:rPr>
      </w:pPr>
    </w:p>
    <w:p>
      <w:pPr>
        <w:jc w:val="right"/>
        <w:ind w:right="20"/>
        <w:spacing w:after="0"/>
        <w:tabs>
          <w:tab w:leader="none" w:pos="380" w:val="left"/>
          <w:tab w:leader="none" w:pos="16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17</w:t>
      </w:r>
    </w:p>
    <w:p>
      <w:pPr>
        <w:sectPr>
          <w:pgSz w:w="11900" w:h="16838" w:orient="portrait"/>
          <w:cols w:equalWidth="0" w:num="1">
            <w:col w:w="10820"/>
          </w:cols>
          <w:pgMar w:left="320" w:top="441" w:right="75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Communications with the Board of Directors</w:t>
      </w:r>
    </w:p>
    <w:p>
      <w:pPr>
        <w:spacing w:after="0" w:line="218" w:lineRule="exact"/>
        <w:rPr>
          <w:sz w:val="20"/>
          <w:szCs w:val="20"/>
          <w:color w:val="auto"/>
        </w:rPr>
      </w:pPr>
    </w:p>
    <w:p>
      <w:pPr>
        <w:ind w:left="440" w:right="260"/>
        <w:spacing w:after="0" w:line="243" w:lineRule="auto"/>
        <w:rPr>
          <w:sz w:val="20"/>
          <w:szCs w:val="20"/>
          <w:color w:val="auto"/>
        </w:rPr>
      </w:pPr>
      <w:r>
        <w:rPr>
          <w:rFonts w:ascii="Arial" w:cs="Arial" w:eastAsia="Arial" w:hAnsi="Arial"/>
          <w:sz w:val="17"/>
          <w:szCs w:val="17"/>
          <w:color w:val="auto"/>
        </w:rPr>
        <w:t>Stockholders and other interested parties may communicate with the Board of Directors, the independent directors as a group or any of the independent directors, including Committee Chairs and the Lead Director, by using the following address: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Leidos Holdings, Inc.</w:t>
      </w:r>
    </w:p>
    <w:p>
      <w:pPr>
        <w:ind w:left="1260"/>
        <w:spacing w:after="0" w:line="234" w:lineRule="auto"/>
        <w:rPr>
          <w:sz w:val="20"/>
          <w:szCs w:val="20"/>
          <w:color w:val="auto"/>
        </w:rPr>
      </w:pPr>
      <w:r>
        <w:rPr>
          <w:rFonts w:ascii="Arial" w:cs="Arial" w:eastAsia="Arial" w:hAnsi="Arial"/>
          <w:sz w:val="17"/>
          <w:szCs w:val="17"/>
          <w:color w:val="auto"/>
        </w:rPr>
        <w:t>Office of the Corporate Secretary</w:t>
      </w:r>
    </w:p>
    <w:p>
      <w:pPr>
        <w:ind w:left="1260"/>
        <w:spacing w:after="0" w:line="234" w:lineRule="auto"/>
        <w:rPr>
          <w:sz w:val="20"/>
          <w:szCs w:val="20"/>
          <w:color w:val="auto"/>
        </w:rPr>
      </w:pPr>
      <w:r>
        <w:rPr>
          <w:rFonts w:ascii="Arial" w:cs="Arial" w:eastAsia="Arial" w:hAnsi="Arial"/>
          <w:sz w:val="17"/>
          <w:szCs w:val="17"/>
          <w:color w:val="auto"/>
        </w:rPr>
        <w:t>1750 Presidents Street</w:t>
      </w:r>
    </w:p>
    <w:p>
      <w:pPr>
        <w:ind w:left="1260"/>
        <w:spacing w:after="0"/>
        <w:rPr>
          <w:sz w:val="20"/>
          <w:szCs w:val="20"/>
          <w:color w:val="auto"/>
        </w:rPr>
      </w:pPr>
      <w:r>
        <w:rPr>
          <w:rFonts w:ascii="Arial" w:cs="Arial" w:eastAsia="Arial" w:hAnsi="Arial"/>
          <w:sz w:val="17"/>
          <w:szCs w:val="17"/>
          <w:color w:val="auto"/>
        </w:rPr>
        <w:t>Reston, Virginia 20190</w:t>
      </w:r>
    </w:p>
    <w:p>
      <w:pPr>
        <w:spacing w:after="0" w:line="198" w:lineRule="exact"/>
        <w:rPr>
          <w:sz w:val="20"/>
          <w:szCs w:val="20"/>
          <w:color w:val="auto"/>
        </w:rPr>
      </w:pPr>
    </w:p>
    <w:p>
      <w:pPr>
        <w:ind w:left="440"/>
        <w:spacing w:after="0" w:line="254" w:lineRule="auto"/>
        <w:rPr>
          <w:sz w:val="20"/>
          <w:szCs w:val="20"/>
          <w:color w:val="auto"/>
        </w:rPr>
      </w:pPr>
      <w:r>
        <w:rPr>
          <w:rFonts w:ascii="Arial" w:cs="Arial" w:eastAsia="Arial" w:hAnsi="Arial"/>
          <w:sz w:val="16"/>
          <w:szCs w:val="16"/>
          <w:color w:val="auto"/>
        </w:rPr>
        <w:t>Each communication should specify the intended recipient(s). The Office of the Corporate Secretary will initially process the communications, summarize lengthy or repetitive communications and forward them to the applicable member(s) of the Board as appropriate. Communications may also be referred to other departments within the company for action and resolution. The company will refrain from forwarding to the Board any communication that it determines to be primarily commercial in nature, mass mailings, resumes or job inquiries, any communication that relates to an improper or irrelevant topic, or that requests general information about the company.</w:t>
      </w:r>
    </w:p>
    <w:p>
      <w:pPr>
        <w:spacing w:after="0" w:line="104" w:lineRule="exact"/>
        <w:rPr>
          <w:sz w:val="20"/>
          <w:szCs w:val="20"/>
          <w:color w:val="auto"/>
        </w:r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18</w:t>
        <w:tab/>
        <w:t>|</w:t>
        <w:tab/>
        <w:t>2020 Proxy Statement</w:t>
      </w:r>
    </w:p>
    <w:p>
      <w:pPr>
        <w:sectPr>
          <w:pgSz w:w="11900" w:h="16838" w:orient="portrait"/>
          <w:cols w:equalWidth="0" w:num="1">
            <w:col w:w="10800"/>
          </w:cols>
          <w:pgMar w:left="320" w:top="441" w:right="77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Proposal 2 —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93" w:lineRule="exact"/>
        <w:rPr>
          <w:sz w:val="20"/>
          <w:szCs w:val="20"/>
          <w:color w:val="auto"/>
        </w:rPr>
      </w:pPr>
    </w:p>
    <w:p>
      <w:pPr>
        <w:ind w:left="440" w:right="500"/>
        <w:spacing w:after="0" w:line="273" w:lineRule="auto"/>
        <w:rPr>
          <w:sz w:val="20"/>
          <w:szCs w:val="20"/>
          <w:color w:val="auto"/>
        </w:rPr>
      </w:pPr>
      <w:r>
        <w:rPr>
          <w:rFonts w:ascii="Arial" w:cs="Arial" w:eastAsia="Arial" w:hAnsi="Arial"/>
          <w:sz w:val="16"/>
          <w:szCs w:val="16"/>
          <w:color w:val="auto"/>
        </w:rPr>
        <w:t>We are providing our stockholders with the opportunity to vote to approve, on a nonbinding, advisory basis, the compensation of our named executive officers as disclosed in this proxy statement in accordance with the compensation disclosure rules of the SEC.</w:t>
      </w:r>
    </w:p>
    <w:p>
      <w:pPr>
        <w:spacing w:after="0" w:line="166" w:lineRule="exact"/>
        <w:rPr>
          <w:sz w:val="20"/>
          <w:szCs w:val="20"/>
          <w:color w:val="auto"/>
        </w:rPr>
      </w:pPr>
    </w:p>
    <w:p>
      <w:pPr>
        <w:jc w:val="both"/>
        <w:ind w:left="440" w:right="340"/>
        <w:spacing w:after="0" w:line="239" w:lineRule="auto"/>
        <w:rPr>
          <w:sz w:val="20"/>
          <w:szCs w:val="20"/>
          <w:color w:val="auto"/>
        </w:rPr>
      </w:pPr>
      <w:r>
        <w:rPr>
          <w:rFonts w:ascii="Arial" w:cs="Arial" w:eastAsia="Arial" w:hAnsi="Arial"/>
          <w:sz w:val="17"/>
          <w:szCs w:val="17"/>
          <w:color w:val="auto"/>
        </w:rPr>
        <w:t>We urge stockholders to read our Compensation Discussion and Analysis (“CD&amp;A”), which describes in detail how we seek to closely align the interests of our named executive officers with the interests of our stockholders. As described in the CD&amp;A, our compensation programs are designed to:</w:t>
      </w:r>
    </w:p>
    <w:p>
      <w:pPr>
        <w:sectPr>
          <w:pgSz w:w="11900" w:h="16838" w:orient="portrait"/>
          <w:cols w:equalWidth="0" w:num="1">
            <w:col w:w="10800"/>
          </w:cols>
          <w:pgMar w:left="320" w:top="441" w:right="779" w:bottom="1440" w:gutter="0" w:footer="0" w:header="0"/>
        </w:sectPr>
      </w:pPr>
    </w:p>
    <w:p>
      <w:pPr>
        <w:spacing w:after="0" w:line="109"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pay for performance by tying a substantial majority of an executive’s compensation to the achievement of financial and other performance measures that the Board believes promote the creation of long-term stockholder value and position the company for long-term success;</w:t>
      </w:r>
    </w:p>
    <w:p>
      <w:pPr>
        <w:spacing w:after="0" w:line="102" w:lineRule="exact"/>
        <w:rPr>
          <w:sz w:val="20"/>
          <w:szCs w:val="20"/>
          <w:color w:val="auto"/>
        </w:rPr>
      </w:pPr>
    </w:p>
    <w:p>
      <w:pPr>
        <w:sectPr>
          <w:pgSz w:w="11900" w:h="16838" w:orient="portrait"/>
          <w:cols w:equalWidth="0" w:num="2">
            <w:col w:w="680" w:space="360"/>
            <w:col w:w="9760"/>
          </w:cols>
          <w:pgMar w:left="320" w:top="441" w:right="779" w:bottom="1440" w:gutter="0" w:footer="0" w:header="0"/>
          <w:type w:val="continuous"/>
        </w:sectPr>
      </w:pPr>
    </w:p>
    <w:p>
      <w:pPr>
        <w:spacing w:after="0" w:line="7"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target total direct compensation at approximately the median among companies with which we compete for executive talent;</w:t>
      </w:r>
    </w:p>
    <w:p>
      <w:pPr>
        <w:spacing w:after="0" w:line="109"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enable us to recover, or “clawback,” incentive compensation if there is any material restatement of our financial results or if an executive is involved in misconduct;</w:t>
      </w:r>
    </w:p>
    <w:p>
      <w:pPr>
        <w:spacing w:after="0" w:line="100" w:lineRule="exact"/>
        <w:rPr>
          <w:sz w:val="20"/>
          <w:szCs w:val="20"/>
          <w:color w:val="auto"/>
        </w:rPr>
      </w:pPr>
    </w:p>
    <w:p>
      <w:pPr>
        <w:sectPr>
          <w:pgSz w:w="11900" w:h="16838" w:orient="portrait"/>
          <w:cols w:equalWidth="0" w:num="2">
            <w:col w:w="680" w:space="360"/>
            <w:col w:w="9760"/>
          </w:cols>
          <w:pgMar w:left="320" w:top="441" w:right="779" w:bottom="1440" w:gutter="0" w:footer="0" w:header="0"/>
          <w:type w:val="continuous"/>
        </w:sectPr>
      </w:pPr>
    </w:p>
    <w:p>
      <w:pPr>
        <w:spacing w:after="0" w:line="6"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require our executives to own a significant amount of our stock;</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avoid incentives that encourage unnecessary or excessive risk-taking; and</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compete effectively for talented executives who will contribute to our long-term success.</w:t>
      </w:r>
    </w:p>
    <w:p>
      <w:pPr>
        <w:spacing w:after="0" w:line="108" w:lineRule="exact"/>
        <w:rPr>
          <w:sz w:val="20"/>
          <w:szCs w:val="20"/>
          <w:color w:val="auto"/>
        </w:rPr>
      </w:pPr>
    </w:p>
    <w:p>
      <w:pPr>
        <w:sectPr>
          <w:pgSz w:w="11900" w:h="16838" w:orient="portrait"/>
          <w:cols w:equalWidth="0" w:num="2">
            <w:col w:w="680" w:space="360"/>
            <w:col w:w="9760"/>
          </w:cols>
          <w:pgMar w:left="320" w:top="441" w:right="779" w:bottom="1440" w:gutter="0" w:footer="0" w:header="0"/>
          <w:type w:val="continuous"/>
        </w:sectPr>
      </w:pPr>
    </w:p>
    <w:p>
      <w:pPr>
        <w:ind w:left="440" w:right="180"/>
        <w:spacing w:after="0" w:line="237" w:lineRule="auto"/>
        <w:rPr>
          <w:sz w:val="20"/>
          <w:szCs w:val="20"/>
          <w:color w:val="auto"/>
        </w:rPr>
      </w:pPr>
      <w:r>
        <w:rPr>
          <w:rFonts w:ascii="Arial" w:cs="Arial" w:eastAsia="Arial" w:hAnsi="Arial"/>
          <w:sz w:val="17"/>
          <w:szCs w:val="17"/>
          <w:color w:val="auto"/>
        </w:rPr>
        <w:t>The Human Resources and Compensation Committee of the Board believes that these programs and policies are effective in implementing our pay for performance philosophy and achieving its goals. This advisory stockholder vote, commonly known as “Say-on-Pay,” gives you, as a stockholder, the opportunity to advise whether or not you approve of our executive compensation program and policies by voting on the following resolution:</w:t>
      </w:r>
    </w:p>
    <w:p>
      <w:pPr>
        <w:spacing w:after="0" w:line="92" w:lineRule="exact"/>
        <w:rPr>
          <w:sz w:val="20"/>
          <w:szCs w:val="20"/>
          <w:color w:val="auto"/>
        </w:rPr>
      </w:pPr>
    </w:p>
    <w:p>
      <w:pPr>
        <w:ind w:left="1260" w:right="200"/>
        <w:spacing w:after="0" w:line="239" w:lineRule="auto"/>
        <w:rPr>
          <w:sz w:val="20"/>
          <w:szCs w:val="20"/>
          <w:color w:val="auto"/>
        </w:rPr>
      </w:pPr>
      <w:r>
        <w:rPr>
          <w:rFonts w:ascii="Arial" w:cs="Arial" w:eastAsia="Arial" w:hAnsi="Arial"/>
          <w:sz w:val="17"/>
          <w:szCs w:val="17"/>
          <w:color w:val="auto"/>
        </w:rPr>
        <w:t>RESOLVED, that the stockholders approve, on a non-binding, advisory basis, the compensation of the named executive officers, as disclosed in this Proxy Statement pursuant to the compensation disclosure rules of the SEC, including the CD&amp;A, compensation tables and narrative discussion contained in the “Executive Compensation” section.</w:t>
      </w:r>
    </w:p>
    <w:p>
      <w:pPr>
        <w:spacing w:after="0" w:line="89" w:lineRule="exact"/>
        <w:rPr>
          <w:sz w:val="20"/>
          <w:szCs w:val="20"/>
          <w:color w:val="auto"/>
        </w:rPr>
      </w:pPr>
    </w:p>
    <w:p>
      <w:pPr>
        <w:ind w:left="440" w:right="160"/>
        <w:spacing w:after="0" w:line="253" w:lineRule="auto"/>
        <w:rPr>
          <w:sz w:val="20"/>
          <w:szCs w:val="20"/>
          <w:color w:val="auto"/>
        </w:rPr>
      </w:pPr>
      <w:r>
        <w:rPr>
          <w:rFonts w:ascii="Arial" w:cs="Arial" w:eastAsia="Arial" w:hAnsi="Arial"/>
          <w:sz w:val="16"/>
          <w:szCs w:val="16"/>
          <w:color w:val="auto"/>
        </w:rPr>
        <w:t>The vote on this resolution is not intended to address any specific element of compensation; rather, the vote relates to the compensation of our named executive officers, as described in the CD&amp;A and Executive Compensation sections of this proxy statement in accordance with the compensation disclosure rules of the SEC. The vote is advisory, which means that the vote is not binding on the company, our Board or the Human Resources and Compensation Committee of the Board. Our Board values the opinions of our stockholders. To the extent there is any significant vote against our named executive officer compensation as disclosed in this proxy statement, the Human Resources and Compensation Committee will evaluate whether any actions are necessary to address the concerns of stockholders.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Vote Required</w:t>
      </w:r>
    </w:p>
    <w:p>
      <w:pPr>
        <w:spacing w:after="0" w:line="218" w:lineRule="exact"/>
        <w:rPr>
          <w:sz w:val="20"/>
          <w:szCs w:val="20"/>
          <w:color w:val="auto"/>
        </w:rPr>
      </w:pPr>
    </w:p>
    <w:p>
      <w:pPr>
        <w:ind w:left="440" w:right="300"/>
        <w:spacing w:after="0" w:line="239" w:lineRule="auto"/>
        <w:rPr>
          <w:sz w:val="20"/>
          <w:szCs w:val="20"/>
          <w:color w:val="auto"/>
        </w:rPr>
      </w:pPr>
      <w:r>
        <w:rPr>
          <w:rFonts w:ascii="Arial" w:cs="Arial" w:eastAsia="Arial" w:hAnsi="Arial"/>
          <w:sz w:val="17"/>
          <w:szCs w:val="17"/>
          <w:color w:val="auto"/>
        </w:rPr>
        <w:t>The affirmative vote of a majority of the shares present or represented either in person or by proxy and entitled to vote is required to approve this proposal. Abstentions and broker non-votes will not be counted in evaluating the results of the vote. This advisory vote on executive compensation is non-binding on the Board.</w:t>
      </w:r>
    </w:p>
    <w:p>
      <w:pPr>
        <w:spacing w:after="0" w:line="191" w:lineRule="exact"/>
        <w:rPr>
          <w:sz w:val="20"/>
          <w:szCs w:val="20"/>
          <w:color w:val="auto"/>
        </w:rPr>
      </w:pPr>
    </w:p>
    <w:p>
      <w:pPr>
        <w:ind w:left="440" w:right="440"/>
        <w:spacing w:after="0" w:line="243" w:lineRule="auto"/>
        <w:rPr>
          <w:sz w:val="20"/>
          <w:szCs w:val="20"/>
          <w:color w:val="auto"/>
        </w:rPr>
      </w:pPr>
      <w:r>
        <w:rPr>
          <w:rFonts w:ascii="Arial" w:cs="Arial" w:eastAsia="Arial" w:hAnsi="Arial"/>
          <w:sz w:val="17"/>
          <w:szCs w:val="17"/>
          <w:color w:val="auto"/>
        </w:rPr>
        <w:t>Shares of common stock represented by properly executed, timely received and unrevoked proxies will be voted as instructed. In the absence of specific instructions, properly executed, timely received and unrevoked proxies will be voted “FOR” the proposal.</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Recommendation of the Board of Directors</w:t>
      </w:r>
    </w:p>
    <w:p>
      <w:pPr>
        <w:spacing w:after="0" w:line="198" w:lineRule="exact"/>
        <w:rPr>
          <w:sz w:val="20"/>
          <w:szCs w:val="20"/>
          <w:color w:val="auto"/>
        </w:rPr>
      </w:pPr>
    </w:p>
    <w:p>
      <w:pPr>
        <w:ind w:left="440"/>
        <w:spacing w:after="0" w:line="268" w:lineRule="auto"/>
        <w:rPr>
          <w:sz w:val="20"/>
          <w:szCs w:val="20"/>
          <w:color w:val="auto"/>
        </w:rPr>
      </w:pPr>
      <w:r>
        <w:rPr>
          <w:rFonts w:ascii="Arial" w:cs="Arial" w:eastAsia="Arial" w:hAnsi="Arial"/>
          <w:sz w:val="17"/>
          <w:szCs w:val="17"/>
          <w:b w:val="1"/>
          <w:bCs w:val="1"/>
          <w:i w:val="1"/>
          <w:iCs w:val="1"/>
          <w:color w:val="483E65"/>
        </w:rPr>
        <w:t>The Board of Directors unanimously recommends a vote FOR the approval of the compensation of our named executive officers, as disclosed in this proxy statement</w:t>
      </w:r>
      <w:r>
        <w:rPr>
          <w:rFonts w:ascii="Arial" w:cs="Arial" w:eastAsia="Arial" w:hAnsi="Arial"/>
          <w:sz w:val="17"/>
          <w:szCs w:val="17"/>
          <w:i w:val="1"/>
          <w:iCs w:val="1"/>
          <w:color w:val="483E65"/>
        </w:rPr>
        <w:t>.</w:t>
      </w:r>
    </w:p>
    <w:p>
      <w:pPr>
        <w:spacing w:after="0" w:line="89"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19</w:t>
      </w:r>
    </w:p>
    <w:p>
      <w:pPr>
        <w:sectPr>
          <w:pgSz w:w="11900" w:h="16838" w:orient="portrait"/>
          <w:cols w:equalWidth="0" w:num="1">
            <w:col w:w="10800"/>
          </w:cols>
          <w:pgMar w:left="320" w:top="441" w:right="779" w:bottom="1440" w:gutter="0" w:footer="0" w:header="0"/>
          <w:type w:val="continuous"/>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93" w:lineRule="exact"/>
        <w:rPr>
          <w:sz w:val="20"/>
          <w:szCs w:val="20"/>
          <w:color w:val="auto"/>
        </w:rPr>
      </w:pPr>
    </w:p>
    <w:p>
      <w:pPr>
        <w:ind w:left="440" w:right="280"/>
        <w:spacing w:after="0" w:line="239" w:lineRule="auto"/>
        <w:rPr>
          <w:sz w:val="20"/>
          <w:szCs w:val="20"/>
          <w:color w:val="auto"/>
        </w:rPr>
      </w:pPr>
      <w:r>
        <w:rPr>
          <w:rFonts w:ascii="Arial" w:cs="Arial" w:eastAsia="Arial" w:hAnsi="Arial"/>
          <w:sz w:val="17"/>
          <w:szCs w:val="17"/>
          <w:color w:val="auto"/>
        </w:rPr>
        <w:t>This Compensation Discussion and Analysis, or CD&amp;A, and the tables and narrative that follow provide important information about our executive compensation programs for the prior fiscal year. In this proxy statement, the term “named executive officers” refers to the following executive officers:</w:t>
      </w:r>
    </w:p>
    <w:p>
      <w:pPr>
        <w:sectPr>
          <w:pgSz w:w="11900" w:h="16838" w:orient="portrait"/>
          <w:cols w:equalWidth="0" w:num="1">
            <w:col w:w="10820"/>
          </w:cols>
          <w:pgMar w:left="320" w:top="441" w:right="759" w:bottom="1440" w:gutter="0" w:footer="0" w:header="0"/>
        </w:sectPr>
      </w:pPr>
    </w:p>
    <w:p>
      <w:pPr>
        <w:spacing w:after="0" w:line="109"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Roger A. Krone—Chairman and Chief Executive Officer</w:t>
      </w:r>
    </w:p>
    <w:p>
      <w:pPr>
        <w:spacing w:after="0" w:line="109" w:lineRule="exact"/>
        <w:rPr>
          <w:sz w:val="20"/>
          <w:szCs w:val="20"/>
          <w:color w:val="auto"/>
        </w:rPr>
      </w:pPr>
    </w:p>
    <w:p>
      <w:pPr>
        <w:ind w:right="4340"/>
        <w:spacing w:after="0" w:line="374" w:lineRule="auto"/>
        <w:rPr>
          <w:sz w:val="20"/>
          <w:szCs w:val="20"/>
          <w:color w:val="auto"/>
        </w:rPr>
      </w:pPr>
      <w:r>
        <w:rPr>
          <w:rFonts w:ascii="Arial" w:cs="Arial" w:eastAsia="Arial" w:hAnsi="Arial"/>
          <w:sz w:val="17"/>
          <w:szCs w:val="17"/>
          <w:color w:val="auto"/>
        </w:rPr>
        <w:t>James C. Reagan—Executive Vice President and Chief Financial Officer Jonathan W. Scholl—President, Health Group</w:t>
      </w:r>
    </w:p>
    <w:p>
      <w:pPr>
        <w:spacing w:after="0" w:line="1" w:lineRule="exact"/>
        <w:rPr>
          <w:sz w:val="20"/>
          <w:szCs w:val="20"/>
          <w:color w:val="auto"/>
        </w:rPr>
      </w:pPr>
    </w:p>
    <w:p>
      <w:pPr>
        <w:ind w:right="4660"/>
        <w:spacing w:after="0" w:line="379" w:lineRule="auto"/>
        <w:rPr>
          <w:sz w:val="20"/>
          <w:szCs w:val="20"/>
          <w:color w:val="auto"/>
        </w:rPr>
      </w:pPr>
      <w:r>
        <w:rPr>
          <w:rFonts w:ascii="Arial" w:cs="Arial" w:eastAsia="Arial" w:hAnsi="Arial"/>
          <w:sz w:val="17"/>
          <w:szCs w:val="17"/>
          <w:color w:val="auto"/>
        </w:rPr>
        <w:t>Jerald S. Howe, Jr.—Executive Vice President and General Counsel Gerard A. Fasano—President, Defense Group Angela L. Heise—Former President, Civil Group</w:t>
      </w:r>
    </w:p>
    <w:p>
      <w:pPr>
        <w:spacing w:after="0" w:line="78" w:lineRule="exact"/>
        <w:rPr>
          <w:sz w:val="20"/>
          <w:szCs w:val="20"/>
          <w:color w:val="auto"/>
        </w:rPr>
      </w:pPr>
    </w:p>
    <w:p>
      <w:pPr>
        <w:sectPr>
          <w:pgSz w:w="11900" w:h="16838" w:orient="portrait"/>
          <w:cols w:equalWidth="0" w:num="2">
            <w:col w:w="680" w:space="360"/>
            <w:col w:w="9780"/>
          </w:cols>
          <w:pgMar w:left="320" w:top="441" w:right="759" w:bottom="1440" w:gutter="0" w:footer="0" w:header="0"/>
          <w:type w:val="continuous"/>
        </w:sectPr>
      </w:pPr>
    </w:p>
    <w:p>
      <w:pPr>
        <w:ind w:left="440" w:right="140"/>
        <w:spacing w:after="0" w:line="236" w:lineRule="auto"/>
        <w:rPr>
          <w:sz w:val="20"/>
          <w:szCs w:val="20"/>
          <w:color w:val="auto"/>
        </w:rPr>
      </w:pPr>
      <w:r>
        <w:rPr>
          <w:rFonts w:ascii="Arial" w:cs="Arial" w:eastAsia="Arial" w:hAnsi="Arial"/>
          <w:sz w:val="17"/>
          <w:szCs w:val="17"/>
          <w:color w:val="auto"/>
        </w:rPr>
        <w:t>In this CD&amp;A, the “Committee” refers to the Human Resources and Compensation Committee of the Board of Directors, which is responsible for overseeing the compensation programs for all of our executives. For purposes of this CD&amp;A, the narrative as well as the tables, charts, and other graphics focus on the “active” named executive officers as of the end of the fiscal year. The tabular disclosures following this CD&amp;A provide data on all of our named executive officers—current and former. The benefits provided to Ms. Heise upon termination under the Executive Severance Plan are discussed in the section titled “Potential Payments upon Termination or a Change in Control.” Mr. Scholl intends to cease his employment with us on March 27, 2020.</w:t>
      </w:r>
    </w:p>
    <w:p>
      <w:pPr>
        <w:spacing w:after="0" w:line="194" w:lineRule="exact"/>
        <w:rPr>
          <w:sz w:val="20"/>
          <w:szCs w:val="20"/>
          <w:color w:val="auto"/>
        </w:rPr>
      </w:pPr>
    </w:p>
    <w:p>
      <w:pPr>
        <w:ind w:left="440" w:right="200"/>
        <w:spacing w:after="0" w:line="237" w:lineRule="auto"/>
        <w:rPr>
          <w:sz w:val="20"/>
          <w:szCs w:val="20"/>
          <w:color w:val="auto"/>
        </w:rPr>
      </w:pPr>
      <w:r>
        <w:rPr>
          <w:rFonts w:ascii="Arial" w:cs="Arial" w:eastAsia="Arial" w:hAnsi="Arial"/>
          <w:sz w:val="17"/>
          <w:szCs w:val="17"/>
          <w:color w:val="auto"/>
        </w:rPr>
        <w:t>Our executive compensation programs are designed to align the interests of senior management with stockholders by tying a significant portion of their potential compensation to the achievement of challenging financial performance goals, which include adjusted operating income, total backlog, free cash flow, revenue and relative total shareholder return. A small portion is also contingent on personal and leadership goals. We believe these factors contribute to a top-tier workplace environment, improve our efficiency and effectiveness, help us to win key business opportunities and ultimately drive long-term value for stockholders.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Pay at a Glance</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elements of our executive compensation program for 2019:</w:t>
      </w:r>
    </w:p>
    <w:p>
      <w:pPr>
        <w:spacing w:after="0" w:line="293" w:lineRule="exact"/>
        <w:rPr>
          <w:sz w:val="20"/>
          <w:szCs w:val="20"/>
          <w:color w:val="auto"/>
        </w:rPr>
      </w:pPr>
    </w:p>
    <w:tbl>
      <w:tblPr>
        <w:tblLayout w:type="fixed"/>
        <w:tblInd w:w="440" w:type="dxa"/>
        <w:tblCellMar>
          <w:top w:w="0" w:type="dxa"/>
          <w:left w:w="0" w:type="dxa"/>
          <w:bottom w:w="0" w:type="dxa"/>
          <w:right w:w="0" w:type="dxa"/>
        </w:tblCellMar>
      </w:tblPr>
      <w:tr>
        <w:trPr>
          <w:trHeight w:val="199"/>
        </w:trPr>
        <w:tc>
          <w:tcPr>
            <w:tcW w:w="1560" w:type="dxa"/>
            <w:vAlign w:val="bottom"/>
            <w:tcBorders>
              <w:bottom w:val="single" w:sz="8" w:color="483E65"/>
            </w:tcBorders>
          </w:tcPr>
          <w:p>
            <w:pPr>
              <w:ind w:left="40"/>
              <w:spacing w:after="0"/>
              <w:rPr>
                <w:sz w:val="20"/>
                <w:szCs w:val="20"/>
                <w:color w:val="auto"/>
              </w:rPr>
            </w:pPr>
            <w:r>
              <w:rPr>
                <w:rFonts w:ascii="Arial" w:cs="Arial" w:eastAsia="Arial" w:hAnsi="Arial"/>
                <w:sz w:val="14"/>
                <w:szCs w:val="14"/>
                <w:color w:val="483E65"/>
              </w:rPr>
              <w:t>Pay Element</w:t>
            </w:r>
          </w:p>
        </w:tc>
        <w:tc>
          <w:tcPr>
            <w:tcW w:w="3960" w:type="dxa"/>
            <w:vAlign w:val="bottom"/>
            <w:tcBorders>
              <w:bottom w:val="single" w:sz="8" w:color="483E65"/>
            </w:tcBorders>
          </w:tcPr>
          <w:p>
            <w:pPr>
              <w:ind w:left="1420"/>
              <w:spacing w:after="0"/>
              <w:rPr>
                <w:sz w:val="20"/>
                <w:szCs w:val="20"/>
                <w:color w:val="auto"/>
              </w:rPr>
            </w:pPr>
            <w:r>
              <w:rPr>
                <w:rFonts w:ascii="Arial" w:cs="Arial" w:eastAsia="Arial" w:hAnsi="Arial"/>
                <w:sz w:val="14"/>
                <w:szCs w:val="14"/>
                <w:color w:val="483E65"/>
              </w:rPr>
              <w:t>Description and Purpose</w:t>
            </w:r>
          </w:p>
        </w:tc>
        <w:tc>
          <w:tcPr>
            <w:tcW w:w="1220" w:type="dxa"/>
            <w:vAlign w:val="bottom"/>
            <w:tcBorders>
              <w:bottom w:val="single" w:sz="8" w:color="483E65"/>
            </w:tcBorders>
          </w:tcPr>
          <w:p>
            <w:pPr>
              <w:jc w:val="center"/>
              <w:spacing w:after="0"/>
              <w:rPr>
                <w:sz w:val="20"/>
                <w:szCs w:val="20"/>
                <w:color w:val="auto"/>
              </w:rPr>
            </w:pPr>
            <w:r>
              <w:rPr>
                <w:rFonts w:ascii="Arial" w:cs="Arial" w:eastAsia="Arial" w:hAnsi="Arial"/>
                <w:sz w:val="14"/>
                <w:szCs w:val="14"/>
                <w:color w:val="483E65"/>
                <w:w w:val="98"/>
              </w:rPr>
              <w:t>Time Period</w:t>
            </w:r>
          </w:p>
        </w:tc>
        <w:tc>
          <w:tcPr>
            <w:tcW w:w="3640" w:type="dxa"/>
            <w:vAlign w:val="bottom"/>
            <w:tcBorders>
              <w:bottom w:val="single" w:sz="8" w:color="483E65"/>
            </w:tcBorders>
          </w:tcPr>
          <w:p>
            <w:pPr>
              <w:jc w:val="center"/>
              <w:spacing w:after="0"/>
              <w:rPr>
                <w:sz w:val="20"/>
                <w:szCs w:val="20"/>
                <w:color w:val="auto"/>
              </w:rPr>
            </w:pPr>
            <w:r>
              <w:rPr>
                <w:rFonts w:ascii="Arial" w:cs="Arial" w:eastAsia="Arial" w:hAnsi="Arial"/>
                <w:sz w:val="14"/>
                <w:szCs w:val="14"/>
                <w:color w:val="483E65"/>
                <w:w w:val="97"/>
              </w:rPr>
              <w:t>Metrics</w:t>
            </w:r>
          </w:p>
        </w:tc>
      </w:tr>
      <w:tr>
        <w:trPr>
          <w:trHeight w:val="182"/>
        </w:trPr>
        <w:tc>
          <w:tcPr>
            <w:tcW w:w="1560" w:type="dxa"/>
            <w:vAlign w:val="bottom"/>
          </w:tcPr>
          <w:p>
            <w:pPr>
              <w:ind w:left="40"/>
              <w:spacing w:after="0" w:line="183" w:lineRule="exact"/>
              <w:rPr>
                <w:sz w:val="20"/>
                <w:szCs w:val="20"/>
                <w:color w:val="auto"/>
              </w:rPr>
            </w:pPr>
            <w:r>
              <w:rPr>
                <w:rFonts w:ascii="Arial" w:cs="Arial" w:eastAsia="Arial" w:hAnsi="Arial"/>
                <w:sz w:val="17"/>
                <w:szCs w:val="17"/>
                <w:b w:val="1"/>
                <w:bCs w:val="1"/>
                <w:color w:val="auto"/>
              </w:rPr>
              <w:t>Base Salary</w:t>
            </w:r>
          </w:p>
        </w:tc>
        <w:tc>
          <w:tcPr>
            <w:tcW w:w="3960" w:type="dxa"/>
            <w:vAlign w:val="bottom"/>
          </w:tcPr>
          <w:p>
            <w:pPr>
              <w:ind w:left="560"/>
              <w:spacing w:after="0" w:line="183" w:lineRule="exact"/>
              <w:rPr>
                <w:sz w:val="20"/>
                <w:szCs w:val="20"/>
                <w:color w:val="auto"/>
              </w:rPr>
            </w:pPr>
            <w:r>
              <w:rPr>
                <w:rFonts w:ascii="Arial" w:cs="Arial" w:eastAsia="Arial" w:hAnsi="Arial"/>
                <w:sz w:val="9"/>
                <w:szCs w:val="9"/>
                <w:color w:val="77387A"/>
                <w:w w:val="99"/>
              </w:rPr>
              <w:t>u</w:t>
            </w:r>
            <w:r>
              <w:rPr>
                <w:rFonts w:ascii="Arial" w:cs="Arial" w:eastAsia="Arial" w:hAnsi="Arial"/>
                <w:sz w:val="17"/>
                <w:szCs w:val="17"/>
                <w:color w:val="auto"/>
                <w:w w:val="99"/>
              </w:rPr>
              <w:t>Fixed cash compensation recognizing</w:t>
            </w:r>
          </w:p>
        </w:tc>
        <w:tc>
          <w:tcPr>
            <w:tcW w:w="1220" w:type="dxa"/>
            <w:vAlign w:val="bottom"/>
          </w:tcPr>
          <w:p>
            <w:pPr>
              <w:jc w:val="center"/>
              <w:spacing w:after="0" w:line="183" w:lineRule="exact"/>
              <w:rPr>
                <w:sz w:val="20"/>
                <w:szCs w:val="20"/>
                <w:color w:val="auto"/>
              </w:rPr>
            </w:pPr>
            <w:r>
              <w:rPr>
                <w:rFonts w:ascii="Arial" w:cs="Arial" w:eastAsia="Arial" w:hAnsi="Arial"/>
                <w:sz w:val="17"/>
                <w:szCs w:val="17"/>
                <w:color w:val="auto"/>
              </w:rPr>
              <w:t>Current pay</w:t>
            </w:r>
          </w:p>
        </w:tc>
        <w:tc>
          <w:tcPr>
            <w:tcW w:w="3640" w:type="dxa"/>
            <w:vAlign w:val="bottom"/>
          </w:tcPr>
          <w:p>
            <w:pPr>
              <w:jc w:val="center"/>
              <w:spacing w:after="0" w:line="183" w:lineRule="exact"/>
              <w:rPr>
                <w:sz w:val="20"/>
                <w:szCs w:val="20"/>
                <w:color w:val="auto"/>
              </w:rPr>
            </w:pPr>
            <w:r>
              <w:rPr>
                <w:rFonts w:ascii="Arial" w:cs="Arial" w:eastAsia="Arial" w:hAnsi="Arial"/>
                <w:sz w:val="9"/>
                <w:szCs w:val="9"/>
                <w:color w:val="77387A"/>
                <w:w w:val="99"/>
              </w:rPr>
              <w:t>u</w:t>
            </w:r>
            <w:r>
              <w:rPr>
                <w:rFonts w:ascii="Arial" w:cs="Arial" w:eastAsia="Arial" w:hAnsi="Arial"/>
                <w:sz w:val="17"/>
                <w:szCs w:val="17"/>
                <w:color w:val="auto"/>
                <w:w w:val="99"/>
              </w:rPr>
              <w:t>Pay aligned to experience and job scope,</w:t>
            </w:r>
          </w:p>
        </w:tc>
      </w:tr>
      <w:tr>
        <w:trPr>
          <w:trHeight w:val="191"/>
        </w:trPr>
        <w:tc>
          <w:tcPr>
            <w:tcW w:w="1560" w:type="dxa"/>
            <w:vAlign w:val="bottom"/>
          </w:tcPr>
          <w:p>
            <w:pPr>
              <w:spacing w:after="0"/>
              <w:rPr>
                <w:sz w:val="16"/>
                <w:szCs w:val="16"/>
                <w:color w:val="auto"/>
              </w:rPr>
            </w:pPr>
          </w:p>
        </w:tc>
        <w:tc>
          <w:tcPr>
            <w:tcW w:w="3960" w:type="dxa"/>
            <w:vAlign w:val="bottom"/>
          </w:tcPr>
          <w:p>
            <w:pPr>
              <w:ind w:left="860"/>
              <w:spacing w:after="0" w:line="191" w:lineRule="exact"/>
              <w:rPr>
                <w:sz w:val="20"/>
                <w:szCs w:val="20"/>
                <w:color w:val="auto"/>
              </w:rPr>
            </w:pPr>
            <w:r>
              <w:rPr>
                <w:rFonts w:ascii="Arial" w:cs="Arial" w:eastAsia="Arial" w:hAnsi="Arial"/>
                <w:sz w:val="17"/>
                <w:szCs w:val="17"/>
                <w:color w:val="auto"/>
              </w:rPr>
              <w:t>individual performance, time in role,</w:t>
            </w:r>
          </w:p>
        </w:tc>
        <w:tc>
          <w:tcPr>
            <w:tcW w:w="1220" w:type="dxa"/>
            <w:vAlign w:val="bottom"/>
          </w:tcPr>
          <w:p>
            <w:pPr>
              <w:spacing w:after="0"/>
              <w:rPr>
                <w:sz w:val="16"/>
                <w:szCs w:val="16"/>
                <w:color w:val="auto"/>
              </w:rPr>
            </w:pPr>
          </w:p>
        </w:tc>
        <w:tc>
          <w:tcPr>
            <w:tcW w:w="3640" w:type="dxa"/>
            <w:vAlign w:val="bottom"/>
          </w:tcPr>
          <w:p>
            <w:pPr>
              <w:ind w:left="460"/>
              <w:spacing w:after="0" w:line="191" w:lineRule="exact"/>
              <w:rPr>
                <w:sz w:val="20"/>
                <w:szCs w:val="20"/>
                <w:color w:val="auto"/>
              </w:rPr>
            </w:pPr>
            <w:r>
              <w:rPr>
                <w:rFonts w:ascii="Arial" w:cs="Arial" w:eastAsia="Arial" w:hAnsi="Arial"/>
                <w:sz w:val="17"/>
                <w:szCs w:val="17"/>
                <w:color w:val="auto"/>
              </w:rPr>
              <w:t>generally targeted to median of applicable</w:t>
            </w:r>
          </w:p>
        </w:tc>
      </w:tr>
      <w:tr>
        <w:trPr>
          <w:trHeight w:val="191"/>
        </w:trPr>
        <w:tc>
          <w:tcPr>
            <w:tcW w:w="1560" w:type="dxa"/>
            <w:vAlign w:val="bottom"/>
          </w:tcPr>
          <w:p>
            <w:pPr>
              <w:spacing w:after="0"/>
              <w:rPr>
                <w:sz w:val="16"/>
                <w:szCs w:val="16"/>
                <w:color w:val="auto"/>
              </w:rPr>
            </w:pPr>
          </w:p>
        </w:tc>
        <w:tc>
          <w:tcPr>
            <w:tcW w:w="3960" w:type="dxa"/>
            <w:vAlign w:val="bottom"/>
          </w:tcPr>
          <w:p>
            <w:pPr>
              <w:ind w:left="860"/>
              <w:spacing w:after="0" w:line="191" w:lineRule="exact"/>
              <w:rPr>
                <w:sz w:val="20"/>
                <w:szCs w:val="20"/>
                <w:color w:val="auto"/>
              </w:rPr>
            </w:pPr>
            <w:r>
              <w:rPr>
                <w:rFonts w:ascii="Arial" w:cs="Arial" w:eastAsia="Arial" w:hAnsi="Arial"/>
                <w:sz w:val="17"/>
                <w:szCs w:val="17"/>
                <w:color w:val="auto"/>
              </w:rPr>
              <w:t>scope of responsibility, leadership skills</w:t>
            </w:r>
          </w:p>
        </w:tc>
        <w:tc>
          <w:tcPr>
            <w:tcW w:w="1220" w:type="dxa"/>
            <w:vAlign w:val="bottom"/>
          </w:tcPr>
          <w:p>
            <w:pPr>
              <w:spacing w:after="0"/>
              <w:rPr>
                <w:sz w:val="16"/>
                <w:szCs w:val="16"/>
                <w:color w:val="auto"/>
              </w:rPr>
            </w:pPr>
          </w:p>
        </w:tc>
        <w:tc>
          <w:tcPr>
            <w:tcW w:w="3640" w:type="dxa"/>
            <w:vAlign w:val="bottom"/>
          </w:tcPr>
          <w:p>
            <w:pPr>
              <w:ind w:left="460"/>
              <w:spacing w:after="0" w:line="191" w:lineRule="exact"/>
              <w:rPr>
                <w:sz w:val="20"/>
                <w:szCs w:val="20"/>
                <w:color w:val="auto"/>
              </w:rPr>
            </w:pPr>
            <w:r>
              <w:rPr>
                <w:rFonts w:ascii="Arial" w:cs="Arial" w:eastAsia="Arial" w:hAnsi="Arial"/>
                <w:sz w:val="17"/>
                <w:szCs w:val="17"/>
                <w:color w:val="auto"/>
              </w:rPr>
              <w:t>market data</w:t>
            </w:r>
          </w:p>
        </w:tc>
      </w:tr>
      <w:tr>
        <w:trPr>
          <w:trHeight w:val="203"/>
        </w:trPr>
        <w:tc>
          <w:tcPr>
            <w:tcW w:w="1560" w:type="dxa"/>
            <w:vAlign w:val="bottom"/>
          </w:tcPr>
          <w:p>
            <w:pPr>
              <w:spacing w:after="0"/>
              <w:rPr>
                <w:sz w:val="17"/>
                <w:szCs w:val="17"/>
                <w:color w:val="auto"/>
              </w:rPr>
            </w:pPr>
          </w:p>
        </w:tc>
        <w:tc>
          <w:tcPr>
            <w:tcW w:w="3960" w:type="dxa"/>
            <w:vAlign w:val="bottom"/>
          </w:tcPr>
          <w:p>
            <w:pPr>
              <w:ind w:left="860"/>
              <w:spacing w:after="0"/>
              <w:rPr>
                <w:sz w:val="20"/>
                <w:szCs w:val="20"/>
                <w:color w:val="auto"/>
              </w:rPr>
            </w:pPr>
            <w:r>
              <w:rPr>
                <w:rFonts w:ascii="Arial" w:cs="Arial" w:eastAsia="Arial" w:hAnsi="Arial"/>
                <w:sz w:val="17"/>
                <w:szCs w:val="17"/>
                <w:color w:val="auto"/>
              </w:rPr>
              <w:t>and experience.</w:t>
            </w:r>
          </w:p>
        </w:tc>
        <w:tc>
          <w:tcPr>
            <w:tcW w:w="122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280"/>
        </w:trPr>
        <w:tc>
          <w:tcPr>
            <w:tcW w:w="1560" w:type="dxa"/>
            <w:vAlign w:val="bottom"/>
          </w:tcPr>
          <w:p>
            <w:pPr>
              <w:spacing w:after="0"/>
              <w:rPr>
                <w:sz w:val="24"/>
                <w:szCs w:val="24"/>
                <w:color w:val="auto"/>
              </w:rPr>
            </w:pPr>
          </w:p>
        </w:tc>
        <w:tc>
          <w:tcPr>
            <w:tcW w:w="3960" w:type="dxa"/>
            <w:vAlign w:val="bottom"/>
          </w:tcPr>
          <w:p>
            <w:pPr>
              <w:ind w:left="560"/>
              <w:spacing w:after="0"/>
              <w:rPr>
                <w:sz w:val="20"/>
                <w:szCs w:val="20"/>
                <w:color w:val="auto"/>
              </w:rPr>
            </w:pPr>
            <w:r>
              <w:rPr>
                <w:rFonts w:ascii="Arial" w:cs="Arial" w:eastAsia="Arial" w:hAnsi="Arial"/>
                <w:sz w:val="9"/>
                <w:szCs w:val="9"/>
                <w:color w:val="77387A"/>
                <w:w w:val="99"/>
              </w:rPr>
              <w:t>u</w:t>
            </w:r>
            <w:r>
              <w:rPr>
                <w:rFonts w:ascii="Arial" w:cs="Arial" w:eastAsia="Arial" w:hAnsi="Arial"/>
                <w:sz w:val="17"/>
                <w:szCs w:val="17"/>
                <w:color w:val="auto"/>
                <w:w w:val="99"/>
              </w:rPr>
              <w:t>Reviewed annually and adjusted when</w:t>
            </w:r>
          </w:p>
        </w:tc>
        <w:tc>
          <w:tcPr>
            <w:tcW w:w="1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03"/>
        </w:trPr>
        <w:tc>
          <w:tcPr>
            <w:tcW w:w="1560" w:type="dxa"/>
            <w:vAlign w:val="bottom"/>
          </w:tcPr>
          <w:p>
            <w:pPr>
              <w:spacing w:after="0"/>
              <w:rPr>
                <w:sz w:val="17"/>
                <w:szCs w:val="17"/>
                <w:color w:val="auto"/>
              </w:rPr>
            </w:pPr>
          </w:p>
        </w:tc>
        <w:tc>
          <w:tcPr>
            <w:tcW w:w="3960" w:type="dxa"/>
            <w:vAlign w:val="bottom"/>
          </w:tcPr>
          <w:p>
            <w:pPr>
              <w:ind w:left="860"/>
              <w:spacing w:after="0"/>
              <w:rPr>
                <w:sz w:val="20"/>
                <w:szCs w:val="20"/>
                <w:color w:val="auto"/>
              </w:rPr>
            </w:pPr>
            <w:r>
              <w:rPr>
                <w:rFonts w:ascii="Arial" w:cs="Arial" w:eastAsia="Arial" w:hAnsi="Arial"/>
                <w:sz w:val="17"/>
                <w:szCs w:val="17"/>
                <w:color w:val="auto"/>
              </w:rPr>
              <w:t>appropriate.</w:t>
            </w:r>
          </w:p>
        </w:tc>
        <w:tc>
          <w:tcPr>
            <w:tcW w:w="1220" w:type="dxa"/>
            <w:vAlign w:val="bottom"/>
          </w:tcPr>
          <w:p>
            <w:pPr>
              <w:spacing w:after="0"/>
              <w:rPr>
                <w:sz w:val="17"/>
                <w:szCs w:val="17"/>
                <w:color w:val="auto"/>
              </w:rPr>
            </w:pPr>
          </w:p>
        </w:tc>
        <w:tc>
          <w:tcPr>
            <w:tcW w:w="36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48895</wp:posOffset>
            </wp:positionV>
            <wp:extent cx="65836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ectPr>
          <w:pgSz w:w="11900" w:h="16838" w:orient="portrait"/>
          <w:cols w:equalWidth="0" w:num="1">
            <w:col w:w="10820"/>
          </w:cols>
          <w:pgMar w:left="320" w:top="441" w:right="759" w:bottom="1440" w:gutter="0" w:footer="0" w:header="0"/>
          <w:type w:val="continuous"/>
        </w:sectPr>
      </w:pP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Annual</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Cash Incentive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140" w:type="dxa"/>
            <w:vAlign w:val="bottom"/>
          </w:tcPr>
          <w:p>
            <w:pPr>
              <w:spacing w:after="0"/>
              <w:rPr>
                <w:sz w:val="20"/>
                <w:szCs w:val="20"/>
                <w:color w:val="auto"/>
              </w:rPr>
            </w:pPr>
            <w:r>
              <w:rPr>
                <w:rFonts w:ascii="Arial" w:cs="Arial" w:eastAsia="Arial" w:hAnsi="Arial"/>
                <w:sz w:val="17"/>
                <w:szCs w:val="17"/>
                <w:color w:val="auto"/>
              </w:rPr>
              <w:t>Variable cash compensation based on</w:t>
            </w:r>
          </w:p>
        </w:tc>
        <w:tc>
          <w:tcPr>
            <w:tcW w:w="1100" w:type="dxa"/>
            <w:vAlign w:val="bottom"/>
          </w:tcPr>
          <w:p>
            <w:pPr>
              <w:jc w:val="center"/>
              <w:ind w:left="95"/>
              <w:spacing w:after="0"/>
              <w:rPr>
                <w:sz w:val="20"/>
                <w:szCs w:val="20"/>
                <w:color w:val="auto"/>
              </w:rPr>
            </w:pPr>
            <w:r>
              <w:rPr>
                <w:rFonts w:ascii="Arial" w:cs="Arial" w:eastAsia="Arial" w:hAnsi="Arial"/>
                <w:sz w:val="17"/>
                <w:szCs w:val="17"/>
                <w:color w:val="auto"/>
                <w:w w:val="99"/>
              </w:rPr>
              <w:t>1-year</w:t>
            </w:r>
          </w:p>
        </w:tc>
      </w:tr>
      <w:tr>
        <w:trPr>
          <w:trHeight w:val="191"/>
        </w:trPr>
        <w:tc>
          <w:tcPr>
            <w:tcW w:w="3140" w:type="dxa"/>
            <w:vAlign w:val="bottom"/>
          </w:tcPr>
          <w:p>
            <w:pPr>
              <w:ind w:left="60"/>
              <w:spacing w:after="0" w:line="191" w:lineRule="exact"/>
              <w:rPr>
                <w:sz w:val="20"/>
                <w:szCs w:val="20"/>
                <w:color w:val="auto"/>
              </w:rPr>
            </w:pPr>
            <w:r>
              <w:rPr>
                <w:rFonts w:ascii="Arial" w:cs="Arial" w:eastAsia="Arial" w:hAnsi="Arial"/>
                <w:sz w:val="17"/>
                <w:szCs w:val="17"/>
                <w:color w:val="auto"/>
              </w:rPr>
              <w:t>performance against annually</w:t>
            </w:r>
          </w:p>
        </w:tc>
        <w:tc>
          <w:tcPr>
            <w:tcW w:w="1100" w:type="dxa"/>
            <w:vAlign w:val="bottom"/>
          </w:tcPr>
          <w:p>
            <w:pPr>
              <w:jc w:val="center"/>
              <w:ind w:left="75"/>
              <w:spacing w:after="0" w:line="191" w:lineRule="exact"/>
              <w:rPr>
                <w:sz w:val="20"/>
                <w:szCs w:val="20"/>
                <w:color w:val="auto"/>
              </w:rPr>
            </w:pPr>
            <w:r>
              <w:rPr>
                <w:rFonts w:ascii="Arial" w:cs="Arial" w:eastAsia="Arial" w:hAnsi="Arial"/>
                <w:sz w:val="17"/>
                <w:szCs w:val="17"/>
                <w:color w:val="auto"/>
                <w:w w:val="98"/>
              </w:rPr>
              <w:t>performance</w:t>
            </w:r>
          </w:p>
        </w:tc>
      </w:tr>
      <w:tr>
        <w:trPr>
          <w:trHeight w:val="191"/>
        </w:trPr>
        <w:tc>
          <w:tcPr>
            <w:tcW w:w="3140" w:type="dxa"/>
            <w:vAlign w:val="bottom"/>
          </w:tcPr>
          <w:p>
            <w:pPr>
              <w:ind w:left="60"/>
              <w:spacing w:after="0" w:line="191" w:lineRule="exact"/>
              <w:rPr>
                <w:sz w:val="20"/>
                <w:szCs w:val="20"/>
                <w:color w:val="auto"/>
              </w:rPr>
            </w:pPr>
            <w:r>
              <w:rPr>
                <w:rFonts w:ascii="Arial" w:cs="Arial" w:eastAsia="Arial" w:hAnsi="Arial"/>
                <w:sz w:val="17"/>
                <w:szCs w:val="17"/>
                <w:color w:val="auto"/>
              </w:rPr>
              <w:t>established targets and individual</w:t>
            </w:r>
          </w:p>
        </w:tc>
        <w:tc>
          <w:tcPr>
            <w:tcW w:w="1100" w:type="dxa"/>
            <w:vAlign w:val="bottom"/>
          </w:tcPr>
          <w:p>
            <w:pPr>
              <w:jc w:val="center"/>
              <w:ind w:left="75"/>
              <w:spacing w:after="0" w:line="191" w:lineRule="exact"/>
              <w:rPr>
                <w:sz w:val="20"/>
                <w:szCs w:val="20"/>
                <w:color w:val="auto"/>
              </w:rPr>
            </w:pPr>
            <w:r>
              <w:rPr>
                <w:rFonts w:ascii="Arial" w:cs="Arial" w:eastAsia="Arial" w:hAnsi="Arial"/>
                <w:sz w:val="17"/>
                <w:szCs w:val="17"/>
                <w:color w:val="auto"/>
                <w:w w:val="97"/>
              </w:rPr>
              <w:t>period</w:t>
            </w:r>
          </w:p>
        </w:tc>
      </w:tr>
      <w:tr>
        <w:trPr>
          <w:trHeight w:val="203"/>
        </w:trPr>
        <w:tc>
          <w:tcPr>
            <w:tcW w:w="3140" w:type="dxa"/>
            <w:vAlign w:val="bottom"/>
          </w:tcPr>
          <w:p>
            <w:pPr>
              <w:ind w:left="60"/>
              <w:spacing w:after="0"/>
              <w:rPr>
                <w:sz w:val="20"/>
                <w:szCs w:val="20"/>
                <w:color w:val="auto"/>
              </w:rPr>
            </w:pPr>
            <w:r>
              <w:rPr>
                <w:rFonts w:ascii="Arial" w:cs="Arial" w:eastAsia="Arial" w:hAnsi="Arial"/>
                <w:sz w:val="17"/>
                <w:szCs w:val="17"/>
                <w:color w:val="auto"/>
              </w:rPr>
              <w:t>performance.</w:t>
            </w:r>
          </w:p>
        </w:tc>
        <w:tc>
          <w:tcPr>
            <w:tcW w:w="1100" w:type="dxa"/>
            <w:vAlign w:val="bottom"/>
          </w:tcPr>
          <w:p>
            <w:pPr>
              <w:spacing w:after="0"/>
              <w:rPr>
                <w:sz w:val="17"/>
                <w:szCs w:val="17"/>
                <w:color w:val="auto"/>
              </w:rPr>
            </w:pPr>
          </w:p>
        </w:tc>
      </w:tr>
      <w:tr>
        <w:trPr>
          <w:trHeight w:val="292"/>
        </w:trPr>
        <w:tc>
          <w:tcPr>
            <w:tcW w:w="3140" w:type="dxa"/>
            <w:vAlign w:val="bottom"/>
          </w:tcPr>
          <w:p>
            <w:pPr>
              <w:ind w:left="40"/>
              <w:spacing w:after="0"/>
              <w:rPr>
                <w:sz w:val="20"/>
                <w:szCs w:val="20"/>
                <w:color w:val="auto"/>
              </w:rPr>
            </w:pPr>
            <w:r>
              <w:rPr>
                <w:rFonts w:ascii="Arial" w:cs="Arial" w:eastAsia="Arial" w:hAnsi="Arial"/>
                <w:sz w:val="17"/>
                <w:szCs w:val="17"/>
                <w:color w:val="auto"/>
              </w:rPr>
              <w:t>Designed to reward executives for</w:t>
            </w:r>
          </w:p>
        </w:tc>
        <w:tc>
          <w:tcPr>
            <w:tcW w:w="1100" w:type="dxa"/>
            <w:vAlign w:val="bottom"/>
          </w:tcPr>
          <w:p>
            <w:pPr>
              <w:spacing w:after="0"/>
              <w:rPr>
                <w:sz w:val="24"/>
                <w:szCs w:val="24"/>
                <w:color w:val="auto"/>
              </w:rPr>
            </w:pPr>
          </w:p>
        </w:tc>
      </w:tr>
      <w:tr>
        <w:trPr>
          <w:trHeight w:val="191"/>
        </w:trPr>
        <w:tc>
          <w:tcPr>
            <w:tcW w:w="3140" w:type="dxa"/>
            <w:vAlign w:val="bottom"/>
          </w:tcPr>
          <w:p>
            <w:pPr>
              <w:ind w:left="60"/>
              <w:spacing w:after="0" w:line="191" w:lineRule="exact"/>
              <w:rPr>
                <w:sz w:val="20"/>
                <w:szCs w:val="20"/>
                <w:color w:val="auto"/>
              </w:rPr>
            </w:pPr>
            <w:r>
              <w:rPr>
                <w:rFonts w:ascii="Arial" w:cs="Arial" w:eastAsia="Arial" w:hAnsi="Arial"/>
                <w:sz w:val="17"/>
                <w:szCs w:val="17"/>
                <w:color w:val="auto"/>
              </w:rPr>
              <w:t>annual performance on key operational</w:t>
            </w:r>
          </w:p>
        </w:tc>
        <w:tc>
          <w:tcPr>
            <w:tcW w:w="1100" w:type="dxa"/>
            <w:vAlign w:val="bottom"/>
          </w:tcPr>
          <w:p>
            <w:pPr>
              <w:spacing w:after="0"/>
              <w:rPr>
                <w:sz w:val="16"/>
                <w:szCs w:val="16"/>
                <w:color w:val="auto"/>
              </w:rPr>
            </w:pPr>
          </w:p>
        </w:tc>
      </w:tr>
      <w:tr>
        <w:trPr>
          <w:trHeight w:val="191"/>
        </w:trPr>
        <w:tc>
          <w:tcPr>
            <w:tcW w:w="3140" w:type="dxa"/>
            <w:vAlign w:val="bottom"/>
          </w:tcPr>
          <w:p>
            <w:pPr>
              <w:ind w:left="60"/>
              <w:spacing w:after="0" w:line="191" w:lineRule="exact"/>
              <w:rPr>
                <w:sz w:val="20"/>
                <w:szCs w:val="20"/>
                <w:color w:val="auto"/>
              </w:rPr>
            </w:pPr>
            <w:r>
              <w:rPr>
                <w:rFonts w:ascii="Arial" w:cs="Arial" w:eastAsia="Arial" w:hAnsi="Arial"/>
                <w:sz w:val="17"/>
                <w:szCs w:val="17"/>
                <w:color w:val="auto"/>
              </w:rPr>
              <w:t>and financial measures, as well as</w:t>
            </w:r>
          </w:p>
        </w:tc>
        <w:tc>
          <w:tcPr>
            <w:tcW w:w="1100" w:type="dxa"/>
            <w:vAlign w:val="bottom"/>
          </w:tcPr>
          <w:p>
            <w:pPr>
              <w:spacing w:after="0"/>
              <w:rPr>
                <w:sz w:val="16"/>
                <w:szCs w:val="16"/>
                <w:color w:val="auto"/>
              </w:rPr>
            </w:pPr>
          </w:p>
        </w:tc>
      </w:tr>
      <w:tr>
        <w:trPr>
          <w:trHeight w:val="203"/>
        </w:trPr>
        <w:tc>
          <w:tcPr>
            <w:tcW w:w="3140" w:type="dxa"/>
            <w:vAlign w:val="bottom"/>
          </w:tcPr>
          <w:p>
            <w:pPr>
              <w:ind w:left="60"/>
              <w:spacing w:after="0"/>
              <w:rPr>
                <w:sz w:val="20"/>
                <w:szCs w:val="20"/>
                <w:color w:val="auto"/>
              </w:rPr>
            </w:pPr>
            <w:r>
              <w:rPr>
                <w:rFonts w:ascii="Arial" w:cs="Arial" w:eastAsia="Arial" w:hAnsi="Arial"/>
                <w:sz w:val="17"/>
                <w:szCs w:val="17"/>
                <w:color w:val="auto"/>
              </w:rPr>
              <w:t>individual performance.</w:t>
            </w:r>
          </w:p>
        </w:tc>
        <w:tc>
          <w:tcPr>
            <w:tcW w:w="1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-1494155</wp:posOffset>
            </wp:positionH>
            <wp:positionV relativeFrom="paragraph">
              <wp:posOffset>314960</wp:posOffset>
            </wp:positionV>
            <wp:extent cx="65836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Financial (80%)</w:t>
      </w:r>
    </w:p>
    <w:p>
      <w:pPr>
        <w:ind w:left="340" w:hanging="106"/>
        <w:spacing w:after="0" w:line="234" w:lineRule="auto"/>
        <w:tabs>
          <w:tab w:leader="none" w:pos="340"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Adjusted Operating Income (40%)</w:t>
      </w:r>
    </w:p>
    <w:p>
      <w:pPr>
        <w:ind w:left="340" w:hanging="106"/>
        <w:spacing w:after="0" w:line="234" w:lineRule="auto"/>
        <w:tabs>
          <w:tab w:leader="none" w:pos="340"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Total Backlog (40%)</w:t>
      </w:r>
    </w:p>
    <w:p>
      <w:pPr>
        <w:ind w:left="340" w:hanging="106"/>
        <w:spacing w:after="0"/>
        <w:tabs>
          <w:tab w:leader="none" w:pos="340"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Free Cash Flow (20%)</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Personal (20%)</w:t>
      </w:r>
    </w:p>
    <w:p>
      <w:pPr>
        <w:ind w:left="240" w:right="60"/>
        <w:spacing w:after="0" w:line="237" w:lineRule="auto"/>
        <w:rPr>
          <w:sz w:val="20"/>
          <w:szCs w:val="20"/>
          <w:color w:val="auto"/>
        </w:rPr>
      </w:pPr>
      <w:r>
        <w:rPr>
          <w:rFonts w:ascii="Arial" w:cs="Arial" w:eastAsia="Arial" w:hAnsi="Arial"/>
          <w:sz w:val="17"/>
          <w:szCs w:val="17"/>
          <w:i w:val="1"/>
          <w:iCs w:val="1"/>
          <w:color w:val="auto"/>
        </w:rPr>
        <w:t>Personal Achievements - Adjustment factor of 0% to 150% applied based on evaluation of leadership values such as ethics and integrity, personal development and engagement</w:t>
      </w:r>
    </w:p>
    <w:p>
      <w:pPr>
        <w:spacing w:after="0" w:line="200" w:lineRule="exact"/>
        <w:rPr>
          <w:sz w:val="20"/>
          <w:szCs w:val="20"/>
          <w:color w:val="auto"/>
        </w:rPr>
      </w:pPr>
    </w:p>
    <w:p>
      <w:pPr>
        <w:sectPr>
          <w:pgSz w:w="11900" w:h="16838" w:orient="portrait"/>
          <w:cols w:equalWidth="0" w:num="5">
            <w:col w:w="1840" w:space="720"/>
            <w:col w:w="40" w:space="200"/>
            <w:col w:w="4240" w:space="300"/>
            <w:col w:w="40" w:space="200"/>
            <w:col w:w="3240"/>
          </w:cols>
          <w:pgMar w:left="320" w:top="441" w:right="759" w:bottom="1440" w:gutter="0" w:footer="0" w:header="0"/>
          <w:type w:val="continuous"/>
        </w:sectPr>
      </w:pPr>
    </w:p>
    <w:p>
      <w:pPr>
        <w:spacing w:after="0" w:line="52" w:lineRule="exact"/>
        <w:rPr>
          <w:sz w:val="20"/>
          <w:szCs w:val="20"/>
          <w:color w:val="auto"/>
        </w:r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20</w:t>
        <w:tab/>
        <w:t>|</w:t>
        <w:tab/>
        <w:t>2020 Proxy Statement</w:t>
      </w:r>
    </w:p>
    <w:p>
      <w:pPr>
        <w:sectPr>
          <w:pgSz w:w="11900" w:h="16838" w:orient="portrait"/>
          <w:cols w:equalWidth="0" w:num="1">
            <w:col w:w="10820"/>
          </w:cols>
          <w:pgMar w:left="320" w:top="441" w:right="759" w:bottom="1440" w:gutter="0" w:footer="0" w:header="0"/>
          <w:type w:val="continuous"/>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62" w:lineRule="exact"/>
        <w:rPr>
          <w:sz w:val="20"/>
          <w:szCs w:val="20"/>
          <w:color w:val="auto"/>
        </w:rPr>
      </w:pPr>
    </w:p>
    <w:p>
      <w:pPr>
        <w:ind w:left="480"/>
        <w:spacing w:after="0"/>
        <w:tabs>
          <w:tab w:leader="none" w:pos="3300" w:val="left"/>
          <w:tab w:leader="none" w:pos="6180" w:val="left"/>
          <w:tab w:leader="none" w:pos="8860" w:val="left"/>
        </w:tabs>
        <w:rPr>
          <w:sz w:val="20"/>
          <w:szCs w:val="20"/>
          <w:color w:val="auto"/>
        </w:rPr>
      </w:pPr>
      <w:r>
        <w:rPr>
          <w:rFonts w:ascii="Arial" w:cs="Arial" w:eastAsia="Arial" w:hAnsi="Arial"/>
          <w:sz w:val="27"/>
          <w:szCs w:val="27"/>
          <w:color w:val="483E65"/>
          <w:vertAlign w:val="superscript"/>
        </w:rPr>
        <w:t>Pay Element</w:t>
      </w:r>
      <w:r>
        <w:rPr>
          <w:sz w:val="20"/>
          <w:szCs w:val="20"/>
          <w:color w:val="auto"/>
        </w:rPr>
        <w:tab/>
      </w:r>
      <w:r>
        <w:rPr>
          <w:rFonts w:ascii="Arial" w:cs="Arial" w:eastAsia="Arial" w:hAnsi="Arial"/>
          <w:sz w:val="14"/>
          <w:szCs w:val="14"/>
          <w:color w:val="483E65"/>
        </w:rPr>
        <w:t>Description and Purpose</w:t>
      </w:r>
      <w:r>
        <w:rPr>
          <w:sz w:val="20"/>
          <w:szCs w:val="20"/>
          <w:color w:val="auto"/>
        </w:rPr>
        <w:tab/>
      </w:r>
      <w:r>
        <w:rPr>
          <w:rFonts w:ascii="Arial" w:cs="Arial" w:eastAsia="Arial" w:hAnsi="Arial"/>
          <w:sz w:val="14"/>
          <w:szCs w:val="14"/>
          <w:color w:val="483E65"/>
        </w:rPr>
        <w:t>Time Period</w:t>
      </w:r>
      <w:r>
        <w:rPr>
          <w:sz w:val="20"/>
          <w:szCs w:val="20"/>
          <w:color w:val="auto"/>
        </w:rPr>
        <w:tab/>
      </w:r>
      <w:r>
        <w:rPr>
          <w:rFonts w:ascii="Arial" w:cs="Arial" w:eastAsia="Arial" w:hAnsi="Arial"/>
          <w:sz w:val="12"/>
          <w:szCs w:val="12"/>
          <w:color w:val="483E65"/>
        </w:rPr>
        <w:t>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-6985</wp:posOffset>
            </wp:positionV>
            <wp:extent cx="65836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ind w:left="480"/>
        <w:spacing w:after="0" w:line="234" w:lineRule="auto"/>
        <w:rPr>
          <w:sz w:val="20"/>
          <w:szCs w:val="20"/>
          <w:color w:val="auto"/>
        </w:rPr>
      </w:pPr>
      <w:r>
        <w:rPr>
          <w:rFonts w:ascii="Arial" w:cs="Arial" w:eastAsia="Arial" w:hAnsi="Arial"/>
          <w:sz w:val="17"/>
          <w:szCs w:val="17"/>
          <w:b w:val="1"/>
          <w:bCs w:val="1"/>
          <w:color w:val="auto"/>
        </w:rPr>
        <w:t>Long-Term</w:t>
      </w:r>
    </w:p>
    <w:p>
      <w:pPr>
        <w:ind w:left="480"/>
        <w:spacing w:after="0"/>
        <w:rPr>
          <w:sz w:val="20"/>
          <w:szCs w:val="20"/>
          <w:color w:val="auto"/>
        </w:rPr>
      </w:pPr>
      <w:r>
        <w:rPr>
          <w:rFonts w:ascii="Arial" w:cs="Arial" w:eastAsia="Arial" w:hAnsi="Arial"/>
          <w:sz w:val="17"/>
          <w:szCs w:val="17"/>
          <w:b w:val="1"/>
          <w:bCs w:val="1"/>
          <w:color w:val="auto"/>
        </w:rPr>
        <w:t>Equity Incentive</w:t>
      </w:r>
    </w:p>
    <w:p>
      <w:pPr>
        <w:sectPr>
          <w:pgSz w:w="11900" w:h="16838" w:orient="portrait"/>
          <w:cols w:equalWidth="0" w:num="1">
            <w:col w:w="10800"/>
          </w:cols>
          <w:pgMar w:left="320" w:top="441" w:right="779" w:bottom="1440" w:gutter="0" w:footer="0" w:header="0"/>
        </w:sectPr>
      </w:pPr>
    </w:p>
    <w:p>
      <w:pPr>
        <w:spacing w:after="0" w:line="10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Performance</w:t>
      </w:r>
    </w:p>
    <w:p>
      <w:pPr>
        <w:ind w:left="600"/>
        <w:spacing w:after="0" w:line="234" w:lineRule="auto"/>
        <w:rPr>
          <w:sz w:val="20"/>
          <w:szCs w:val="20"/>
          <w:color w:val="auto"/>
        </w:rPr>
      </w:pPr>
      <w:r>
        <w:rPr>
          <w:rFonts w:ascii="Arial" w:cs="Arial" w:eastAsia="Arial" w:hAnsi="Arial"/>
          <w:sz w:val="17"/>
          <w:szCs w:val="17"/>
          <w:color w:val="auto"/>
        </w:rPr>
        <w:t>Shares</w:t>
      </w:r>
    </w:p>
    <w:p>
      <w:pPr>
        <w:ind w:left="600"/>
        <w:spacing w:after="0"/>
        <w:rPr>
          <w:sz w:val="20"/>
          <w:szCs w:val="20"/>
          <w:color w:val="auto"/>
        </w:rPr>
      </w:pPr>
      <w:r>
        <w:rPr>
          <w:rFonts w:ascii="Arial" w:cs="Arial" w:eastAsia="Arial" w:hAnsi="Arial"/>
          <w:sz w:val="17"/>
          <w:szCs w:val="17"/>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Performance</w:t>
      </w:r>
    </w:p>
    <w:p>
      <w:pPr>
        <w:ind w:left="600"/>
        <w:spacing w:after="0" w:line="234" w:lineRule="auto"/>
        <w:rPr>
          <w:sz w:val="20"/>
          <w:szCs w:val="20"/>
          <w:color w:val="auto"/>
        </w:rPr>
      </w:pPr>
      <w:r>
        <w:rPr>
          <w:rFonts w:ascii="Arial" w:cs="Arial" w:eastAsia="Arial" w:hAnsi="Arial"/>
          <w:sz w:val="17"/>
          <w:szCs w:val="17"/>
          <w:color w:val="auto"/>
        </w:rPr>
        <w:t>Restricted Stock</w:t>
      </w:r>
    </w:p>
    <w:p>
      <w:pPr>
        <w:ind w:left="600"/>
        <w:spacing w:after="0" w:line="234" w:lineRule="auto"/>
        <w:rPr>
          <w:sz w:val="20"/>
          <w:szCs w:val="20"/>
          <w:color w:val="auto"/>
        </w:rPr>
      </w:pPr>
      <w:r>
        <w:rPr>
          <w:rFonts w:ascii="Arial" w:cs="Arial" w:eastAsia="Arial" w:hAnsi="Arial"/>
          <w:sz w:val="17"/>
          <w:szCs w:val="17"/>
          <w:color w:val="auto"/>
        </w:rPr>
        <w:t>Units (PRSUs)</w:t>
      </w:r>
    </w:p>
    <w:p>
      <w:pPr>
        <w:ind w:left="600"/>
        <w:spacing w:after="0"/>
        <w:rPr>
          <w:sz w:val="20"/>
          <w:szCs w:val="20"/>
          <w:color w:val="auto"/>
        </w:rPr>
      </w:pPr>
      <w:r>
        <w:rPr>
          <w:rFonts w:ascii="Arial" w:cs="Arial" w:eastAsia="Arial" w:hAnsi="Arial"/>
          <w:sz w:val="17"/>
          <w:szCs w:val="17"/>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Stock Options</w:t>
      </w:r>
    </w:p>
    <w:p>
      <w:pPr>
        <w:ind w:left="600"/>
        <w:spacing w:after="0"/>
        <w:rPr>
          <w:sz w:val="20"/>
          <w:szCs w:val="20"/>
          <w:color w:val="auto"/>
        </w:rPr>
      </w:pPr>
      <w:r>
        <w:rPr>
          <w:rFonts w:ascii="Arial" w:cs="Arial" w:eastAsia="Arial" w:hAnsi="Arial"/>
          <w:sz w:val="17"/>
          <w:szCs w:val="17"/>
          <w:color w:val="auto"/>
        </w:rPr>
        <w:t>(20%)</w:t>
      </w:r>
    </w:p>
    <w:p>
      <w:pPr>
        <w:spacing w:after="0" w:line="36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Pay Composition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hanging="63"/>
        <w:spacing w:after="0" w:line="236" w:lineRule="auto"/>
        <w:rPr>
          <w:sz w:val="20"/>
          <w:szCs w:val="20"/>
          <w:color w:val="auto"/>
        </w:rPr>
      </w:pPr>
      <w:r>
        <w:rPr>
          <w:rFonts w:ascii="Arial" w:cs="Arial" w:eastAsia="Arial" w:hAnsi="Arial"/>
          <w:sz w:val="17"/>
          <w:szCs w:val="17"/>
          <w:color w:val="auto"/>
        </w:rPr>
        <w:t>Distributed in shares of our common stock and designed to encourage and reward longer-term growth, profitability and stock price appreciation by tying share payouts to the achievement of key financial goals.</w:t>
      </w:r>
    </w:p>
    <w:p>
      <w:pPr>
        <w:spacing w:after="0" w:line="90" w:lineRule="exact"/>
        <w:rPr>
          <w:sz w:val="20"/>
          <w:szCs w:val="20"/>
          <w:color w:val="auto"/>
        </w:rPr>
      </w:pPr>
    </w:p>
    <w:p>
      <w:pPr>
        <w:ind w:right="40" w:hanging="63"/>
        <w:spacing w:after="0" w:line="252" w:lineRule="auto"/>
        <w:rPr>
          <w:sz w:val="20"/>
          <w:szCs w:val="20"/>
          <w:color w:val="auto"/>
        </w:rPr>
      </w:pPr>
      <w:r>
        <w:rPr>
          <w:rFonts w:ascii="Arial" w:cs="Arial" w:eastAsia="Arial" w:hAnsi="Arial"/>
          <w:sz w:val="16"/>
          <w:szCs w:val="16"/>
          <w:color w:val="auto"/>
        </w:rPr>
        <w:t>Distributed in shares of Leidos common stock and designed to drive sustainable performance that delivers long-term value to stockholders while directly aligning interests of executives and stockholders; enhances executive retention.</w:t>
      </w:r>
    </w:p>
    <w:p>
      <w:pPr>
        <w:spacing w:after="0" w:line="83" w:lineRule="exact"/>
        <w:rPr>
          <w:sz w:val="20"/>
          <w:szCs w:val="20"/>
          <w:color w:val="auto"/>
        </w:rPr>
      </w:pPr>
    </w:p>
    <w:p>
      <w:pPr>
        <w:ind w:right="480" w:hanging="63"/>
        <w:spacing w:after="0" w:line="243" w:lineRule="auto"/>
        <w:rPr>
          <w:sz w:val="20"/>
          <w:szCs w:val="20"/>
          <w:color w:val="auto"/>
        </w:rPr>
      </w:pPr>
      <w:r>
        <w:rPr>
          <w:rFonts w:ascii="Arial" w:cs="Arial" w:eastAsia="Arial" w:hAnsi="Arial"/>
          <w:sz w:val="17"/>
          <w:szCs w:val="17"/>
          <w:color w:val="auto"/>
        </w:rPr>
        <w:t>Rewards longer-term stock price appreciation.</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ind w:left="160" w:right="20"/>
        <w:spacing w:after="0" w:line="239" w:lineRule="auto"/>
        <w:rPr>
          <w:sz w:val="20"/>
          <w:szCs w:val="20"/>
          <w:color w:val="auto"/>
        </w:rPr>
      </w:pPr>
      <w:r>
        <w:rPr>
          <w:rFonts w:ascii="Arial" w:cs="Arial" w:eastAsia="Arial" w:hAnsi="Arial"/>
          <w:sz w:val="17"/>
          <w:szCs w:val="17"/>
          <w:color w:val="auto"/>
        </w:rPr>
        <w:t>3-year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line="237" w:lineRule="auto"/>
        <w:rPr>
          <w:sz w:val="20"/>
          <w:szCs w:val="20"/>
          <w:color w:val="auto"/>
        </w:rPr>
      </w:pPr>
      <w:r>
        <w:rPr>
          <w:rFonts w:ascii="Arial" w:cs="Arial" w:eastAsia="Arial" w:hAnsi="Arial"/>
          <w:sz w:val="17"/>
          <w:szCs w:val="17"/>
          <w:color w:val="auto"/>
        </w:rPr>
        <w:t>4-year pro-rata vesting subject to performance hurdle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40" w:right="100" w:hanging="46"/>
        <w:spacing w:after="0" w:line="261" w:lineRule="auto"/>
        <w:rPr>
          <w:sz w:val="20"/>
          <w:szCs w:val="20"/>
          <w:color w:val="auto"/>
        </w:rPr>
      </w:pPr>
      <w:r>
        <w:rPr>
          <w:rFonts w:ascii="Arial" w:cs="Arial" w:eastAsia="Arial" w:hAnsi="Arial"/>
          <w:sz w:val="16"/>
          <w:szCs w:val="16"/>
          <w:color w:val="auto"/>
        </w:rPr>
        <w:t>4-year pro-rata vesting with a 7-year term</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Relative Total Stockholder Return (50%)</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Revenue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hanging="63"/>
        <w:spacing w:after="0" w:line="239" w:lineRule="auto"/>
        <w:rPr>
          <w:sz w:val="20"/>
          <w:szCs w:val="20"/>
          <w:color w:val="auto"/>
        </w:rPr>
      </w:pPr>
      <w:r>
        <w:rPr>
          <w:rFonts w:ascii="Arial" w:cs="Arial" w:eastAsia="Arial" w:hAnsi="Arial"/>
          <w:sz w:val="17"/>
          <w:szCs w:val="17"/>
          <w:color w:val="auto"/>
        </w:rPr>
        <w:t>Adjusted earnings per share hurdle must be met for first year for units to be eligible for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Stock price appreciation (100%)</w:t>
      </w:r>
    </w:p>
    <w:p>
      <w:pPr>
        <w:spacing w:after="0" w:line="955" w:lineRule="exact"/>
        <w:rPr>
          <w:sz w:val="20"/>
          <w:szCs w:val="20"/>
          <w:color w:val="auto"/>
        </w:rPr>
      </w:pPr>
    </w:p>
    <w:p>
      <w:pPr>
        <w:sectPr>
          <w:pgSz w:w="11900" w:h="16838" w:orient="portrait"/>
          <w:cols w:equalWidth="0" w:num="6">
            <w:col w:w="1840" w:space="720"/>
            <w:col w:w="40" w:space="260"/>
            <w:col w:w="2860" w:space="200"/>
            <w:col w:w="1300" w:space="320"/>
            <w:col w:w="40" w:space="200"/>
            <w:col w:w="3020"/>
          </w:cols>
          <w:pgMar w:left="320" w:top="441" w:right="779" w:bottom="1440" w:gutter="0" w:footer="0" w:header="0"/>
          <w:type w:val="continuous"/>
        </w:sectPr>
      </w:pPr>
    </w:p>
    <w:p>
      <w:pPr>
        <w:spacing w:after="0" w:line="18" w:lineRule="exact"/>
        <w:rPr>
          <w:sz w:val="20"/>
          <w:szCs w:val="20"/>
          <w:color w:val="auto"/>
        </w:rPr>
      </w:pPr>
    </w:p>
    <w:p>
      <w:pPr>
        <w:ind w:left="440" w:right="60"/>
        <w:spacing w:after="0" w:line="243" w:lineRule="auto"/>
        <w:rPr>
          <w:sz w:val="20"/>
          <w:szCs w:val="20"/>
          <w:color w:val="auto"/>
        </w:rPr>
      </w:pPr>
      <w:r>
        <w:rPr>
          <w:rFonts w:ascii="Arial" w:cs="Arial" w:eastAsia="Arial" w:hAnsi="Arial"/>
          <w:sz w:val="17"/>
          <w:szCs w:val="17"/>
          <w:color w:val="auto"/>
        </w:rPr>
        <w:t>We believe that executive pay should be largely variable, equity-based, and tied to pre-set performance goals, and this is demonstrated in our pay mix and design.</w:t>
      </w:r>
    </w:p>
    <w:p>
      <w:pPr>
        <w:sectPr>
          <w:pgSz w:w="11900" w:h="16838" w:orient="portrait"/>
          <w:cols w:equalWidth="0" w:num="1">
            <w:col w:w="10800"/>
          </w:cols>
          <w:pgMar w:left="320" w:top="441" w:right="779" w:bottom="1440" w:gutter="0" w:footer="0" w:header="0"/>
          <w:type w:val="continuous"/>
        </w:sectPr>
      </w:pPr>
    </w:p>
    <w:p>
      <w:pPr>
        <w:spacing w:after="0" w:line="106"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both"/>
        <w:ind w:right="180"/>
        <w:spacing w:after="0" w:line="251" w:lineRule="auto"/>
        <w:rPr>
          <w:sz w:val="20"/>
          <w:szCs w:val="20"/>
          <w:color w:val="auto"/>
        </w:rPr>
      </w:pPr>
      <w:r>
        <w:rPr>
          <w:rFonts w:ascii="Arial" w:cs="Arial" w:eastAsia="Arial" w:hAnsi="Arial"/>
          <w:sz w:val="17"/>
          <w:szCs w:val="17"/>
          <w:b w:val="1"/>
          <w:bCs w:val="1"/>
          <w:i w:val="1"/>
          <w:iCs w:val="1"/>
          <w:color w:val="483E65"/>
        </w:rPr>
        <w:t xml:space="preserve">Limited fixed compensation. </w:t>
      </w:r>
      <w:r>
        <w:rPr>
          <w:rFonts w:ascii="Arial" w:cs="Arial" w:eastAsia="Arial" w:hAnsi="Arial"/>
          <w:sz w:val="17"/>
          <w:szCs w:val="17"/>
          <w:color w:val="000000"/>
        </w:rPr>
        <w:t>Base salary is the only component of “fixed” compensation for our named executive officers and</w:t>
      </w:r>
      <w:r>
        <w:rPr>
          <w:rFonts w:ascii="Arial" w:cs="Arial" w:eastAsia="Arial" w:hAnsi="Arial"/>
          <w:sz w:val="17"/>
          <w:szCs w:val="17"/>
          <w:b w:val="1"/>
          <w:bCs w:val="1"/>
          <w:i w:val="1"/>
          <w:iCs w:val="1"/>
          <w:color w:val="483E65"/>
        </w:rPr>
        <w:t xml:space="preserve"> </w:t>
      </w:r>
      <w:r>
        <w:rPr>
          <w:rFonts w:ascii="Arial" w:cs="Arial" w:eastAsia="Arial" w:hAnsi="Arial"/>
          <w:sz w:val="17"/>
          <w:szCs w:val="17"/>
          <w:color w:val="000000"/>
        </w:rPr>
        <w:t>represents a significantly smaller portion of executive pay than “variable” compensation—representing a range between 12% for our Chief Executive Officer and 28% for the other named executive officers.</w:t>
      </w:r>
    </w:p>
    <w:p>
      <w:pPr>
        <w:spacing w:after="0" w:line="73" w:lineRule="exact"/>
        <w:rPr>
          <w:sz w:val="20"/>
          <w:szCs w:val="20"/>
          <w:color w:val="auto"/>
        </w:rPr>
      </w:pPr>
    </w:p>
    <w:p>
      <w:pPr>
        <w:sectPr>
          <w:pgSz w:w="11900" w:h="16838" w:orient="portrait"/>
          <w:cols w:equalWidth="0" w:num="2">
            <w:col w:w="680" w:space="360"/>
            <w:col w:w="9760"/>
          </w:cols>
          <w:pgMar w:left="320" w:top="441" w:right="779" w:bottom="1440" w:gutter="0" w:footer="0" w:header="0"/>
          <w:type w:val="continuous"/>
        </w:sectPr>
      </w:pPr>
    </w:p>
    <w:p>
      <w:pPr>
        <w:spacing w:after="0" w:line="27"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ind w:right="320"/>
        <w:spacing w:after="0" w:line="251" w:lineRule="auto"/>
        <w:rPr>
          <w:sz w:val="20"/>
          <w:szCs w:val="20"/>
          <w:color w:val="auto"/>
        </w:rPr>
      </w:pPr>
      <w:r>
        <w:rPr>
          <w:rFonts w:ascii="Arial" w:cs="Arial" w:eastAsia="Arial" w:hAnsi="Arial"/>
          <w:sz w:val="17"/>
          <w:szCs w:val="17"/>
          <w:b w:val="1"/>
          <w:bCs w:val="1"/>
          <w:i w:val="1"/>
          <w:iCs w:val="1"/>
          <w:color w:val="483E65"/>
        </w:rPr>
        <w:t xml:space="preserve">Predominantly equity-based pay. </w:t>
      </w:r>
      <w:r>
        <w:rPr>
          <w:rFonts w:ascii="Arial" w:cs="Arial" w:eastAsia="Arial" w:hAnsi="Arial"/>
          <w:sz w:val="17"/>
          <w:szCs w:val="17"/>
          <w:color w:val="000000"/>
        </w:rPr>
        <w:t>The majority of executive pay takes the form of long-term equity incentives—a mix of</w:t>
      </w:r>
      <w:r>
        <w:rPr>
          <w:rFonts w:ascii="Arial" w:cs="Arial" w:eastAsia="Arial" w:hAnsi="Arial"/>
          <w:sz w:val="17"/>
          <w:szCs w:val="17"/>
          <w:b w:val="1"/>
          <w:bCs w:val="1"/>
          <w:i w:val="1"/>
          <w:iCs w:val="1"/>
          <w:color w:val="483E65"/>
        </w:rPr>
        <w:t xml:space="preserve"> </w:t>
      </w:r>
      <w:r>
        <w:rPr>
          <w:rFonts w:ascii="Arial" w:cs="Arial" w:eastAsia="Arial" w:hAnsi="Arial"/>
          <w:sz w:val="17"/>
          <w:szCs w:val="17"/>
          <w:color w:val="000000"/>
        </w:rPr>
        <w:t>performance shares, PRSUs, and stock options-ranging from 50% to 70% of target total direct compensation. This reflects our belief that equity should comprise the largest component of executive pay.</w:t>
      </w:r>
    </w:p>
    <w:p>
      <w:pPr>
        <w:spacing w:after="0" w:line="73" w:lineRule="exact"/>
        <w:rPr>
          <w:sz w:val="20"/>
          <w:szCs w:val="20"/>
          <w:color w:val="auto"/>
        </w:rPr>
      </w:pPr>
    </w:p>
    <w:p>
      <w:pPr>
        <w:sectPr>
          <w:pgSz w:w="11900" w:h="16838" w:orient="portrait"/>
          <w:cols w:equalWidth="0" w:num="2">
            <w:col w:w="680" w:space="360"/>
            <w:col w:w="9760"/>
          </w:cols>
          <w:pgMar w:left="320" w:top="441" w:right="779" w:bottom="1440" w:gutter="0" w:footer="0" w:header="0"/>
          <w:type w:val="continuous"/>
        </w:sectPr>
      </w:pPr>
    </w:p>
    <w:p>
      <w:pPr>
        <w:spacing w:after="0" w:line="27"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ind w:right="40"/>
        <w:spacing w:after="0" w:line="242" w:lineRule="auto"/>
        <w:rPr>
          <w:sz w:val="20"/>
          <w:szCs w:val="20"/>
          <w:color w:val="auto"/>
        </w:rPr>
      </w:pPr>
      <w:r>
        <w:rPr>
          <w:rFonts w:ascii="Arial" w:cs="Arial" w:eastAsia="Arial" w:hAnsi="Arial"/>
          <w:sz w:val="17"/>
          <w:szCs w:val="17"/>
          <w:b w:val="1"/>
          <w:bCs w:val="1"/>
          <w:i w:val="1"/>
          <w:iCs w:val="1"/>
          <w:color w:val="483E65"/>
        </w:rPr>
        <w:t xml:space="preserve">Focus on pre-set financial performance goals and stock price appreciation. </w:t>
      </w:r>
      <w:r>
        <w:rPr>
          <w:rFonts w:ascii="Arial" w:cs="Arial" w:eastAsia="Arial" w:hAnsi="Arial"/>
          <w:sz w:val="17"/>
          <w:szCs w:val="17"/>
          <w:color w:val="000000"/>
        </w:rPr>
        <w:t>The vast majority of the annual cash incentive—</w:t>
      </w:r>
      <w:r>
        <w:rPr>
          <w:rFonts w:ascii="Arial" w:cs="Arial" w:eastAsia="Arial" w:hAnsi="Arial"/>
          <w:sz w:val="17"/>
          <w:szCs w:val="17"/>
          <w:b w:val="1"/>
          <w:bCs w:val="1"/>
          <w:i w:val="1"/>
          <w:iCs w:val="1"/>
          <w:color w:val="483E65"/>
        </w:rPr>
        <w:t xml:space="preserve"> </w:t>
      </w:r>
      <w:r>
        <w:rPr>
          <w:rFonts w:ascii="Arial" w:cs="Arial" w:eastAsia="Arial" w:hAnsi="Arial"/>
          <w:sz w:val="17"/>
          <w:szCs w:val="17"/>
          <w:color w:val="000000"/>
        </w:rPr>
        <w:t>80% of the target opportunity—is tied to pre-set quantifiable goals. Similarly, 80% of the target opportunity for long-term incentives are tied to preset goals: 50% in the form of three-year performance share program awards, and 30% in the form of PRSUs. The remaining 20% of the target opportunity for long-term incentives is in the form of stock options, which will not yield value unless the stock price increases.</w:t>
      </w:r>
    </w:p>
    <w:p>
      <w:pPr>
        <w:spacing w:after="0" w:line="112" w:lineRule="exact"/>
        <w:rPr>
          <w:sz w:val="20"/>
          <w:szCs w:val="20"/>
          <w:color w:val="auto"/>
        </w:rPr>
      </w:pPr>
    </w:p>
    <w:p>
      <w:pPr>
        <w:sectPr>
          <w:pgSz w:w="11900" w:h="16838" w:orient="portrait"/>
          <w:cols w:equalWidth="0" w:num="2">
            <w:col w:w="680" w:space="360"/>
            <w:col w:w="9760"/>
          </w:cols>
          <w:pgMar w:left="320" w:top="441" w:right="779" w:bottom="1440" w:gutter="0" w:footer="0" w:header="0"/>
          <w:type w:val="continuous"/>
        </w:sectPr>
      </w:pPr>
    </w:p>
    <w:p>
      <w:pPr>
        <w:ind w:left="8680"/>
        <w:spacing w:after="0"/>
        <w:tabs>
          <w:tab w:leader="none" w:pos="10400" w:val="left"/>
          <w:tab w:leader="none" w:pos="1062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21</w:t>
      </w:r>
    </w:p>
    <w:p>
      <w:pPr>
        <w:sectPr>
          <w:pgSz w:w="11900" w:h="16838" w:orient="portrait"/>
          <w:cols w:equalWidth="0" w:num="1">
            <w:col w:w="10800"/>
          </w:cols>
          <w:pgMar w:left="320" w:top="441" w:right="779" w:bottom="1440" w:gutter="0" w:footer="0" w:header="0"/>
          <w:type w:val="continuous"/>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93" w:lineRule="exact"/>
        <w:rPr>
          <w:sz w:val="20"/>
          <w:szCs w:val="20"/>
          <w:color w:val="auto"/>
        </w:rPr>
      </w:pPr>
    </w:p>
    <w:p>
      <w:pPr>
        <w:ind w:left="440" w:right="560"/>
        <w:spacing w:after="0" w:line="243" w:lineRule="auto"/>
        <w:rPr>
          <w:sz w:val="20"/>
          <w:szCs w:val="20"/>
          <w:color w:val="auto"/>
        </w:rPr>
      </w:pPr>
      <w:r>
        <w:rPr>
          <w:rFonts w:ascii="Arial" w:cs="Arial" w:eastAsia="Arial" w:hAnsi="Arial"/>
          <w:sz w:val="17"/>
          <w:szCs w:val="17"/>
          <w:color w:val="auto"/>
        </w:rPr>
        <w:t>The chart below depicts each principal element of target compensation as a percentage of total direct compensation for each of our named executive officers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136525</wp:posOffset>
            </wp:positionV>
            <wp:extent cx="5042535" cy="20008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42535" cy="2000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Business Performance Highlights for 2019 Relating to Pay</w:t>
      </w:r>
    </w:p>
    <w:p>
      <w:pPr>
        <w:spacing w:after="0" w:line="218" w:lineRule="exact"/>
        <w:rPr>
          <w:sz w:val="20"/>
          <w:szCs w:val="20"/>
          <w:color w:val="auto"/>
        </w:rPr>
      </w:pPr>
    </w:p>
    <w:p>
      <w:pPr>
        <w:ind w:left="440" w:right="100"/>
        <w:spacing w:after="0" w:line="237" w:lineRule="auto"/>
        <w:rPr>
          <w:sz w:val="20"/>
          <w:szCs w:val="20"/>
          <w:color w:val="auto"/>
        </w:rPr>
      </w:pPr>
      <w:r>
        <w:rPr>
          <w:rFonts w:ascii="Arial" w:cs="Arial" w:eastAsia="Arial" w:hAnsi="Arial"/>
          <w:sz w:val="17"/>
          <w:szCs w:val="17"/>
          <w:color w:val="auto"/>
        </w:rPr>
        <w:t>Our business performance in 2019 was strong, meeting or exceeding our expectations and resulting in above-target payouts for our named executive officers under our annual cash incentive program. Successful business development efforts enabled us to achieve record total backlog and 109% of our backlog target for the year. Favorable working capital changes and excellent operating results contributed to our achievement of 148% of our free cash flow target. Better than expected revenue growth helped us achieve 108% of our adjusted operating income target.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Compensation Decisions for Fiscal 2019</w:t>
      </w:r>
    </w:p>
    <w:p>
      <w:pPr>
        <w:spacing w:after="0" w:line="198"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Base Salary</w:t>
      </w:r>
    </w:p>
    <w:p>
      <w:pPr>
        <w:spacing w:after="0" w:line="218" w:lineRule="exact"/>
        <w:rPr>
          <w:sz w:val="20"/>
          <w:szCs w:val="20"/>
          <w:color w:val="auto"/>
        </w:rPr>
      </w:pPr>
    </w:p>
    <w:p>
      <w:pPr>
        <w:ind w:left="440" w:right="60"/>
        <w:spacing w:after="0" w:line="237" w:lineRule="auto"/>
        <w:rPr>
          <w:sz w:val="20"/>
          <w:szCs w:val="20"/>
          <w:color w:val="auto"/>
        </w:rPr>
      </w:pPr>
      <w:r>
        <w:rPr>
          <w:rFonts w:ascii="Arial" w:cs="Arial" w:eastAsia="Arial" w:hAnsi="Arial"/>
          <w:sz w:val="17"/>
          <w:szCs w:val="17"/>
          <w:color w:val="auto"/>
        </w:rPr>
        <w:t>The Committee reviews executive officers’ base salaries annually or at the time of promotion or a substantial change in responsibilities based on the criteria described above. For fiscal 2019, the Committee considered its independent consultant’s analysis of salary levels for comparable positions in the compensation peer group based on proxy and survey data. Individual base salary amounts also reflect the Committee’s judgment with respect to each executive officer’s level of responsibility, individual performance, experience and other factors, including internal equity considerations, the individual’s historical compensation and any retention concerns.</w:t>
      </w:r>
    </w:p>
    <w:p>
      <w:pPr>
        <w:spacing w:after="0" w:line="191" w:lineRule="exact"/>
        <w:rPr>
          <w:sz w:val="20"/>
          <w:szCs w:val="20"/>
          <w:color w:val="auto"/>
        </w:rPr>
      </w:pPr>
    </w:p>
    <w:p>
      <w:pPr>
        <w:ind w:left="440" w:right="220"/>
        <w:spacing w:after="0" w:line="243" w:lineRule="auto"/>
        <w:rPr>
          <w:sz w:val="20"/>
          <w:szCs w:val="20"/>
          <w:color w:val="auto"/>
        </w:rPr>
      </w:pPr>
      <w:r>
        <w:rPr>
          <w:rFonts w:ascii="Arial" w:cs="Arial" w:eastAsia="Arial" w:hAnsi="Arial"/>
          <w:sz w:val="17"/>
          <w:szCs w:val="17"/>
          <w:color w:val="auto"/>
        </w:rPr>
        <w:t>At the beginning of 2019, the Committee approved increases in the base salaries for all of our named executive officers in order to bring them closer to the market median of our compensation peer group.</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1460" w:type="dxa"/>
            <w:vAlign w:val="bottom"/>
          </w:tcPr>
          <w:p>
            <w:pPr>
              <w:jc w:val="right"/>
              <w:ind w:right="417"/>
              <w:spacing w:after="0"/>
              <w:rPr>
                <w:sz w:val="20"/>
                <w:szCs w:val="20"/>
                <w:color w:val="auto"/>
              </w:rPr>
            </w:pPr>
            <w:r>
              <w:rPr>
                <w:rFonts w:ascii="Arial" w:cs="Arial" w:eastAsia="Arial" w:hAnsi="Arial"/>
                <w:sz w:val="15"/>
                <w:szCs w:val="15"/>
                <w:color w:val="483E65"/>
              </w:rPr>
              <w:t>2018 Salary</w:t>
            </w:r>
          </w:p>
        </w:tc>
        <w:tc>
          <w:tcPr>
            <w:tcW w:w="1980" w:type="dxa"/>
            <w:vAlign w:val="bottom"/>
          </w:tcPr>
          <w:p>
            <w:pPr>
              <w:jc w:val="right"/>
              <w:ind w:right="637"/>
              <w:spacing w:after="0"/>
              <w:rPr>
                <w:sz w:val="20"/>
                <w:szCs w:val="20"/>
                <w:color w:val="auto"/>
              </w:rPr>
            </w:pPr>
            <w:r>
              <w:rPr>
                <w:rFonts w:ascii="Arial" w:cs="Arial" w:eastAsia="Arial" w:hAnsi="Arial"/>
                <w:sz w:val="15"/>
                <w:szCs w:val="15"/>
                <w:color w:val="483E65"/>
              </w:rPr>
              <w:t>2019 Salary</w:t>
            </w:r>
          </w:p>
        </w:tc>
        <w:tc>
          <w:tcPr>
            <w:tcW w:w="1660" w:type="dxa"/>
            <w:vAlign w:val="bottom"/>
          </w:tcPr>
          <w:p>
            <w:pPr>
              <w:jc w:val="center"/>
              <w:ind w:left="337"/>
              <w:spacing w:after="0"/>
              <w:rPr>
                <w:sz w:val="20"/>
                <w:szCs w:val="20"/>
                <w:color w:val="auto"/>
              </w:rPr>
            </w:pPr>
            <w:r>
              <w:rPr>
                <w:rFonts w:ascii="Arial" w:cs="Arial" w:eastAsia="Arial" w:hAnsi="Arial"/>
                <w:sz w:val="15"/>
                <w:szCs w:val="15"/>
                <w:color w:val="483E65"/>
              </w:rPr>
              <w:t>% Increase</w:t>
            </w:r>
          </w:p>
        </w:tc>
        <w:tc>
          <w:tcPr>
            <w:tcW w:w="1360" w:type="dxa"/>
            <w:vAlign w:val="bottom"/>
          </w:tcPr>
          <w:p>
            <w:pPr>
              <w:jc w:val="right"/>
              <w:ind w:right="337"/>
              <w:spacing w:after="0"/>
              <w:rPr>
                <w:sz w:val="20"/>
                <w:szCs w:val="20"/>
                <w:color w:val="auto"/>
              </w:rPr>
            </w:pPr>
            <w:r>
              <w:rPr>
                <w:rFonts w:ascii="Arial" w:cs="Arial" w:eastAsia="Arial" w:hAnsi="Arial"/>
                <w:sz w:val="15"/>
                <w:szCs w:val="15"/>
                <w:color w:val="483E65"/>
              </w:rPr>
              <w:t>$ Increase</w:t>
            </w:r>
          </w:p>
        </w:tc>
      </w:tr>
      <w:tr>
        <w:trPr>
          <w:trHeight w:val="68"/>
        </w:trPr>
        <w:tc>
          <w:tcPr>
            <w:tcW w:w="3920" w:type="dxa"/>
            <w:vAlign w:val="bottom"/>
            <w:tcBorders>
              <w:bottom w:val="single" w:sz="8" w:color="483E65"/>
            </w:tcBorders>
          </w:tcPr>
          <w:p>
            <w:pPr>
              <w:spacing w:after="0"/>
              <w:rPr>
                <w:sz w:val="5"/>
                <w:szCs w:val="5"/>
                <w:color w:val="auto"/>
              </w:rPr>
            </w:pPr>
          </w:p>
        </w:tc>
        <w:tc>
          <w:tcPr>
            <w:tcW w:w="1460" w:type="dxa"/>
            <w:vAlign w:val="bottom"/>
            <w:tcBorders>
              <w:bottom w:val="single" w:sz="8" w:color="483E65"/>
            </w:tcBorders>
          </w:tcPr>
          <w:p>
            <w:pPr>
              <w:spacing w:after="0"/>
              <w:rPr>
                <w:sz w:val="5"/>
                <w:szCs w:val="5"/>
                <w:color w:val="auto"/>
              </w:rPr>
            </w:pPr>
          </w:p>
        </w:tc>
        <w:tc>
          <w:tcPr>
            <w:tcW w:w="1980" w:type="dxa"/>
            <w:vAlign w:val="bottom"/>
            <w:tcBorders>
              <w:bottom w:val="single" w:sz="8" w:color="483E65"/>
            </w:tcBorders>
          </w:tcPr>
          <w:p>
            <w:pPr>
              <w:spacing w:after="0"/>
              <w:rPr>
                <w:sz w:val="5"/>
                <w:szCs w:val="5"/>
                <w:color w:val="auto"/>
              </w:rPr>
            </w:pPr>
          </w:p>
        </w:tc>
        <w:tc>
          <w:tcPr>
            <w:tcW w:w="1660" w:type="dxa"/>
            <w:vAlign w:val="bottom"/>
            <w:tcBorders>
              <w:bottom w:val="single" w:sz="8" w:color="483E65"/>
            </w:tcBorders>
          </w:tcPr>
          <w:p>
            <w:pPr>
              <w:spacing w:after="0"/>
              <w:rPr>
                <w:sz w:val="5"/>
                <w:szCs w:val="5"/>
                <w:color w:val="auto"/>
              </w:rPr>
            </w:pPr>
          </w:p>
        </w:tc>
        <w:tc>
          <w:tcPr>
            <w:tcW w:w="1360" w:type="dxa"/>
            <w:vAlign w:val="bottom"/>
            <w:tcBorders>
              <w:bottom w:val="single" w:sz="8" w:color="483E65"/>
            </w:tcBorders>
          </w:tcPr>
          <w:p>
            <w:pPr>
              <w:spacing w:after="0"/>
              <w:rPr>
                <w:sz w:val="5"/>
                <w:szCs w:val="5"/>
                <w:color w:val="auto"/>
              </w:rPr>
            </w:pPr>
          </w:p>
        </w:tc>
      </w:tr>
      <w:tr>
        <w:trPr>
          <w:trHeight w:val="183"/>
        </w:trPr>
        <w:tc>
          <w:tcPr>
            <w:tcW w:w="3920" w:type="dxa"/>
            <w:vAlign w:val="bottom"/>
          </w:tcPr>
          <w:p>
            <w:pPr>
              <w:ind w:left="100"/>
              <w:spacing w:after="0" w:line="184" w:lineRule="exact"/>
              <w:rPr>
                <w:sz w:val="20"/>
                <w:szCs w:val="20"/>
                <w:color w:val="auto"/>
              </w:rPr>
            </w:pPr>
            <w:r>
              <w:rPr>
                <w:rFonts w:ascii="Arial" w:cs="Arial" w:eastAsia="Arial" w:hAnsi="Arial"/>
                <w:sz w:val="17"/>
                <w:szCs w:val="17"/>
                <w:color w:val="auto"/>
              </w:rPr>
              <w:t>Roger A. Krone</w:t>
            </w:r>
          </w:p>
        </w:tc>
        <w:tc>
          <w:tcPr>
            <w:tcW w:w="1460" w:type="dxa"/>
            <w:vAlign w:val="bottom"/>
          </w:tcPr>
          <w:p>
            <w:pPr>
              <w:jc w:val="right"/>
              <w:ind w:right="377"/>
              <w:spacing w:after="0" w:line="184" w:lineRule="exact"/>
              <w:rPr>
                <w:sz w:val="20"/>
                <w:szCs w:val="20"/>
                <w:color w:val="auto"/>
              </w:rPr>
            </w:pPr>
            <w:r>
              <w:rPr>
                <w:rFonts w:ascii="Arial" w:cs="Arial" w:eastAsia="Arial" w:hAnsi="Arial"/>
                <w:sz w:val="17"/>
                <w:szCs w:val="17"/>
                <w:color w:val="auto"/>
              </w:rPr>
              <w:t>$1,130,000</w:t>
            </w:r>
          </w:p>
        </w:tc>
        <w:tc>
          <w:tcPr>
            <w:tcW w:w="1980" w:type="dxa"/>
            <w:vAlign w:val="bottom"/>
          </w:tcPr>
          <w:p>
            <w:pPr>
              <w:jc w:val="right"/>
              <w:ind w:right="597"/>
              <w:spacing w:after="0" w:line="184" w:lineRule="exact"/>
              <w:rPr>
                <w:sz w:val="20"/>
                <w:szCs w:val="20"/>
                <w:color w:val="auto"/>
              </w:rPr>
            </w:pPr>
            <w:r>
              <w:rPr>
                <w:rFonts w:ascii="Arial" w:cs="Arial" w:eastAsia="Arial" w:hAnsi="Arial"/>
                <w:sz w:val="17"/>
                <w:szCs w:val="17"/>
                <w:color w:val="auto"/>
              </w:rPr>
              <w:t>$1,165,000</w:t>
            </w:r>
          </w:p>
        </w:tc>
        <w:tc>
          <w:tcPr>
            <w:tcW w:w="1660" w:type="dxa"/>
            <w:vAlign w:val="bottom"/>
          </w:tcPr>
          <w:p>
            <w:pPr>
              <w:jc w:val="center"/>
              <w:ind w:left="337"/>
              <w:spacing w:after="0" w:line="184" w:lineRule="exact"/>
              <w:rPr>
                <w:sz w:val="20"/>
                <w:szCs w:val="20"/>
                <w:color w:val="auto"/>
              </w:rPr>
            </w:pPr>
            <w:r>
              <w:rPr>
                <w:rFonts w:ascii="Arial" w:cs="Arial" w:eastAsia="Arial" w:hAnsi="Arial"/>
                <w:sz w:val="17"/>
                <w:szCs w:val="17"/>
                <w:color w:val="auto"/>
                <w:w w:val="97"/>
              </w:rPr>
              <w:t>3%</w:t>
            </w:r>
          </w:p>
        </w:tc>
        <w:tc>
          <w:tcPr>
            <w:tcW w:w="1360" w:type="dxa"/>
            <w:vAlign w:val="bottom"/>
          </w:tcPr>
          <w:p>
            <w:pPr>
              <w:jc w:val="right"/>
              <w:ind w:right="317"/>
              <w:spacing w:after="0" w:line="184" w:lineRule="exact"/>
              <w:rPr>
                <w:sz w:val="20"/>
                <w:szCs w:val="20"/>
                <w:color w:val="auto"/>
              </w:rPr>
            </w:pPr>
            <w:r>
              <w:rPr>
                <w:rFonts w:ascii="Arial" w:cs="Arial" w:eastAsia="Arial" w:hAnsi="Arial"/>
                <w:sz w:val="17"/>
                <w:szCs w:val="17"/>
                <w:color w:val="auto"/>
              </w:rPr>
              <w:t>$35,000</w:t>
            </w:r>
          </w:p>
        </w:tc>
      </w:tr>
      <w:tr>
        <w:trPr>
          <w:trHeight w:val="203"/>
        </w:trPr>
        <w:tc>
          <w:tcPr>
            <w:tcW w:w="3920" w:type="dxa"/>
            <w:vAlign w:val="bottom"/>
            <w:shd w:val="clear" w:color="auto" w:fill="ACABA7"/>
          </w:tcPr>
          <w:p>
            <w:pPr>
              <w:ind w:left="100"/>
              <w:spacing w:after="0"/>
              <w:rPr>
                <w:sz w:val="20"/>
                <w:szCs w:val="20"/>
                <w:color w:val="auto"/>
              </w:rPr>
            </w:pPr>
            <w:r>
              <w:rPr>
                <w:rFonts w:ascii="Arial" w:cs="Arial" w:eastAsia="Arial" w:hAnsi="Arial"/>
                <w:sz w:val="17"/>
                <w:szCs w:val="17"/>
                <w:color w:val="auto"/>
              </w:rPr>
              <w:t>James C. Reagan</w:t>
            </w:r>
          </w:p>
        </w:tc>
        <w:tc>
          <w:tcPr>
            <w:tcW w:w="1460" w:type="dxa"/>
            <w:vAlign w:val="bottom"/>
            <w:shd w:val="clear" w:color="auto" w:fill="ACABA7"/>
          </w:tcPr>
          <w:p>
            <w:pPr>
              <w:jc w:val="right"/>
              <w:ind w:right="377"/>
              <w:spacing w:after="0"/>
              <w:rPr>
                <w:sz w:val="20"/>
                <w:szCs w:val="20"/>
                <w:color w:val="auto"/>
              </w:rPr>
            </w:pPr>
            <w:r>
              <w:rPr>
                <w:rFonts w:ascii="Arial" w:cs="Arial" w:eastAsia="Arial" w:hAnsi="Arial"/>
                <w:sz w:val="17"/>
                <w:szCs w:val="17"/>
                <w:color w:val="auto"/>
              </w:rPr>
              <w:t>$615,000</w:t>
            </w:r>
          </w:p>
        </w:tc>
        <w:tc>
          <w:tcPr>
            <w:tcW w:w="1980" w:type="dxa"/>
            <w:vAlign w:val="bottom"/>
            <w:shd w:val="clear" w:color="auto" w:fill="ACABA7"/>
          </w:tcPr>
          <w:p>
            <w:pPr>
              <w:jc w:val="right"/>
              <w:ind w:right="597"/>
              <w:spacing w:after="0"/>
              <w:rPr>
                <w:sz w:val="20"/>
                <w:szCs w:val="20"/>
                <w:color w:val="auto"/>
              </w:rPr>
            </w:pPr>
            <w:r>
              <w:rPr>
                <w:rFonts w:ascii="Arial" w:cs="Arial" w:eastAsia="Arial" w:hAnsi="Arial"/>
                <w:sz w:val="17"/>
                <w:szCs w:val="17"/>
                <w:color w:val="auto"/>
              </w:rPr>
              <w:t>$640,000</w:t>
            </w:r>
          </w:p>
        </w:tc>
        <w:tc>
          <w:tcPr>
            <w:tcW w:w="1660" w:type="dxa"/>
            <w:vAlign w:val="bottom"/>
            <w:shd w:val="clear" w:color="auto" w:fill="ACABA7"/>
          </w:tcPr>
          <w:p>
            <w:pPr>
              <w:jc w:val="center"/>
              <w:ind w:left="337"/>
              <w:spacing w:after="0"/>
              <w:rPr>
                <w:sz w:val="20"/>
                <w:szCs w:val="20"/>
                <w:color w:val="auto"/>
              </w:rPr>
            </w:pPr>
            <w:r>
              <w:rPr>
                <w:rFonts w:ascii="Arial" w:cs="Arial" w:eastAsia="Arial" w:hAnsi="Arial"/>
                <w:sz w:val="17"/>
                <w:szCs w:val="17"/>
                <w:color w:val="auto"/>
                <w:w w:val="97"/>
              </w:rPr>
              <w:t>4%</w:t>
            </w:r>
          </w:p>
        </w:tc>
        <w:tc>
          <w:tcPr>
            <w:tcW w:w="1360" w:type="dxa"/>
            <w:vAlign w:val="bottom"/>
            <w:shd w:val="clear" w:color="auto" w:fill="ACABA7"/>
          </w:tcPr>
          <w:p>
            <w:pPr>
              <w:jc w:val="right"/>
              <w:ind w:right="317"/>
              <w:spacing w:after="0"/>
              <w:rPr>
                <w:sz w:val="20"/>
                <w:szCs w:val="20"/>
                <w:color w:val="auto"/>
              </w:rPr>
            </w:pPr>
            <w:r>
              <w:rPr>
                <w:rFonts w:ascii="Arial" w:cs="Arial" w:eastAsia="Arial" w:hAnsi="Arial"/>
                <w:sz w:val="17"/>
                <w:szCs w:val="17"/>
                <w:color w:val="auto"/>
              </w:rPr>
              <w:t>$25,000</w:t>
            </w:r>
          </w:p>
        </w:tc>
      </w:tr>
      <w:tr>
        <w:trPr>
          <w:trHeight w:val="203"/>
        </w:trPr>
        <w:tc>
          <w:tcPr>
            <w:tcW w:w="3920" w:type="dxa"/>
            <w:vAlign w:val="bottom"/>
          </w:tcPr>
          <w:p>
            <w:pPr>
              <w:ind w:left="100"/>
              <w:spacing w:after="0"/>
              <w:rPr>
                <w:sz w:val="20"/>
                <w:szCs w:val="20"/>
                <w:color w:val="auto"/>
              </w:rPr>
            </w:pPr>
            <w:r>
              <w:rPr>
                <w:rFonts w:ascii="Arial" w:cs="Arial" w:eastAsia="Arial" w:hAnsi="Arial"/>
                <w:sz w:val="17"/>
                <w:szCs w:val="17"/>
                <w:color w:val="auto"/>
              </w:rPr>
              <w:t>Jonathan W. Scholl</w:t>
            </w:r>
          </w:p>
        </w:tc>
        <w:tc>
          <w:tcPr>
            <w:tcW w:w="1460" w:type="dxa"/>
            <w:vAlign w:val="bottom"/>
          </w:tcPr>
          <w:p>
            <w:pPr>
              <w:jc w:val="right"/>
              <w:ind w:right="377"/>
              <w:spacing w:after="0"/>
              <w:rPr>
                <w:sz w:val="20"/>
                <w:szCs w:val="20"/>
                <w:color w:val="auto"/>
              </w:rPr>
            </w:pPr>
            <w:r>
              <w:rPr>
                <w:rFonts w:ascii="Arial" w:cs="Arial" w:eastAsia="Arial" w:hAnsi="Arial"/>
                <w:sz w:val="17"/>
                <w:szCs w:val="17"/>
                <w:color w:val="auto"/>
              </w:rPr>
              <w:t>$550,000</w:t>
            </w:r>
          </w:p>
        </w:tc>
        <w:tc>
          <w:tcPr>
            <w:tcW w:w="1980" w:type="dxa"/>
            <w:vAlign w:val="bottom"/>
          </w:tcPr>
          <w:p>
            <w:pPr>
              <w:jc w:val="right"/>
              <w:ind w:right="597"/>
              <w:spacing w:after="0"/>
              <w:rPr>
                <w:sz w:val="20"/>
                <w:szCs w:val="20"/>
                <w:color w:val="auto"/>
              </w:rPr>
            </w:pPr>
            <w:r>
              <w:rPr>
                <w:rFonts w:ascii="Arial" w:cs="Arial" w:eastAsia="Arial" w:hAnsi="Arial"/>
                <w:sz w:val="17"/>
                <w:szCs w:val="17"/>
                <w:color w:val="auto"/>
              </w:rPr>
              <w:t>$570,000</w:t>
            </w:r>
          </w:p>
        </w:tc>
        <w:tc>
          <w:tcPr>
            <w:tcW w:w="1660" w:type="dxa"/>
            <w:vAlign w:val="bottom"/>
          </w:tcPr>
          <w:p>
            <w:pPr>
              <w:jc w:val="center"/>
              <w:ind w:left="337"/>
              <w:spacing w:after="0"/>
              <w:rPr>
                <w:sz w:val="20"/>
                <w:szCs w:val="20"/>
                <w:color w:val="auto"/>
              </w:rPr>
            </w:pPr>
            <w:r>
              <w:rPr>
                <w:rFonts w:ascii="Arial" w:cs="Arial" w:eastAsia="Arial" w:hAnsi="Arial"/>
                <w:sz w:val="17"/>
                <w:szCs w:val="17"/>
                <w:color w:val="auto"/>
                <w:w w:val="97"/>
              </w:rPr>
              <w:t>4%</w:t>
            </w:r>
          </w:p>
        </w:tc>
        <w:tc>
          <w:tcPr>
            <w:tcW w:w="1360" w:type="dxa"/>
            <w:vAlign w:val="bottom"/>
          </w:tcPr>
          <w:p>
            <w:pPr>
              <w:jc w:val="right"/>
              <w:ind w:right="317"/>
              <w:spacing w:after="0"/>
              <w:rPr>
                <w:sz w:val="20"/>
                <w:szCs w:val="20"/>
                <w:color w:val="auto"/>
              </w:rPr>
            </w:pPr>
            <w:r>
              <w:rPr>
                <w:rFonts w:ascii="Arial" w:cs="Arial" w:eastAsia="Arial" w:hAnsi="Arial"/>
                <w:sz w:val="17"/>
                <w:szCs w:val="17"/>
                <w:color w:val="auto"/>
              </w:rPr>
              <w:t>$20,000</w:t>
            </w:r>
          </w:p>
        </w:tc>
      </w:tr>
      <w:tr>
        <w:trPr>
          <w:trHeight w:val="203"/>
        </w:trPr>
        <w:tc>
          <w:tcPr>
            <w:tcW w:w="3920" w:type="dxa"/>
            <w:vAlign w:val="bottom"/>
            <w:shd w:val="clear" w:color="auto" w:fill="ACABA7"/>
          </w:tcPr>
          <w:p>
            <w:pPr>
              <w:ind w:left="100"/>
              <w:spacing w:after="0"/>
              <w:rPr>
                <w:sz w:val="20"/>
                <w:szCs w:val="20"/>
                <w:color w:val="auto"/>
              </w:rPr>
            </w:pPr>
            <w:r>
              <w:rPr>
                <w:rFonts w:ascii="Arial" w:cs="Arial" w:eastAsia="Arial" w:hAnsi="Arial"/>
                <w:sz w:val="17"/>
                <w:szCs w:val="17"/>
                <w:color w:val="auto"/>
              </w:rPr>
              <w:t>Jerald S. Howe, Jr.</w:t>
            </w:r>
          </w:p>
        </w:tc>
        <w:tc>
          <w:tcPr>
            <w:tcW w:w="1460" w:type="dxa"/>
            <w:vAlign w:val="bottom"/>
            <w:shd w:val="clear" w:color="auto" w:fill="ACABA7"/>
          </w:tcPr>
          <w:p>
            <w:pPr>
              <w:jc w:val="right"/>
              <w:ind w:right="377"/>
              <w:spacing w:after="0"/>
              <w:rPr>
                <w:sz w:val="20"/>
                <w:szCs w:val="20"/>
                <w:color w:val="auto"/>
              </w:rPr>
            </w:pPr>
            <w:r>
              <w:rPr>
                <w:rFonts w:ascii="Arial" w:cs="Arial" w:eastAsia="Arial" w:hAnsi="Arial"/>
                <w:sz w:val="17"/>
                <w:szCs w:val="17"/>
                <w:color w:val="auto"/>
              </w:rPr>
              <w:t>$575,000</w:t>
            </w:r>
          </w:p>
        </w:tc>
        <w:tc>
          <w:tcPr>
            <w:tcW w:w="1980" w:type="dxa"/>
            <w:vAlign w:val="bottom"/>
            <w:shd w:val="clear" w:color="auto" w:fill="ACABA7"/>
          </w:tcPr>
          <w:p>
            <w:pPr>
              <w:jc w:val="right"/>
              <w:ind w:right="597"/>
              <w:spacing w:after="0"/>
              <w:rPr>
                <w:sz w:val="20"/>
                <w:szCs w:val="20"/>
                <w:color w:val="auto"/>
              </w:rPr>
            </w:pPr>
            <w:r>
              <w:rPr>
                <w:rFonts w:ascii="Arial" w:cs="Arial" w:eastAsia="Arial" w:hAnsi="Arial"/>
                <w:sz w:val="17"/>
                <w:szCs w:val="17"/>
                <w:color w:val="auto"/>
              </w:rPr>
              <w:t>$590,000</w:t>
            </w:r>
          </w:p>
        </w:tc>
        <w:tc>
          <w:tcPr>
            <w:tcW w:w="1660" w:type="dxa"/>
            <w:vAlign w:val="bottom"/>
            <w:shd w:val="clear" w:color="auto" w:fill="ACABA7"/>
          </w:tcPr>
          <w:p>
            <w:pPr>
              <w:jc w:val="center"/>
              <w:ind w:left="337"/>
              <w:spacing w:after="0"/>
              <w:rPr>
                <w:sz w:val="20"/>
                <w:szCs w:val="20"/>
                <w:color w:val="auto"/>
              </w:rPr>
            </w:pPr>
            <w:r>
              <w:rPr>
                <w:rFonts w:ascii="Arial" w:cs="Arial" w:eastAsia="Arial" w:hAnsi="Arial"/>
                <w:sz w:val="17"/>
                <w:szCs w:val="17"/>
                <w:color w:val="auto"/>
                <w:w w:val="97"/>
              </w:rPr>
              <w:t>3%</w:t>
            </w:r>
          </w:p>
        </w:tc>
        <w:tc>
          <w:tcPr>
            <w:tcW w:w="1360" w:type="dxa"/>
            <w:vAlign w:val="bottom"/>
            <w:shd w:val="clear" w:color="auto" w:fill="ACABA7"/>
          </w:tcPr>
          <w:p>
            <w:pPr>
              <w:jc w:val="right"/>
              <w:ind w:right="317"/>
              <w:spacing w:after="0"/>
              <w:rPr>
                <w:sz w:val="20"/>
                <w:szCs w:val="20"/>
                <w:color w:val="auto"/>
              </w:rPr>
            </w:pPr>
            <w:r>
              <w:rPr>
                <w:rFonts w:ascii="Arial" w:cs="Arial" w:eastAsia="Arial" w:hAnsi="Arial"/>
                <w:sz w:val="17"/>
                <w:szCs w:val="17"/>
                <w:color w:val="auto"/>
              </w:rPr>
              <w:t>$15,000</w:t>
            </w:r>
          </w:p>
        </w:tc>
      </w:tr>
      <w:tr>
        <w:trPr>
          <w:trHeight w:val="215"/>
        </w:trPr>
        <w:tc>
          <w:tcPr>
            <w:tcW w:w="3920" w:type="dxa"/>
            <w:vAlign w:val="bottom"/>
          </w:tcPr>
          <w:p>
            <w:pPr>
              <w:ind w:left="100"/>
              <w:spacing w:after="0"/>
              <w:rPr>
                <w:sz w:val="20"/>
                <w:szCs w:val="20"/>
                <w:color w:val="auto"/>
              </w:rPr>
            </w:pPr>
            <w:r>
              <w:rPr>
                <w:rFonts w:ascii="Arial" w:cs="Arial" w:eastAsia="Arial" w:hAnsi="Arial"/>
                <w:sz w:val="17"/>
                <w:szCs w:val="17"/>
                <w:color w:val="auto"/>
              </w:rPr>
              <w:t>Gerard A. Fasano</w:t>
            </w:r>
          </w:p>
        </w:tc>
        <w:tc>
          <w:tcPr>
            <w:tcW w:w="1460" w:type="dxa"/>
            <w:vAlign w:val="bottom"/>
          </w:tcPr>
          <w:p>
            <w:pPr>
              <w:jc w:val="right"/>
              <w:ind w:right="377"/>
              <w:spacing w:after="0"/>
              <w:rPr>
                <w:sz w:val="20"/>
                <w:szCs w:val="20"/>
                <w:color w:val="auto"/>
              </w:rPr>
            </w:pPr>
            <w:r>
              <w:rPr>
                <w:rFonts w:ascii="Arial" w:cs="Arial" w:eastAsia="Arial" w:hAnsi="Arial"/>
                <w:sz w:val="17"/>
                <w:szCs w:val="17"/>
                <w:color w:val="auto"/>
              </w:rPr>
              <w:t>$485,000</w:t>
            </w:r>
          </w:p>
        </w:tc>
        <w:tc>
          <w:tcPr>
            <w:tcW w:w="1980" w:type="dxa"/>
            <w:vAlign w:val="bottom"/>
          </w:tcPr>
          <w:p>
            <w:pPr>
              <w:jc w:val="right"/>
              <w:ind w:right="597"/>
              <w:spacing w:after="0"/>
              <w:rPr>
                <w:sz w:val="20"/>
                <w:szCs w:val="20"/>
                <w:color w:val="auto"/>
              </w:rPr>
            </w:pPr>
            <w:r>
              <w:rPr>
                <w:rFonts w:ascii="Arial" w:cs="Arial" w:eastAsia="Arial" w:hAnsi="Arial"/>
                <w:sz w:val="17"/>
                <w:szCs w:val="17"/>
                <w:color w:val="auto"/>
              </w:rPr>
              <w:t>$525,000</w:t>
            </w:r>
          </w:p>
        </w:tc>
        <w:tc>
          <w:tcPr>
            <w:tcW w:w="1660" w:type="dxa"/>
            <w:vAlign w:val="bottom"/>
          </w:tcPr>
          <w:p>
            <w:pPr>
              <w:jc w:val="center"/>
              <w:ind w:left="337"/>
              <w:spacing w:after="0"/>
              <w:rPr>
                <w:sz w:val="20"/>
                <w:szCs w:val="20"/>
                <w:color w:val="auto"/>
              </w:rPr>
            </w:pPr>
            <w:r>
              <w:rPr>
                <w:rFonts w:ascii="Arial" w:cs="Arial" w:eastAsia="Arial" w:hAnsi="Arial"/>
                <w:sz w:val="17"/>
                <w:szCs w:val="17"/>
                <w:color w:val="auto"/>
                <w:w w:val="97"/>
              </w:rPr>
              <w:t>8%</w:t>
            </w:r>
          </w:p>
        </w:tc>
        <w:tc>
          <w:tcPr>
            <w:tcW w:w="1360" w:type="dxa"/>
            <w:vAlign w:val="bottom"/>
          </w:tcPr>
          <w:p>
            <w:pPr>
              <w:jc w:val="right"/>
              <w:ind w:right="317"/>
              <w:spacing w:after="0"/>
              <w:rPr>
                <w:sz w:val="20"/>
                <w:szCs w:val="20"/>
                <w:color w:val="auto"/>
              </w:rPr>
            </w:pPr>
            <w:r>
              <w:rPr>
                <w:rFonts w:ascii="Arial" w:cs="Arial" w:eastAsia="Arial" w:hAnsi="Arial"/>
                <w:sz w:val="17"/>
                <w:szCs w:val="17"/>
                <w:color w:val="auto"/>
              </w:rPr>
              <w:t>$40,000</w:t>
            </w:r>
          </w:p>
        </w:tc>
      </w:tr>
    </w:tbl>
    <w:p>
      <w:pPr>
        <w:spacing w:after="0" w:line="112" w:lineRule="exact"/>
        <w:rPr>
          <w:sz w:val="20"/>
          <w:szCs w:val="20"/>
          <w:color w:val="auto"/>
        </w:r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22</w:t>
        <w:tab/>
        <w:t>|</w:t>
        <w:tab/>
        <w:t>2020 Proxy Statement</w:t>
      </w:r>
    </w:p>
    <w:p>
      <w:pPr>
        <w:sectPr>
          <w:pgSz w:w="11900" w:h="16838" w:orient="portrait"/>
          <w:cols w:equalWidth="0" w:num="1">
            <w:col w:w="10820"/>
          </w:cols>
          <w:pgMar w:left="320" w:top="441" w:right="75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73"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Annual Cash Incentive Awards for Fiscal 2019</w:t>
      </w:r>
    </w:p>
    <w:p>
      <w:pPr>
        <w:spacing w:after="0" w:line="218" w:lineRule="exact"/>
        <w:rPr>
          <w:sz w:val="20"/>
          <w:szCs w:val="20"/>
          <w:color w:val="auto"/>
        </w:rPr>
      </w:pPr>
    </w:p>
    <w:p>
      <w:pPr>
        <w:ind w:left="440" w:right="80"/>
        <w:spacing w:after="0" w:line="243" w:lineRule="auto"/>
        <w:rPr>
          <w:sz w:val="20"/>
          <w:szCs w:val="20"/>
          <w:color w:val="auto"/>
        </w:rPr>
      </w:pPr>
      <w:r>
        <w:rPr>
          <w:rFonts w:ascii="Arial" w:cs="Arial" w:eastAsia="Arial" w:hAnsi="Arial"/>
          <w:sz w:val="17"/>
          <w:szCs w:val="17"/>
          <w:color w:val="auto"/>
        </w:rPr>
        <w:t>We provided annual cash incentive awards to executives for performance during fiscal 2019 based on the achievement of pre-established financial and personal performance goals and other relevant factors.</w:t>
      </w:r>
    </w:p>
    <w:p>
      <w:pPr>
        <w:spacing w:after="0" w:line="171" w:lineRule="exact"/>
        <w:rPr>
          <w:sz w:val="20"/>
          <w:szCs w:val="20"/>
          <w:color w:val="auto"/>
        </w:rPr>
      </w:pPr>
    </w:p>
    <w:p>
      <w:pPr>
        <w:jc w:val="both"/>
        <w:ind w:left="440" w:right="500"/>
        <w:spacing w:after="0" w:line="249" w:lineRule="auto"/>
        <w:rPr>
          <w:sz w:val="20"/>
          <w:szCs w:val="20"/>
          <w:color w:val="auto"/>
        </w:rPr>
      </w:pPr>
      <w:r>
        <w:rPr>
          <w:rFonts w:ascii="Arial" w:cs="Arial" w:eastAsia="Arial" w:hAnsi="Arial"/>
          <w:sz w:val="17"/>
          <w:szCs w:val="17"/>
          <w:i w:val="1"/>
          <w:iCs w:val="1"/>
          <w:color w:val="483E65"/>
        </w:rPr>
        <w:t xml:space="preserve">Performance Measures and Weightings. </w:t>
      </w:r>
      <w:r>
        <w:rPr>
          <w:rFonts w:ascii="Arial" w:cs="Arial" w:eastAsia="Arial" w:hAnsi="Arial"/>
          <w:sz w:val="17"/>
          <w:szCs w:val="17"/>
          <w:color w:val="000000"/>
        </w:rPr>
        <w:t>Our annual cash incentive plan for fiscal 2019 was designed to incentivize and reward both</w:t>
      </w:r>
      <w:r>
        <w:rPr>
          <w:rFonts w:ascii="Arial" w:cs="Arial" w:eastAsia="Arial" w:hAnsi="Arial"/>
          <w:sz w:val="17"/>
          <w:szCs w:val="17"/>
          <w:i w:val="1"/>
          <w:iCs w:val="1"/>
          <w:color w:val="483E65"/>
        </w:rPr>
        <w:t xml:space="preserve"> </w:t>
      </w:r>
      <w:r>
        <w:rPr>
          <w:rFonts w:ascii="Arial" w:cs="Arial" w:eastAsia="Arial" w:hAnsi="Arial"/>
          <w:sz w:val="17"/>
          <w:szCs w:val="17"/>
          <w:color w:val="000000"/>
        </w:rPr>
        <w:t>company financial performance and individual contributions to enterprise goals. The intended purpose and relative weightings of the performance goals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133985</wp:posOffset>
            </wp:positionV>
            <wp:extent cx="5865495" cy="23964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65495" cy="239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40" w:right="60"/>
        <w:spacing w:after="0" w:line="238" w:lineRule="auto"/>
        <w:rPr>
          <w:sz w:val="20"/>
          <w:szCs w:val="20"/>
          <w:color w:val="auto"/>
        </w:rPr>
      </w:pPr>
      <w:r>
        <w:rPr>
          <w:rFonts w:ascii="Arial" w:cs="Arial" w:eastAsia="Arial" w:hAnsi="Arial"/>
          <w:sz w:val="17"/>
          <w:szCs w:val="17"/>
          <w:i w:val="1"/>
          <w:iCs w:val="1"/>
          <w:color w:val="483E65"/>
        </w:rPr>
        <w:t xml:space="preserve">Financial Performance Targets. </w:t>
      </w:r>
      <w:r>
        <w:rPr>
          <w:rFonts w:ascii="Arial" w:cs="Arial" w:eastAsia="Arial" w:hAnsi="Arial"/>
          <w:sz w:val="17"/>
          <w:szCs w:val="17"/>
          <w:color w:val="000000"/>
        </w:rPr>
        <w:t>Because our financial results are considered the most important factors in setting pay and are objectively</w:t>
      </w:r>
      <w:r>
        <w:rPr>
          <w:rFonts w:ascii="Arial" w:cs="Arial" w:eastAsia="Arial" w:hAnsi="Arial"/>
          <w:sz w:val="17"/>
          <w:szCs w:val="17"/>
          <w:i w:val="1"/>
          <w:iCs w:val="1"/>
          <w:color w:val="483E65"/>
        </w:rPr>
        <w:t xml:space="preserve"> </w:t>
      </w:r>
      <w:r>
        <w:rPr>
          <w:rFonts w:ascii="Arial" w:cs="Arial" w:eastAsia="Arial" w:hAnsi="Arial"/>
          <w:sz w:val="17"/>
          <w:szCs w:val="17"/>
          <w:color w:val="000000"/>
        </w:rPr>
        <w:t>measurable, we weight these metrics most heavily; financial goals represent 80% of the target opportunity under our annual cash incentive program. To the extent that performance for a financial metric is less than 80% of target (threshold performance) no bonus amount would be paid with respect to that metric. Maximum payout (150% of target) for each component is provided for performance at or above 125% of target. The Committee generally seeks to set financial performance goals for the annual cash incentive program at levels that reflect improvement over the prior year’s results. For 2019, the Committee established and approved adjusted operating income and total backlog goals that targeted improvement over 2018 results. Additionally, the Committee introduced a new metric of free cash flow replacing average days working capital. Free cash flow was instituted in 2019 as a measurement of fundamental performance.</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60" w:type="dxa"/>
            <w:vAlign w:val="bottom"/>
          </w:tcPr>
          <w:p>
            <w:pPr>
              <w:ind w:left="260"/>
              <w:spacing w:after="0"/>
              <w:rPr>
                <w:sz w:val="20"/>
                <w:szCs w:val="20"/>
                <w:color w:val="auto"/>
              </w:rPr>
            </w:pPr>
            <w:r>
              <w:rPr>
                <w:rFonts w:ascii="Arial" w:cs="Arial" w:eastAsia="Arial" w:hAnsi="Arial"/>
                <w:sz w:val="17"/>
                <w:szCs w:val="17"/>
                <w:color w:val="483E65"/>
              </w:rPr>
              <w:t>($ in millions)</w:t>
            </w:r>
          </w:p>
        </w:tc>
        <w:tc>
          <w:tcPr>
            <w:tcW w:w="2640" w:type="dxa"/>
            <w:vAlign w:val="bottom"/>
          </w:tcPr>
          <w:p>
            <w:pPr>
              <w:jc w:val="right"/>
              <w:ind w:right="675"/>
              <w:spacing w:after="0"/>
              <w:rPr>
                <w:sz w:val="20"/>
                <w:szCs w:val="20"/>
                <w:color w:val="auto"/>
              </w:rPr>
            </w:pPr>
            <w:r>
              <w:rPr>
                <w:rFonts w:ascii="Arial" w:cs="Arial" w:eastAsia="Arial" w:hAnsi="Arial"/>
                <w:sz w:val="17"/>
                <w:szCs w:val="17"/>
                <w:color w:val="483E65"/>
              </w:rPr>
              <w:t>2018 Results</w:t>
            </w:r>
          </w:p>
        </w:tc>
        <w:tc>
          <w:tcPr>
            <w:tcW w:w="2280" w:type="dxa"/>
            <w:vAlign w:val="bottom"/>
          </w:tcPr>
          <w:p>
            <w:pPr>
              <w:jc w:val="right"/>
              <w:ind w:right="555"/>
              <w:spacing w:after="0"/>
              <w:rPr>
                <w:sz w:val="20"/>
                <w:szCs w:val="20"/>
                <w:color w:val="auto"/>
              </w:rPr>
            </w:pPr>
            <w:r>
              <w:rPr>
                <w:rFonts w:ascii="Arial" w:cs="Arial" w:eastAsia="Arial" w:hAnsi="Arial"/>
                <w:sz w:val="17"/>
                <w:szCs w:val="17"/>
                <w:color w:val="483E65"/>
              </w:rPr>
              <w:t>2019 Target</w:t>
            </w:r>
          </w:p>
        </w:tc>
        <w:tc>
          <w:tcPr>
            <w:tcW w:w="1620" w:type="dxa"/>
            <w:vAlign w:val="bottom"/>
          </w:tcPr>
          <w:p>
            <w:pPr>
              <w:jc w:val="right"/>
              <w:ind w:right="115"/>
              <w:spacing w:after="0"/>
              <w:rPr>
                <w:sz w:val="20"/>
                <w:szCs w:val="20"/>
                <w:color w:val="auto"/>
              </w:rPr>
            </w:pPr>
            <w:r>
              <w:rPr>
                <w:rFonts w:ascii="Arial" w:cs="Arial" w:eastAsia="Arial" w:hAnsi="Arial"/>
                <w:sz w:val="17"/>
                <w:szCs w:val="17"/>
                <w:color w:val="483E65"/>
              </w:rPr>
              <w:t>% Change</w:t>
            </w:r>
          </w:p>
        </w:tc>
        <w:tc>
          <w:tcPr>
            <w:tcW w:w="60" w:type="dxa"/>
            <w:vAlign w:val="bottom"/>
          </w:tcPr>
          <w:p>
            <w:pPr>
              <w:spacing w:after="0"/>
              <w:rPr>
                <w:sz w:val="17"/>
                <w:szCs w:val="17"/>
                <w:color w:val="auto"/>
              </w:rPr>
            </w:pPr>
          </w:p>
        </w:tc>
      </w:tr>
      <w:tr>
        <w:trPr>
          <w:trHeight w:val="39"/>
        </w:trPr>
        <w:tc>
          <w:tcPr>
            <w:tcW w:w="3780" w:type="dxa"/>
            <w:vAlign w:val="bottom"/>
            <w:gridSpan w:val="2"/>
          </w:tcPr>
          <w:p>
            <w:pPr>
              <w:spacing w:after="0"/>
              <w:rPr>
                <w:sz w:val="3"/>
                <w:szCs w:val="3"/>
                <w:color w:val="auto"/>
              </w:rPr>
            </w:pPr>
          </w:p>
        </w:tc>
        <w:tc>
          <w:tcPr>
            <w:tcW w:w="26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3760" w:type="dxa"/>
            <w:vAlign w:val="bottom"/>
            <w:tcBorders>
              <w:top w:val="single" w:sz="8" w:color="483E65"/>
            </w:tcBorders>
          </w:tcPr>
          <w:p>
            <w:pPr>
              <w:spacing w:after="0" w:line="184" w:lineRule="exact"/>
              <w:rPr>
                <w:sz w:val="20"/>
                <w:szCs w:val="20"/>
                <w:color w:val="auto"/>
              </w:rPr>
            </w:pPr>
            <w:r>
              <w:rPr>
                <w:rFonts w:ascii="Arial" w:cs="Arial" w:eastAsia="Arial" w:hAnsi="Arial"/>
                <w:sz w:val="17"/>
                <w:szCs w:val="17"/>
                <w:color w:val="auto"/>
              </w:rPr>
              <w:t>Total Backlog</w:t>
            </w:r>
          </w:p>
        </w:tc>
        <w:tc>
          <w:tcPr>
            <w:tcW w:w="2640" w:type="dxa"/>
            <w:vAlign w:val="bottom"/>
            <w:tcBorders>
              <w:top w:val="single" w:sz="8" w:color="483E65"/>
            </w:tcBorders>
          </w:tcPr>
          <w:p>
            <w:pPr>
              <w:jc w:val="right"/>
              <w:ind w:right="835"/>
              <w:spacing w:after="0" w:line="184" w:lineRule="exact"/>
              <w:rPr>
                <w:sz w:val="20"/>
                <w:szCs w:val="20"/>
                <w:color w:val="auto"/>
              </w:rPr>
            </w:pPr>
            <w:r>
              <w:rPr>
                <w:rFonts w:ascii="Arial" w:cs="Arial" w:eastAsia="Arial" w:hAnsi="Arial"/>
                <w:sz w:val="17"/>
                <w:szCs w:val="17"/>
                <w:color w:val="auto"/>
              </w:rPr>
              <w:t>$20,831</w:t>
            </w:r>
          </w:p>
        </w:tc>
        <w:tc>
          <w:tcPr>
            <w:tcW w:w="2280" w:type="dxa"/>
            <w:vAlign w:val="bottom"/>
            <w:tcBorders>
              <w:top w:val="single" w:sz="8" w:color="483E65"/>
            </w:tcBorders>
          </w:tcPr>
          <w:p>
            <w:pPr>
              <w:jc w:val="right"/>
              <w:ind w:right="655"/>
              <w:spacing w:after="0" w:line="184" w:lineRule="exact"/>
              <w:rPr>
                <w:sz w:val="20"/>
                <w:szCs w:val="20"/>
                <w:color w:val="auto"/>
              </w:rPr>
            </w:pPr>
            <w:r>
              <w:rPr>
                <w:rFonts w:ascii="Arial" w:cs="Arial" w:eastAsia="Arial" w:hAnsi="Arial"/>
                <w:sz w:val="17"/>
                <w:szCs w:val="17"/>
                <w:color w:val="auto"/>
              </w:rPr>
              <w:t>$21,200</w:t>
            </w:r>
          </w:p>
        </w:tc>
        <w:tc>
          <w:tcPr>
            <w:tcW w:w="1620" w:type="dxa"/>
            <w:vAlign w:val="bottom"/>
            <w:tcBorders>
              <w:top w:val="single" w:sz="8" w:color="483E65"/>
            </w:tcBorders>
          </w:tcPr>
          <w:p>
            <w:pPr>
              <w:jc w:val="right"/>
              <w:ind w:right="235"/>
              <w:spacing w:after="0" w:line="184" w:lineRule="exact"/>
              <w:rPr>
                <w:sz w:val="20"/>
                <w:szCs w:val="20"/>
                <w:color w:val="auto"/>
              </w:rPr>
            </w:pPr>
            <w:r>
              <w:rPr>
                <w:rFonts w:ascii="Arial" w:cs="Arial" w:eastAsia="Arial" w:hAnsi="Arial"/>
                <w:sz w:val="17"/>
                <w:szCs w:val="17"/>
                <w:color w:val="auto"/>
              </w:rPr>
              <w:t>2%</w:t>
            </w:r>
          </w:p>
        </w:tc>
        <w:tc>
          <w:tcPr>
            <w:tcW w:w="6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ACABA7"/>
          </w:tcPr>
          <w:p>
            <w:pPr>
              <w:spacing w:after="0"/>
              <w:rPr>
                <w:sz w:val="20"/>
                <w:szCs w:val="20"/>
                <w:color w:val="auto"/>
              </w:rPr>
            </w:pPr>
            <w:r>
              <w:rPr>
                <w:rFonts w:ascii="Arial" w:cs="Arial" w:eastAsia="Arial" w:hAnsi="Arial"/>
                <w:sz w:val="17"/>
                <w:szCs w:val="17"/>
                <w:color w:val="auto"/>
              </w:rPr>
              <w:t>Adjusted Operating Income</w:t>
            </w:r>
          </w:p>
        </w:tc>
        <w:tc>
          <w:tcPr>
            <w:tcW w:w="2640" w:type="dxa"/>
            <w:vAlign w:val="bottom"/>
            <w:shd w:val="clear" w:color="auto" w:fill="ACABA7"/>
          </w:tcPr>
          <w:p>
            <w:pPr>
              <w:jc w:val="right"/>
              <w:ind w:right="835"/>
              <w:spacing w:after="0"/>
              <w:rPr>
                <w:sz w:val="20"/>
                <w:szCs w:val="20"/>
                <w:color w:val="auto"/>
              </w:rPr>
            </w:pPr>
            <w:r>
              <w:rPr>
                <w:rFonts w:ascii="Arial" w:cs="Arial" w:eastAsia="Arial" w:hAnsi="Arial"/>
                <w:sz w:val="17"/>
                <w:szCs w:val="17"/>
                <w:color w:val="auto"/>
              </w:rPr>
              <w:t>$1,004</w:t>
            </w:r>
          </w:p>
        </w:tc>
        <w:tc>
          <w:tcPr>
            <w:tcW w:w="2280" w:type="dxa"/>
            <w:vAlign w:val="bottom"/>
            <w:shd w:val="clear" w:color="auto" w:fill="ACABA7"/>
          </w:tcPr>
          <w:p>
            <w:pPr>
              <w:jc w:val="right"/>
              <w:ind w:right="655"/>
              <w:spacing w:after="0"/>
              <w:rPr>
                <w:sz w:val="20"/>
                <w:szCs w:val="20"/>
                <w:color w:val="auto"/>
              </w:rPr>
            </w:pPr>
            <w:r>
              <w:rPr>
                <w:rFonts w:ascii="Arial" w:cs="Arial" w:eastAsia="Arial" w:hAnsi="Arial"/>
                <w:sz w:val="17"/>
                <w:szCs w:val="17"/>
                <w:color w:val="auto"/>
              </w:rPr>
              <w:t>$1,022</w:t>
            </w:r>
          </w:p>
        </w:tc>
        <w:tc>
          <w:tcPr>
            <w:tcW w:w="1620" w:type="dxa"/>
            <w:vAlign w:val="bottom"/>
            <w:shd w:val="clear" w:color="auto" w:fill="ACABA7"/>
          </w:tcPr>
          <w:p>
            <w:pPr>
              <w:jc w:val="right"/>
              <w:ind w:right="235"/>
              <w:spacing w:after="0"/>
              <w:rPr>
                <w:sz w:val="20"/>
                <w:szCs w:val="20"/>
                <w:color w:val="auto"/>
              </w:rPr>
            </w:pPr>
            <w:r>
              <w:rPr>
                <w:rFonts w:ascii="Arial" w:cs="Arial" w:eastAsia="Arial" w:hAnsi="Arial"/>
                <w:sz w:val="17"/>
                <w:szCs w:val="17"/>
                <w:color w:val="auto"/>
              </w:rPr>
              <w:t>2%</w:t>
            </w:r>
          </w:p>
        </w:tc>
        <w:tc>
          <w:tcPr>
            <w:tcW w:w="60" w:type="dxa"/>
            <w:vAlign w:val="bottom"/>
            <w:shd w:val="clear" w:color="auto" w:fill="ACABA7"/>
          </w:tcPr>
          <w:p>
            <w:pPr>
              <w:spacing w:after="0"/>
              <w:rPr>
                <w:sz w:val="17"/>
                <w:szCs w:val="17"/>
                <w:color w:val="auto"/>
              </w:rPr>
            </w:pPr>
          </w:p>
        </w:tc>
      </w:tr>
    </w:tbl>
    <w:p>
      <w:pPr>
        <w:spacing w:after="0" w:line="184" w:lineRule="exact"/>
        <w:rPr>
          <w:sz w:val="20"/>
          <w:szCs w:val="20"/>
          <w:color w:val="auto"/>
        </w:rPr>
      </w:pPr>
    </w:p>
    <w:p>
      <w:pPr>
        <w:ind w:left="440" w:right="360"/>
        <w:spacing w:after="0" w:line="244" w:lineRule="auto"/>
        <w:rPr>
          <w:sz w:val="20"/>
          <w:szCs w:val="20"/>
          <w:color w:val="auto"/>
        </w:rPr>
      </w:pPr>
      <w:r>
        <w:rPr>
          <w:rFonts w:ascii="Arial" w:cs="Arial" w:eastAsia="Arial" w:hAnsi="Arial"/>
          <w:sz w:val="17"/>
          <w:szCs w:val="17"/>
          <w:i w:val="1"/>
          <w:iCs w:val="1"/>
          <w:color w:val="483E65"/>
        </w:rPr>
        <w:t xml:space="preserve">Personal Goals. </w:t>
      </w:r>
      <w:r>
        <w:rPr>
          <w:rFonts w:ascii="Arial" w:cs="Arial" w:eastAsia="Arial" w:hAnsi="Arial"/>
          <w:sz w:val="17"/>
          <w:szCs w:val="17"/>
          <w:color w:val="000000"/>
        </w:rPr>
        <w:t>We believe that individual contributions towards other enterprise goals are responsible for the achievement of our</w:t>
      </w:r>
      <w:r>
        <w:rPr>
          <w:rFonts w:ascii="Arial" w:cs="Arial" w:eastAsia="Arial" w:hAnsi="Arial"/>
          <w:sz w:val="17"/>
          <w:szCs w:val="17"/>
          <w:i w:val="1"/>
          <w:iCs w:val="1"/>
          <w:color w:val="483E65"/>
        </w:rPr>
        <w:t xml:space="preserve"> </w:t>
      </w:r>
      <w:r>
        <w:rPr>
          <w:rFonts w:ascii="Arial" w:cs="Arial" w:eastAsia="Arial" w:hAnsi="Arial"/>
          <w:sz w:val="17"/>
          <w:szCs w:val="17"/>
          <w:color w:val="000000"/>
        </w:rPr>
        <w:t>financial goals over time. Accordingly, non-formulaic personal goals represent 20% of the target opportunity under our annual cash incentive program, in order to encourage individual efforts in an array of areas that we believe will ultimately lead to improved financial performance for the company.</w:t>
      </w:r>
    </w:p>
    <w:p>
      <w:pPr>
        <w:spacing w:after="0" w:line="171" w:lineRule="exact"/>
        <w:rPr>
          <w:sz w:val="20"/>
          <w:szCs w:val="20"/>
          <w:color w:val="auto"/>
        </w:rPr>
      </w:pPr>
    </w:p>
    <w:p>
      <w:pPr>
        <w:ind w:left="440" w:right="380"/>
        <w:spacing w:after="0"/>
        <w:rPr>
          <w:sz w:val="20"/>
          <w:szCs w:val="20"/>
          <w:color w:val="auto"/>
        </w:rPr>
      </w:pPr>
      <w:r>
        <w:rPr>
          <w:rFonts w:ascii="Arial" w:cs="Arial" w:eastAsia="Arial" w:hAnsi="Arial"/>
          <w:sz w:val="17"/>
          <w:szCs w:val="17"/>
          <w:i w:val="1"/>
          <w:iCs w:val="1"/>
          <w:color w:val="483E65"/>
        </w:rPr>
        <w:t xml:space="preserve">Award Payout Ranges. </w:t>
      </w:r>
      <w:r>
        <w:rPr>
          <w:rFonts w:ascii="Arial" w:cs="Arial" w:eastAsia="Arial" w:hAnsi="Arial"/>
          <w:sz w:val="17"/>
          <w:szCs w:val="17"/>
          <w:color w:val="000000"/>
        </w:rPr>
        <w:t>Payout opportunities for our named executive officers for fiscal 2019 ranged from 80% to 150% of base salary</w:t>
      </w:r>
      <w:r>
        <w:rPr>
          <w:rFonts w:ascii="Arial" w:cs="Arial" w:eastAsia="Arial" w:hAnsi="Arial"/>
          <w:sz w:val="17"/>
          <w:szCs w:val="17"/>
          <w:i w:val="1"/>
          <w:iCs w:val="1"/>
          <w:color w:val="483E65"/>
        </w:rPr>
        <w:t xml:space="preserve"> </w:t>
      </w:r>
      <w:r>
        <w:rPr>
          <w:rFonts w:ascii="Arial" w:cs="Arial" w:eastAsia="Arial" w:hAnsi="Arial"/>
          <w:sz w:val="17"/>
          <w:szCs w:val="17"/>
          <w:color w:val="000000"/>
        </w:rPr>
        <w:t>rates. Potential for each financial goal ranged from 60% at threshold performance (paid only when at least 80% of the objective is achieved) to 150% at maximum performance (paid when 125% or more of the objective is achieved), with the payout for performance between these levels interpolated on a straight-line basis. In addition, failure to achieve threshold performance of at least 70% of our annual adjusted operating income goal for the fiscal year would result in no payout for the financial goals portion of the annual cash incentive.</w:t>
      </w:r>
    </w:p>
    <w:p>
      <w:pPr>
        <w:spacing w:after="0" w:line="113" w:lineRule="exact"/>
        <w:rPr>
          <w:sz w:val="20"/>
          <w:szCs w:val="20"/>
          <w:color w:val="auto"/>
        </w:rPr>
      </w:pPr>
    </w:p>
    <w:p>
      <w:pPr>
        <w:jc w:val="right"/>
        <w:ind w:right="20"/>
        <w:spacing w:after="0"/>
        <w:tabs>
          <w:tab w:leader="none" w:pos="380" w:val="left"/>
          <w:tab w:leader="none" w:pos="16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23</w:t>
      </w:r>
    </w:p>
    <w:p>
      <w:pPr>
        <w:sectPr>
          <w:pgSz w:w="11900" w:h="16838" w:orient="portrait"/>
          <w:cols w:equalWidth="0" w:num="1">
            <w:col w:w="10820"/>
          </w:cols>
          <w:pgMar w:left="320" w:top="441" w:right="75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73"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Annual Incentive Payout Determination for Fiscal 2019</w:t>
      </w:r>
    </w:p>
    <w:p>
      <w:pPr>
        <w:spacing w:after="0" w:line="200" w:lineRule="exact"/>
        <w:rPr>
          <w:sz w:val="20"/>
          <w:szCs w:val="20"/>
          <w:color w:val="auto"/>
        </w:rPr>
      </w:pPr>
    </w:p>
    <w:p>
      <w:pPr>
        <w:ind w:left="440" w:right="320"/>
        <w:spacing w:after="0" w:line="249" w:lineRule="auto"/>
        <w:rPr>
          <w:sz w:val="20"/>
          <w:szCs w:val="20"/>
          <w:color w:val="auto"/>
        </w:rPr>
      </w:pPr>
      <w:r>
        <w:rPr>
          <w:rFonts w:ascii="Arial" w:cs="Arial" w:eastAsia="Arial" w:hAnsi="Arial"/>
          <w:sz w:val="17"/>
          <w:szCs w:val="17"/>
          <w:i w:val="1"/>
          <w:iCs w:val="1"/>
          <w:color w:val="483E65"/>
        </w:rPr>
        <w:t xml:space="preserve">Financial Achievement Levels. </w:t>
      </w:r>
      <w:r>
        <w:rPr>
          <w:rFonts w:ascii="Arial" w:cs="Arial" w:eastAsia="Arial" w:hAnsi="Arial"/>
          <w:sz w:val="17"/>
          <w:szCs w:val="17"/>
          <w:color w:val="000000"/>
        </w:rPr>
        <w:t>The Committee established the performance targets for our annual cash incentive program at the</w:t>
      </w:r>
      <w:r>
        <w:rPr>
          <w:rFonts w:ascii="Arial" w:cs="Arial" w:eastAsia="Arial" w:hAnsi="Arial"/>
          <w:sz w:val="17"/>
          <w:szCs w:val="17"/>
          <w:i w:val="1"/>
          <w:iCs w:val="1"/>
          <w:color w:val="483E65"/>
        </w:rPr>
        <w:t xml:space="preserve"> </w:t>
      </w:r>
      <w:r>
        <w:rPr>
          <w:rFonts w:ascii="Arial" w:cs="Arial" w:eastAsia="Arial" w:hAnsi="Arial"/>
          <w:sz w:val="17"/>
          <w:szCs w:val="17"/>
          <w:color w:val="000000"/>
        </w:rPr>
        <w:t>beginning of the fiscal year. For our named executive officers the targeted enterprise financial performance and actual performance for fiscal 2019 were:</w:t>
      </w:r>
    </w:p>
    <w:p>
      <w:pPr>
        <w:spacing w:after="0" w:line="210" w:lineRule="exact"/>
        <w:rPr>
          <w:sz w:val="20"/>
          <w:szCs w:val="20"/>
          <w:color w:val="auto"/>
        </w:rPr>
      </w:pPr>
    </w:p>
    <w:tbl>
      <w:tblPr>
        <w:tblLayout w:type="fixed"/>
        <w:tblInd w:w="4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340" w:type="dxa"/>
            <w:vAlign w:val="bottom"/>
          </w:tcPr>
          <w:p>
            <w:pPr>
              <w:ind w:left="260"/>
              <w:spacing w:after="0"/>
              <w:rPr>
                <w:sz w:val="20"/>
                <w:szCs w:val="20"/>
                <w:color w:val="auto"/>
              </w:rPr>
            </w:pPr>
            <w:r>
              <w:rPr>
                <w:rFonts w:ascii="Arial" w:cs="Arial" w:eastAsia="Arial" w:hAnsi="Arial"/>
                <w:sz w:val="17"/>
                <w:szCs w:val="17"/>
                <w:color w:val="483E65"/>
              </w:rPr>
              <w:t>($ in millions)</w:t>
            </w:r>
          </w:p>
        </w:tc>
        <w:tc>
          <w:tcPr>
            <w:tcW w:w="1240" w:type="dxa"/>
            <w:vAlign w:val="bottom"/>
          </w:tcPr>
          <w:p>
            <w:pPr>
              <w:jc w:val="right"/>
              <w:ind w:right="555"/>
              <w:spacing w:after="0"/>
              <w:rPr>
                <w:sz w:val="20"/>
                <w:szCs w:val="20"/>
                <w:color w:val="auto"/>
              </w:rPr>
            </w:pPr>
            <w:r>
              <w:rPr>
                <w:rFonts w:ascii="Arial" w:cs="Arial" w:eastAsia="Arial" w:hAnsi="Arial"/>
                <w:sz w:val="17"/>
                <w:szCs w:val="17"/>
                <w:color w:val="483E65"/>
              </w:rPr>
              <w:t>Target</w:t>
            </w:r>
          </w:p>
        </w:tc>
        <w:tc>
          <w:tcPr>
            <w:tcW w:w="2140" w:type="dxa"/>
            <w:vAlign w:val="bottom"/>
          </w:tcPr>
          <w:p>
            <w:pPr>
              <w:jc w:val="right"/>
              <w:ind w:right="1015"/>
              <w:spacing w:after="0"/>
              <w:rPr>
                <w:sz w:val="20"/>
                <w:szCs w:val="20"/>
                <w:color w:val="auto"/>
              </w:rPr>
            </w:pPr>
            <w:r>
              <w:rPr>
                <w:rFonts w:ascii="Arial" w:cs="Arial" w:eastAsia="Arial" w:hAnsi="Arial"/>
                <w:sz w:val="17"/>
                <w:szCs w:val="17"/>
                <w:color w:val="483E65"/>
              </w:rPr>
              <w:t>Actual</w:t>
            </w:r>
          </w:p>
        </w:tc>
        <w:tc>
          <w:tcPr>
            <w:tcW w:w="2640" w:type="dxa"/>
            <w:vAlign w:val="bottom"/>
          </w:tcPr>
          <w:p>
            <w:pPr>
              <w:jc w:val="right"/>
              <w:ind w:right="115"/>
              <w:spacing w:after="0"/>
              <w:rPr>
                <w:sz w:val="20"/>
                <w:szCs w:val="20"/>
                <w:color w:val="auto"/>
              </w:rPr>
            </w:pPr>
            <w:r>
              <w:rPr>
                <w:rFonts w:ascii="Arial" w:cs="Arial" w:eastAsia="Arial" w:hAnsi="Arial"/>
                <w:sz w:val="17"/>
                <w:szCs w:val="17"/>
                <w:color w:val="483E65"/>
              </w:rPr>
              <w:t>Achievement Level</w:t>
            </w:r>
          </w:p>
        </w:tc>
      </w:tr>
      <w:tr>
        <w:trPr>
          <w:trHeight w:val="39"/>
        </w:trPr>
        <w:tc>
          <w:tcPr>
            <w:tcW w:w="4360" w:type="dxa"/>
            <w:vAlign w:val="bottom"/>
            <w:gridSpan w:val="2"/>
          </w:tcPr>
          <w:p>
            <w:pPr>
              <w:spacing w:after="0"/>
              <w:rPr>
                <w:sz w:val="3"/>
                <w:szCs w:val="3"/>
                <w:color w:val="auto"/>
              </w:rPr>
            </w:pPr>
          </w:p>
        </w:tc>
        <w:tc>
          <w:tcPr>
            <w:tcW w:w="12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640" w:type="dxa"/>
            <w:vAlign w:val="bottom"/>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340" w:type="dxa"/>
            <w:vAlign w:val="bottom"/>
            <w:tcBorders>
              <w:top w:val="single" w:sz="8" w:color="483E65"/>
            </w:tcBorders>
          </w:tcPr>
          <w:p>
            <w:pPr>
              <w:spacing w:after="0" w:line="184" w:lineRule="exact"/>
              <w:rPr>
                <w:sz w:val="20"/>
                <w:szCs w:val="20"/>
                <w:color w:val="auto"/>
              </w:rPr>
            </w:pPr>
            <w:r>
              <w:rPr>
                <w:rFonts w:ascii="Arial" w:cs="Arial" w:eastAsia="Arial" w:hAnsi="Arial"/>
                <w:sz w:val="17"/>
                <w:szCs w:val="17"/>
                <w:color w:val="auto"/>
              </w:rPr>
              <w:t xml:space="preserve">Total Backlog </w:t>
            </w:r>
            <w:r>
              <w:rPr>
                <w:rFonts w:ascii="Arial" w:cs="Arial" w:eastAsia="Arial" w:hAnsi="Arial"/>
                <w:sz w:val="14"/>
                <w:szCs w:val="14"/>
                <w:color w:val="auto"/>
              </w:rPr>
              <w:t>(1)</w:t>
            </w:r>
          </w:p>
        </w:tc>
        <w:tc>
          <w:tcPr>
            <w:tcW w:w="1240" w:type="dxa"/>
            <w:vAlign w:val="bottom"/>
            <w:tcBorders>
              <w:top w:val="single" w:sz="8" w:color="483E65"/>
            </w:tcBorders>
          </w:tcPr>
          <w:p>
            <w:pPr>
              <w:jc w:val="right"/>
              <w:ind w:right="455"/>
              <w:spacing w:after="0" w:line="184" w:lineRule="exact"/>
              <w:rPr>
                <w:sz w:val="20"/>
                <w:szCs w:val="20"/>
                <w:color w:val="auto"/>
              </w:rPr>
            </w:pPr>
            <w:r>
              <w:rPr>
                <w:rFonts w:ascii="Arial" w:cs="Arial" w:eastAsia="Arial" w:hAnsi="Arial"/>
                <w:sz w:val="17"/>
                <w:szCs w:val="17"/>
                <w:color w:val="auto"/>
              </w:rPr>
              <w:t>$21,200</w:t>
            </w:r>
          </w:p>
        </w:tc>
        <w:tc>
          <w:tcPr>
            <w:tcW w:w="2140" w:type="dxa"/>
            <w:vAlign w:val="bottom"/>
            <w:tcBorders>
              <w:top w:val="single" w:sz="8" w:color="483E65"/>
            </w:tcBorders>
          </w:tcPr>
          <w:p>
            <w:pPr>
              <w:jc w:val="right"/>
              <w:ind w:right="915"/>
              <w:spacing w:after="0" w:line="184" w:lineRule="exact"/>
              <w:rPr>
                <w:sz w:val="20"/>
                <w:szCs w:val="20"/>
                <w:color w:val="auto"/>
              </w:rPr>
            </w:pPr>
            <w:r>
              <w:rPr>
                <w:rFonts w:ascii="Arial" w:cs="Arial" w:eastAsia="Arial" w:hAnsi="Arial"/>
                <w:sz w:val="17"/>
                <w:szCs w:val="17"/>
                <w:color w:val="auto"/>
              </w:rPr>
              <w:t>$23,141</w:t>
            </w:r>
          </w:p>
        </w:tc>
        <w:tc>
          <w:tcPr>
            <w:tcW w:w="2640" w:type="dxa"/>
            <w:vAlign w:val="bottom"/>
            <w:tcBorders>
              <w:top w:val="single" w:sz="8" w:color="483E65"/>
            </w:tcBorders>
          </w:tcPr>
          <w:p>
            <w:pPr>
              <w:jc w:val="right"/>
              <w:ind w:right="475"/>
              <w:spacing w:after="0" w:line="184" w:lineRule="exact"/>
              <w:rPr>
                <w:sz w:val="20"/>
                <w:szCs w:val="20"/>
                <w:color w:val="auto"/>
              </w:rPr>
            </w:pPr>
            <w:r>
              <w:rPr>
                <w:rFonts w:ascii="Arial" w:cs="Arial" w:eastAsia="Arial" w:hAnsi="Arial"/>
                <w:sz w:val="17"/>
                <w:szCs w:val="17"/>
                <w:color w:val="auto"/>
              </w:rPr>
              <w:t>109%</w:t>
            </w:r>
          </w:p>
        </w:tc>
      </w:tr>
      <w:tr>
        <w:trPr>
          <w:trHeight w:val="203"/>
        </w:trPr>
        <w:tc>
          <w:tcPr>
            <w:tcW w:w="20" w:type="dxa"/>
            <w:vAlign w:val="bottom"/>
          </w:tcPr>
          <w:p>
            <w:pPr>
              <w:spacing w:after="0"/>
              <w:rPr>
                <w:sz w:val="17"/>
                <w:szCs w:val="17"/>
                <w:color w:val="auto"/>
              </w:rPr>
            </w:pPr>
          </w:p>
        </w:tc>
        <w:tc>
          <w:tcPr>
            <w:tcW w:w="4340" w:type="dxa"/>
            <w:vAlign w:val="bottom"/>
            <w:shd w:val="clear" w:color="auto" w:fill="ACABA7"/>
          </w:tcPr>
          <w:p>
            <w:pPr>
              <w:spacing w:after="0"/>
              <w:rPr>
                <w:sz w:val="20"/>
                <w:szCs w:val="20"/>
                <w:color w:val="auto"/>
              </w:rPr>
            </w:pPr>
            <w:r>
              <w:rPr>
                <w:rFonts w:ascii="Arial" w:cs="Arial" w:eastAsia="Arial" w:hAnsi="Arial"/>
                <w:sz w:val="17"/>
                <w:szCs w:val="17"/>
                <w:color w:val="auto"/>
              </w:rPr>
              <w:t xml:space="preserve">Adjusted Operating Income </w:t>
            </w:r>
            <w:r>
              <w:rPr>
                <w:rFonts w:ascii="Arial" w:cs="Arial" w:eastAsia="Arial" w:hAnsi="Arial"/>
                <w:sz w:val="14"/>
                <w:szCs w:val="14"/>
                <w:color w:val="auto"/>
              </w:rPr>
              <w:t>(2)</w:t>
            </w:r>
          </w:p>
        </w:tc>
        <w:tc>
          <w:tcPr>
            <w:tcW w:w="1240" w:type="dxa"/>
            <w:vAlign w:val="bottom"/>
            <w:shd w:val="clear" w:color="auto" w:fill="ACABA7"/>
          </w:tcPr>
          <w:p>
            <w:pPr>
              <w:jc w:val="right"/>
              <w:ind w:right="455"/>
              <w:spacing w:after="0"/>
              <w:rPr>
                <w:sz w:val="20"/>
                <w:szCs w:val="20"/>
                <w:color w:val="auto"/>
              </w:rPr>
            </w:pPr>
            <w:r>
              <w:rPr>
                <w:rFonts w:ascii="Arial" w:cs="Arial" w:eastAsia="Arial" w:hAnsi="Arial"/>
                <w:sz w:val="17"/>
                <w:szCs w:val="17"/>
                <w:color w:val="auto"/>
              </w:rPr>
              <w:t>$1,022</w:t>
            </w:r>
          </w:p>
        </w:tc>
        <w:tc>
          <w:tcPr>
            <w:tcW w:w="2140" w:type="dxa"/>
            <w:vAlign w:val="bottom"/>
            <w:shd w:val="clear" w:color="auto" w:fill="ACABA7"/>
          </w:tcPr>
          <w:p>
            <w:pPr>
              <w:jc w:val="right"/>
              <w:ind w:right="915"/>
              <w:spacing w:after="0"/>
              <w:rPr>
                <w:sz w:val="20"/>
                <w:szCs w:val="20"/>
                <w:color w:val="auto"/>
              </w:rPr>
            </w:pPr>
            <w:r>
              <w:rPr>
                <w:rFonts w:ascii="Arial" w:cs="Arial" w:eastAsia="Arial" w:hAnsi="Arial"/>
                <w:sz w:val="17"/>
                <w:szCs w:val="17"/>
                <w:color w:val="auto"/>
              </w:rPr>
              <w:t>$1,099</w:t>
            </w:r>
          </w:p>
        </w:tc>
        <w:tc>
          <w:tcPr>
            <w:tcW w:w="2640" w:type="dxa"/>
            <w:vAlign w:val="bottom"/>
            <w:shd w:val="clear" w:color="auto" w:fill="ACABA7"/>
          </w:tcPr>
          <w:p>
            <w:pPr>
              <w:jc w:val="right"/>
              <w:ind w:right="475"/>
              <w:spacing w:after="0"/>
              <w:rPr>
                <w:sz w:val="20"/>
                <w:szCs w:val="20"/>
                <w:color w:val="auto"/>
              </w:rPr>
            </w:pPr>
            <w:r>
              <w:rPr>
                <w:rFonts w:ascii="Arial" w:cs="Arial" w:eastAsia="Arial" w:hAnsi="Arial"/>
                <w:sz w:val="17"/>
                <w:szCs w:val="17"/>
                <w:color w:val="auto"/>
              </w:rPr>
              <w:t>108%</w:t>
            </w:r>
          </w:p>
        </w:tc>
      </w:tr>
      <w:tr>
        <w:trPr>
          <w:trHeight w:val="203"/>
        </w:trPr>
        <w:tc>
          <w:tcPr>
            <w:tcW w:w="4360" w:type="dxa"/>
            <w:vAlign w:val="bottom"/>
            <w:gridSpan w:val="2"/>
          </w:tcPr>
          <w:p>
            <w:pPr>
              <w:spacing w:after="0"/>
              <w:rPr>
                <w:sz w:val="20"/>
                <w:szCs w:val="20"/>
                <w:color w:val="auto"/>
              </w:rPr>
            </w:pPr>
            <w:r>
              <w:rPr>
                <w:rFonts w:ascii="Arial" w:cs="Arial" w:eastAsia="Arial" w:hAnsi="Arial"/>
                <w:sz w:val="17"/>
                <w:szCs w:val="17"/>
                <w:color w:val="auto"/>
              </w:rPr>
              <w:t>Free Cash Flow</w:t>
            </w:r>
          </w:p>
        </w:tc>
        <w:tc>
          <w:tcPr>
            <w:tcW w:w="1240" w:type="dxa"/>
            <w:vAlign w:val="bottom"/>
          </w:tcPr>
          <w:p>
            <w:pPr>
              <w:jc w:val="right"/>
              <w:ind w:right="455"/>
              <w:spacing w:after="0"/>
              <w:rPr>
                <w:sz w:val="20"/>
                <w:szCs w:val="20"/>
                <w:color w:val="auto"/>
              </w:rPr>
            </w:pPr>
            <w:r>
              <w:rPr>
                <w:rFonts w:ascii="Arial" w:cs="Arial" w:eastAsia="Arial" w:hAnsi="Arial"/>
                <w:sz w:val="17"/>
                <w:szCs w:val="17"/>
                <w:color w:val="auto"/>
              </w:rPr>
              <w:t>$588</w:t>
            </w:r>
          </w:p>
        </w:tc>
        <w:tc>
          <w:tcPr>
            <w:tcW w:w="2140" w:type="dxa"/>
            <w:vAlign w:val="bottom"/>
          </w:tcPr>
          <w:p>
            <w:pPr>
              <w:jc w:val="right"/>
              <w:ind w:right="915"/>
              <w:spacing w:after="0"/>
              <w:rPr>
                <w:sz w:val="20"/>
                <w:szCs w:val="20"/>
                <w:color w:val="auto"/>
              </w:rPr>
            </w:pPr>
            <w:r>
              <w:rPr>
                <w:rFonts w:ascii="Arial" w:cs="Arial" w:eastAsia="Arial" w:hAnsi="Arial"/>
                <w:sz w:val="17"/>
                <w:szCs w:val="17"/>
                <w:color w:val="auto"/>
              </w:rPr>
              <w:t>$871</w:t>
            </w:r>
          </w:p>
        </w:tc>
        <w:tc>
          <w:tcPr>
            <w:tcW w:w="2640" w:type="dxa"/>
            <w:vAlign w:val="bottom"/>
          </w:tcPr>
          <w:p>
            <w:pPr>
              <w:jc w:val="right"/>
              <w:ind w:right="475"/>
              <w:spacing w:after="0"/>
              <w:rPr>
                <w:sz w:val="20"/>
                <w:szCs w:val="20"/>
                <w:color w:val="auto"/>
              </w:rPr>
            </w:pPr>
            <w:r>
              <w:rPr>
                <w:rFonts w:ascii="Arial" w:cs="Arial" w:eastAsia="Arial" w:hAnsi="Arial"/>
                <w:sz w:val="17"/>
                <w:szCs w:val="17"/>
                <w:color w:val="auto"/>
              </w:rPr>
              <w:t>148%</w:t>
            </w:r>
          </w:p>
        </w:tc>
      </w:tr>
      <w:tr>
        <w:trPr>
          <w:trHeight w:val="203"/>
        </w:trPr>
        <w:tc>
          <w:tcPr>
            <w:tcW w:w="20" w:type="dxa"/>
            <w:vAlign w:val="bottom"/>
          </w:tcPr>
          <w:p>
            <w:pPr>
              <w:spacing w:after="0"/>
              <w:rPr>
                <w:sz w:val="17"/>
                <w:szCs w:val="17"/>
                <w:color w:val="auto"/>
              </w:rPr>
            </w:pPr>
          </w:p>
        </w:tc>
        <w:tc>
          <w:tcPr>
            <w:tcW w:w="4340" w:type="dxa"/>
            <w:vAlign w:val="bottom"/>
            <w:shd w:val="clear" w:color="auto" w:fill="ACABA7"/>
          </w:tcPr>
          <w:p>
            <w:pPr>
              <w:spacing w:after="0"/>
              <w:rPr>
                <w:sz w:val="20"/>
                <w:szCs w:val="20"/>
                <w:color w:val="auto"/>
              </w:rPr>
            </w:pPr>
            <w:r>
              <w:rPr>
                <w:rFonts w:ascii="Arial" w:cs="Arial" w:eastAsia="Arial" w:hAnsi="Arial"/>
                <w:sz w:val="17"/>
                <w:szCs w:val="17"/>
                <w:color w:val="auto"/>
              </w:rPr>
              <w:t>Weighted Financial Performance Achievement Level:</w:t>
            </w:r>
          </w:p>
        </w:tc>
        <w:tc>
          <w:tcPr>
            <w:tcW w:w="1240" w:type="dxa"/>
            <w:vAlign w:val="bottom"/>
            <w:shd w:val="clear" w:color="auto" w:fill="ACABA7"/>
          </w:tcPr>
          <w:p>
            <w:pPr>
              <w:spacing w:after="0"/>
              <w:rPr>
                <w:sz w:val="17"/>
                <w:szCs w:val="17"/>
                <w:color w:val="auto"/>
              </w:rPr>
            </w:pPr>
          </w:p>
        </w:tc>
        <w:tc>
          <w:tcPr>
            <w:tcW w:w="2140" w:type="dxa"/>
            <w:vAlign w:val="bottom"/>
            <w:shd w:val="clear" w:color="auto" w:fill="ACABA7"/>
          </w:tcPr>
          <w:p>
            <w:pPr>
              <w:spacing w:after="0"/>
              <w:rPr>
                <w:sz w:val="17"/>
                <w:szCs w:val="17"/>
                <w:color w:val="auto"/>
              </w:rPr>
            </w:pPr>
          </w:p>
        </w:tc>
        <w:tc>
          <w:tcPr>
            <w:tcW w:w="2640" w:type="dxa"/>
            <w:vAlign w:val="bottom"/>
            <w:shd w:val="clear" w:color="auto" w:fill="ACABA7"/>
          </w:tcPr>
          <w:p>
            <w:pPr>
              <w:jc w:val="right"/>
              <w:ind w:right="475"/>
              <w:spacing w:after="0"/>
              <w:rPr>
                <w:sz w:val="20"/>
                <w:szCs w:val="20"/>
                <w:color w:val="auto"/>
              </w:rPr>
            </w:pPr>
            <w:r>
              <w:rPr>
                <w:rFonts w:ascii="Arial" w:cs="Arial" w:eastAsia="Arial" w:hAnsi="Arial"/>
                <w:sz w:val="17"/>
                <w:szCs w:val="17"/>
                <w:color w:val="auto"/>
              </w:rPr>
              <w:t>123%</w:t>
            </w:r>
          </w:p>
        </w:tc>
      </w:tr>
    </w:tbl>
    <w:p>
      <w:pPr>
        <w:spacing w:after="0" w:line="114" w:lineRule="exact"/>
        <w:rPr>
          <w:sz w:val="20"/>
          <w:szCs w:val="20"/>
          <w:color w:val="auto"/>
        </w:rPr>
      </w:pPr>
    </w:p>
    <w:p>
      <w:pPr>
        <w:ind w:left="940" w:right="1000" w:hanging="500"/>
        <w:spacing w:after="0" w:line="243" w:lineRule="auto"/>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Reflects actual backlog of $24,090 million, less $949 million favorable impact to backlog due to a change in accounting methodology resulting from a contract re-evaluation.</w:t>
      </w:r>
    </w:p>
    <w:p>
      <w:pPr>
        <w:spacing w:after="0" w:line="99" w:lineRule="exact"/>
        <w:rPr>
          <w:rFonts w:ascii="Arial" w:cs="Arial" w:eastAsia="Arial" w:hAnsi="Arial"/>
          <w:sz w:val="17"/>
          <w:szCs w:val="17"/>
          <w:color w:val="auto"/>
        </w:rPr>
      </w:pPr>
    </w:p>
    <w:p>
      <w:pPr>
        <w:ind w:left="940" w:right="40" w:hanging="500"/>
        <w:spacing w:after="0" w:line="237" w:lineRule="auto"/>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Adjusted operating income is not a measure of financial performance under generally accepted accounting principles (“GAAP”) in the United States. We believe that adjusted operating income provides useful information to management and stockholders as it provides another measure of the company’s profitability after adjusting for the impact of discrete events. A reconciliation of adjusted operating income to the most comparable GAAP measure is set forth below:</w:t>
      </w:r>
    </w:p>
    <w:p>
      <w:pPr>
        <w:spacing w:after="0" w:line="215" w:lineRule="exact"/>
        <w:rPr>
          <w:sz w:val="20"/>
          <w:szCs w:val="20"/>
          <w:color w:val="auto"/>
        </w:rPr>
      </w:pPr>
    </w:p>
    <w:p>
      <w:pPr>
        <w:ind w:left="960"/>
        <w:spacing w:after="0"/>
        <w:rPr>
          <w:sz w:val="20"/>
          <w:szCs w:val="20"/>
          <w:color w:val="auto"/>
        </w:rPr>
      </w:pPr>
      <w:r>
        <w:rPr>
          <w:rFonts w:ascii="Arial" w:cs="Arial" w:eastAsia="Arial" w:hAnsi="Arial"/>
          <w:sz w:val="17"/>
          <w:szCs w:val="17"/>
          <w:color w:val="483E65"/>
        </w:rPr>
        <w:t>($ in millions)</w:t>
      </w:r>
    </w:p>
    <w:tbl>
      <w:tblPr>
        <w:tblLayout w:type="fixed"/>
        <w:tblInd w:w="860" w:type="dxa"/>
        <w:tblCellMar>
          <w:top w:w="0" w:type="dxa"/>
          <w:left w:w="0" w:type="dxa"/>
          <w:bottom w:w="0" w:type="dxa"/>
          <w:right w:w="0" w:type="dxa"/>
        </w:tblCellMar>
      </w:tblPr>
      <w:tr>
        <w:trPr>
          <w:trHeight w:val="183"/>
        </w:trPr>
        <w:tc>
          <w:tcPr>
            <w:tcW w:w="9100" w:type="dxa"/>
            <w:vAlign w:val="bottom"/>
            <w:tcBorders>
              <w:top w:val="single" w:sz="8" w:color="483E65"/>
            </w:tcBorders>
          </w:tcPr>
          <w:p>
            <w:pPr>
              <w:ind w:left="100"/>
              <w:spacing w:after="0" w:line="184" w:lineRule="exact"/>
              <w:rPr>
                <w:sz w:val="20"/>
                <w:szCs w:val="20"/>
                <w:color w:val="auto"/>
              </w:rPr>
            </w:pPr>
            <w:r>
              <w:rPr>
                <w:rFonts w:ascii="Arial" w:cs="Arial" w:eastAsia="Arial" w:hAnsi="Arial"/>
                <w:sz w:val="17"/>
                <w:szCs w:val="17"/>
                <w:color w:val="auto"/>
              </w:rPr>
              <w:t>GAAP Operating Income</w:t>
            </w:r>
          </w:p>
        </w:tc>
        <w:tc>
          <w:tcPr>
            <w:tcW w:w="860" w:type="dxa"/>
            <w:vAlign w:val="bottom"/>
            <w:tcBorders>
              <w:top w:val="single" w:sz="8" w:color="483E65"/>
            </w:tcBorders>
          </w:tcPr>
          <w:p>
            <w:pPr>
              <w:jc w:val="right"/>
              <w:ind w:right="75"/>
              <w:spacing w:after="0" w:line="184" w:lineRule="exact"/>
              <w:rPr>
                <w:sz w:val="20"/>
                <w:szCs w:val="20"/>
                <w:color w:val="auto"/>
              </w:rPr>
            </w:pPr>
            <w:r>
              <w:rPr>
                <w:rFonts w:ascii="Arial" w:cs="Arial" w:eastAsia="Arial" w:hAnsi="Arial"/>
                <w:sz w:val="17"/>
                <w:szCs w:val="17"/>
                <w:color w:val="auto"/>
              </w:rPr>
              <w:t>$ 912</w:t>
            </w:r>
          </w:p>
        </w:tc>
      </w:tr>
      <w:tr>
        <w:trPr>
          <w:trHeight w:val="203"/>
        </w:trPr>
        <w:tc>
          <w:tcPr>
            <w:tcW w:w="9100" w:type="dxa"/>
            <w:vAlign w:val="bottom"/>
            <w:shd w:val="clear" w:color="auto" w:fill="ACABA7"/>
          </w:tcPr>
          <w:p>
            <w:pPr>
              <w:ind w:left="420"/>
              <w:spacing w:after="0"/>
              <w:rPr>
                <w:sz w:val="20"/>
                <w:szCs w:val="20"/>
                <w:color w:val="auto"/>
              </w:rPr>
            </w:pPr>
            <w:r>
              <w:rPr>
                <w:rFonts w:ascii="Arial" w:cs="Arial" w:eastAsia="Arial" w:hAnsi="Arial"/>
                <w:sz w:val="17"/>
                <w:szCs w:val="17"/>
                <w:color w:val="auto"/>
              </w:rPr>
              <w:t>Amortization of Acquired Intangibles</w:t>
            </w:r>
          </w:p>
        </w:tc>
        <w:tc>
          <w:tcPr>
            <w:tcW w:w="860" w:type="dxa"/>
            <w:vAlign w:val="bottom"/>
            <w:shd w:val="clear" w:color="auto" w:fill="ACABA7"/>
          </w:tcPr>
          <w:p>
            <w:pPr>
              <w:jc w:val="right"/>
              <w:ind w:right="75"/>
              <w:spacing w:after="0"/>
              <w:rPr>
                <w:sz w:val="20"/>
                <w:szCs w:val="20"/>
                <w:color w:val="auto"/>
              </w:rPr>
            </w:pPr>
            <w:r>
              <w:rPr>
                <w:rFonts w:ascii="Arial" w:cs="Arial" w:eastAsia="Arial" w:hAnsi="Arial"/>
                <w:sz w:val="17"/>
                <w:szCs w:val="17"/>
                <w:color w:val="auto"/>
              </w:rPr>
              <w:t>$ 171</w:t>
            </w:r>
          </w:p>
        </w:tc>
      </w:tr>
      <w:tr>
        <w:trPr>
          <w:trHeight w:val="203"/>
        </w:trPr>
        <w:tc>
          <w:tcPr>
            <w:tcW w:w="9100" w:type="dxa"/>
            <w:vAlign w:val="bottom"/>
          </w:tcPr>
          <w:p>
            <w:pPr>
              <w:ind w:left="420"/>
              <w:spacing w:after="0"/>
              <w:rPr>
                <w:sz w:val="20"/>
                <w:szCs w:val="20"/>
                <w:color w:val="auto"/>
              </w:rPr>
            </w:pPr>
            <w:r>
              <w:rPr>
                <w:rFonts w:ascii="Arial" w:cs="Arial" w:eastAsia="Arial" w:hAnsi="Arial"/>
                <w:sz w:val="17"/>
                <w:szCs w:val="17"/>
                <w:color w:val="auto"/>
              </w:rPr>
              <w:t>Acquisition, Integration and Restructuring Costs</w:t>
            </w: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$ 5</w:t>
            </w:r>
          </w:p>
        </w:tc>
      </w:tr>
      <w:tr>
        <w:trPr>
          <w:trHeight w:val="203"/>
        </w:trPr>
        <w:tc>
          <w:tcPr>
            <w:tcW w:w="9100" w:type="dxa"/>
            <w:vAlign w:val="bottom"/>
            <w:shd w:val="clear" w:color="auto" w:fill="ACABA7"/>
          </w:tcPr>
          <w:p>
            <w:pPr>
              <w:ind w:left="420"/>
              <w:spacing w:after="0"/>
              <w:rPr>
                <w:sz w:val="20"/>
                <w:szCs w:val="20"/>
                <w:color w:val="auto"/>
              </w:rPr>
            </w:pPr>
            <w:r>
              <w:rPr>
                <w:rFonts w:ascii="Arial" w:cs="Arial" w:eastAsia="Arial" w:hAnsi="Arial"/>
                <w:sz w:val="17"/>
                <w:szCs w:val="17"/>
                <w:color w:val="auto"/>
              </w:rPr>
              <w:t>Amortization of Equity Method Investments</w:t>
            </w:r>
          </w:p>
        </w:tc>
        <w:tc>
          <w:tcPr>
            <w:tcW w:w="860" w:type="dxa"/>
            <w:vAlign w:val="bottom"/>
            <w:shd w:val="clear" w:color="auto" w:fill="ACABA7"/>
          </w:tcPr>
          <w:p>
            <w:pPr>
              <w:jc w:val="right"/>
              <w:ind w:right="75"/>
              <w:spacing w:after="0"/>
              <w:rPr>
                <w:sz w:val="20"/>
                <w:szCs w:val="20"/>
                <w:color w:val="auto"/>
              </w:rPr>
            </w:pPr>
            <w:r>
              <w:rPr>
                <w:rFonts w:ascii="Arial" w:cs="Arial" w:eastAsia="Arial" w:hAnsi="Arial"/>
                <w:sz w:val="17"/>
                <w:szCs w:val="17"/>
                <w:color w:val="auto"/>
              </w:rPr>
              <w:t>$ 11</w:t>
            </w:r>
          </w:p>
        </w:tc>
      </w:tr>
      <w:tr>
        <w:trPr>
          <w:trHeight w:val="215"/>
        </w:trPr>
        <w:tc>
          <w:tcPr>
            <w:tcW w:w="9100" w:type="dxa"/>
            <w:vAlign w:val="bottom"/>
          </w:tcPr>
          <w:p>
            <w:pPr>
              <w:ind w:left="80"/>
              <w:spacing w:after="0"/>
              <w:rPr>
                <w:sz w:val="20"/>
                <w:szCs w:val="20"/>
                <w:color w:val="auto"/>
              </w:rPr>
            </w:pPr>
            <w:r>
              <w:rPr>
                <w:rFonts w:ascii="Arial" w:cs="Arial" w:eastAsia="Arial" w:hAnsi="Arial"/>
                <w:sz w:val="17"/>
                <w:szCs w:val="17"/>
                <w:color w:val="auto"/>
              </w:rPr>
              <w:t>Adjusted Operating Income</w:t>
            </w: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$ 1,099</w:t>
            </w:r>
          </w:p>
        </w:tc>
      </w:tr>
    </w:tbl>
    <w:p>
      <w:pPr>
        <w:spacing w:after="0" w:line="173" w:lineRule="exact"/>
        <w:rPr>
          <w:sz w:val="20"/>
          <w:szCs w:val="20"/>
          <w:color w:val="auto"/>
        </w:rPr>
      </w:pPr>
    </w:p>
    <w:p>
      <w:pPr>
        <w:ind w:left="440" w:right="40"/>
        <w:spacing w:after="0" w:line="241" w:lineRule="auto"/>
        <w:rPr>
          <w:sz w:val="20"/>
          <w:szCs w:val="20"/>
          <w:color w:val="auto"/>
        </w:rPr>
      </w:pPr>
      <w:r>
        <w:rPr>
          <w:rFonts w:ascii="Arial" w:cs="Arial" w:eastAsia="Arial" w:hAnsi="Arial"/>
          <w:sz w:val="17"/>
          <w:szCs w:val="17"/>
          <w:i w:val="1"/>
          <w:iCs w:val="1"/>
          <w:color w:val="483E65"/>
        </w:rPr>
        <w:t xml:space="preserve">Personal Performance Results. </w:t>
      </w:r>
      <w:r>
        <w:rPr>
          <w:rFonts w:ascii="Arial" w:cs="Arial" w:eastAsia="Arial" w:hAnsi="Arial"/>
          <w:sz w:val="17"/>
          <w:szCs w:val="17"/>
          <w:color w:val="000000"/>
        </w:rPr>
        <w:t>In analyzing personal performance results, the Committee reviewed each individual’s level of achievement</w:t>
      </w:r>
      <w:r>
        <w:rPr>
          <w:rFonts w:ascii="Arial" w:cs="Arial" w:eastAsia="Arial" w:hAnsi="Arial"/>
          <w:sz w:val="17"/>
          <w:szCs w:val="17"/>
          <w:i w:val="1"/>
          <w:iCs w:val="1"/>
          <w:color w:val="483E65"/>
        </w:rPr>
        <w:t xml:space="preserve"> </w:t>
      </w:r>
      <w:r>
        <w:rPr>
          <w:rFonts w:ascii="Arial" w:cs="Arial" w:eastAsia="Arial" w:hAnsi="Arial"/>
          <w:sz w:val="17"/>
          <w:szCs w:val="17"/>
          <w:color w:val="000000"/>
        </w:rPr>
        <w:t>and also considered input from the Chief Executive Officer—or the independent directors with respect to the Chief Executive Officer’s performance. Any circumstance considered relevant by Committee members—or by the independent directors, or in the case of named executive officers other than the CEO, by the CEO—can be a factor in the determination, including the degree of success, the difficulty of achieving personal performance goals and his or her leadership behavior.</w:t>
      </w:r>
    </w:p>
    <w:p>
      <w:pPr>
        <w:spacing w:after="0" w:line="175" w:lineRule="exact"/>
        <w:rPr>
          <w:sz w:val="20"/>
          <w:szCs w:val="20"/>
          <w:color w:val="auto"/>
        </w:rPr>
      </w:pPr>
    </w:p>
    <w:p>
      <w:pPr>
        <w:ind w:left="440" w:right="60"/>
        <w:spacing w:after="0" w:line="241" w:lineRule="auto"/>
        <w:rPr>
          <w:sz w:val="20"/>
          <w:szCs w:val="20"/>
          <w:color w:val="auto"/>
        </w:rPr>
      </w:pPr>
      <w:r>
        <w:rPr>
          <w:rFonts w:ascii="Arial" w:cs="Arial" w:eastAsia="Arial" w:hAnsi="Arial"/>
          <w:sz w:val="17"/>
          <w:szCs w:val="17"/>
          <w:i w:val="1"/>
          <w:iCs w:val="1"/>
          <w:color w:val="483E65"/>
        </w:rPr>
        <w:t xml:space="preserve">Total Executive Payouts. </w:t>
      </w:r>
      <w:r>
        <w:rPr>
          <w:rFonts w:ascii="Arial" w:cs="Arial" w:eastAsia="Arial" w:hAnsi="Arial"/>
          <w:sz w:val="17"/>
          <w:szCs w:val="17"/>
          <w:color w:val="000000"/>
        </w:rPr>
        <w:t>The chart below provides the target annual cash incentive amounts established for each named executive officer</w:t>
      </w:r>
      <w:r>
        <w:rPr>
          <w:rFonts w:ascii="Arial" w:cs="Arial" w:eastAsia="Arial" w:hAnsi="Arial"/>
          <w:sz w:val="17"/>
          <w:szCs w:val="17"/>
          <w:i w:val="1"/>
          <w:iCs w:val="1"/>
          <w:color w:val="483E65"/>
        </w:rPr>
        <w:t xml:space="preserve"> </w:t>
      </w:r>
      <w:r>
        <w:rPr>
          <w:rFonts w:ascii="Arial" w:cs="Arial" w:eastAsia="Arial" w:hAnsi="Arial"/>
          <w:sz w:val="17"/>
          <w:szCs w:val="17"/>
          <w:color w:val="000000"/>
        </w:rPr>
        <w:t>by the Committee, at the beginning of the year, as well as their actual payout amounts determined by the Committee at the end of the year. Because we surpassed the adjusted operating income goal threshold of 70% of target by achieving 108%, the Committee approved the payout of awards under the annual incentive plan. Actual payout amounts for fiscal year 2019 ranged between 121% and 125% of target. Information on all of the annual cash incentive payouts for fiscal 2019 is provided below:</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178"/>
        </w:trPr>
        <w:tc>
          <w:tcPr>
            <w:tcW w:w="4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20" w:type="dxa"/>
            <w:vAlign w:val="bottom"/>
          </w:tcPr>
          <w:p>
            <w:pPr>
              <w:jc w:val="right"/>
              <w:ind w:right="438"/>
              <w:spacing w:after="0"/>
              <w:rPr>
                <w:sz w:val="20"/>
                <w:szCs w:val="20"/>
                <w:color w:val="auto"/>
              </w:rPr>
            </w:pPr>
            <w:r>
              <w:rPr>
                <w:rFonts w:ascii="Arial" w:cs="Arial" w:eastAsia="Arial" w:hAnsi="Arial"/>
                <w:sz w:val="15"/>
                <w:szCs w:val="15"/>
                <w:color w:val="483E65"/>
              </w:rPr>
              <w:t>Payout from</w:t>
            </w:r>
          </w:p>
        </w:tc>
        <w:tc>
          <w:tcPr>
            <w:tcW w:w="1800" w:type="dxa"/>
            <w:vAlign w:val="bottom"/>
          </w:tcPr>
          <w:p>
            <w:pPr>
              <w:jc w:val="right"/>
              <w:ind w:right="398"/>
              <w:spacing w:after="0"/>
              <w:rPr>
                <w:sz w:val="20"/>
                <w:szCs w:val="20"/>
                <w:color w:val="auto"/>
              </w:rPr>
            </w:pPr>
            <w:r>
              <w:rPr>
                <w:rFonts w:ascii="Arial" w:cs="Arial" w:eastAsia="Arial" w:hAnsi="Arial"/>
                <w:sz w:val="15"/>
                <w:szCs w:val="15"/>
                <w:color w:val="483E65"/>
              </w:rPr>
              <w:t>Payout from</w:t>
            </w:r>
          </w:p>
        </w:tc>
        <w:tc>
          <w:tcPr>
            <w:tcW w:w="1560" w:type="dxa"/>
            <w:vAlign w:val="bottom"/>
          </w:tcPr>
          <w:p>
            <w:pPr>
              <w:spacing w:after="0"/>
              <w:rPr>
                <w:sz w:val="15"/>
                <w:szCs w:val="15"/>
                <w:color w:val="auto"/>
              </w:rPr>
            </w:pPr>
          </w:p>
        </w:tc>
      </w:tr>
      <w:tr>
        <w:trPr>
          <w:trHeight w:val="184"/>
        </w:trPr>
        <w:tc>
          <w:tcPr>
            <w:tcW w:w="4060" w:type="dxa"/>
            <w:vAlign w:val="bottom"/>
          </w:tcPr>
          <w:p>
            <w:pPr>
              <w:spacing w:after="0"/>
              <w:rPr>
                <w:sz w:val="16"/>
                <w:szCs w:val="16"/>
                <w:color w:val="auto"/>
              </w:rPr>
            </w:pPr>
          </w:p>
        </w:tc>
        <w:tc>
          <w:tcPr>
            <w:tcW w:w="1240" w:type="dxa"/>
            <w:vAlign w:val="bottom"/>
          </w:tcPr>
          <w:p>
            <w:pPr>
              <w:jc w:val="right"/>
              <w:ind w:right="397"/>
              <w:spacing w:after="0"/>
              <w:rPr>
                <w:sz w:val="20"/>
                <w:szCs w:val="20"/>
                <w:color w:val="auto"/>
              </w:rPr>
            </w:pPr>
            <w:r>
              <w:rPr>
                <w:rFonts w:ascii="Arial" w:cs="Arial" w:eastAsia="Arial" w:hAnsi="Arial"/>
                <w:sz w:val="15"/>
                <w:szCs w:val="15"/>
                <w:color w:val="483E65"/>
              </w:rPr>
              <w:t>Target</w:t>
            </w:r>
          </w:p>
        </w:tc>
        <w:tc>
          <w:tcPr>
            <w:tcW w:w="1720" w:type="dxa"/>
            <w:vAlign w:val="bottom"/>
          </w:tcPr>
          <w:p>
            <w:pPr>
              <w:jc w:val="right"/>
              <w:ind w:right="338"/>
              <w:spacing w:after="0"/>
              <w:rPr>
                <w:sz w:val="20"/>
                <w:szCs w:val="20"/>
                <w:color w:val="auto"/>
              </w:rPr>
            </w:pPr>
            <w:r>
              <w:rPr>
                <w:rFonts w:ascii="Arial" w:cs="Arial" w:eastAsia="Arial" w:hAnsi="Arial"/>
                <w:sz w:val="15"/>
                <w:szCs w:val="15"/>
                <w:color w:val="483E65"/>
              </w:rPr>
              <w:t>Financial Score</w:t>
            </w:r>
          </w:p>
        </w:tc>
        <w:tc>
          <w:tcPr>
            <w:tcW w:w="1800" w:type="dxa"/>
            <w:vAlign w:val="bottom"/>
          </w:tcPr>
          <w:p>
            <w:pPr>
              <w:jc w:val="right"/>
              <w:ind w:right="278"/>
              <w:spacing w:after="0"/>
              <w:rPr>
                <w:sz w:val="20"/>
                <w:szCs w:val="20"/>
                <w:color w:val="auto"/>
              </w:rPr>
            </w:pPr>
            <w:r>
              <w:rPr>
                <w:rFonts w:ascii="Arial" w:cs="Arial" w:eastAsia="Arial" w:hAnsi="Arial"/>
                <w:sz w:val="15"/>
                <w:szCs w:val="15"/>
                <w:color w:val="483E65"/>
              </w:rPr>
              <w:t>Personal Score</w:t>
            </w:r>
          </w:p>
        </w:tc>
        <w:tc>
          <w:tcPr>
            <w:tcW w:w="1560" w:type="dxa"/>
            <w:vAlign w:val="bottom"/>
          </w:tcPr>
          <w:p>
            <w:pPr>
              <w:jc w:val="right"/>
              <w:ind w:right="257"/>
              <w:spacing w:after="0"/>
              <w:rPr>
                <w:sz w:val="20"/>
                <w:szCs w:val="20"/>
                <w:color w:val="auto"/>
              </w:rPr>
            </w:pPr>
            <w:r>
              <w:rPr>
                <w:rFonts w:ascii="Arial" w:cs="Arial" w:eastAsia="Arial" w:hAnsi="Arial"/>
                <w:sz w:val="15"/>
                <w:szCs w:val="15"/>
                <w:color w:val="483E65"/>
              </w:rPr>
              <w:t>Total Payout</w:t>
            </w:r>
          </w:p>
        </w:tc>
      </w:tr>
      <w:tr>
        <w:trPr>
          <w:trHeight w:val="81"/>
        </w:trPr>
        <w:tc>
          <w:tcPr>
            <w:tcW w:w="4060" w:type="dxa"/>
            <w:vAlign w:val="bottom"/>
            <w:tcBorders>
              <w:bottom w:val="single" w:sz="8" w:color="483E65"/>
            </w:tcBorders>
          </w:tcPr>
          <w:p>
            <w:pPr>
              <w:spacing w:after="0"/>
              <w:rPr>
                <w:sz w:val="7"/>
                <w:szCs w:val="7"/>
                <w:color w:val="auto"/>
              </w:rPr>
            </w:pPr>
          </w:p>
        </w:tc>
        <w:tc>
          <w:tcPr>
            <w:tcW w:w="1240" w:type="dxa"/>
            <w:vAlign w:val="bottom"/>
            <w:tcBorders>
              <w:bottom w:val="single" w:sz="8" w:color="483E65"/>
            </w:tcBorders>
          </w:tcPr>
          <w:p>
            <w:pPr>
              <w:spacing w:after="0"/>
              <w:rPr>
                <w:sz w:val="7"/>
                <w:szCs w:val="7"/>
                <w:color w:val="auto"/>
              </w:rPr>
            </w:pPr>
          </w:p>
        </w:tc>
        <w:tc>
          <w:tcPr>
            <w:tcW w:w="1720" w:type="dxa"/>
            <w:vAlign w:val="bottom"/>
            <w:tcBorders>
              <w:bottom w:val="single" w:sz="8" w:color="483E65"/>
            </w:tcBorders>
          </w:tcPr>
          <w:p>
            <w:pPr>
              <w:spacing w:after="0"/>
              <w:rPr>
                <w:sz w:val="7"/>
                <w:szCs w:val="7"/>
                <w:color w:val="auto"/>
              </w:rPr>
            </w:pPr>
          </w:p>
        </w:tc>
        <w:tc>
          <w:tcPr>
            <w:tcW w:w="1800" w:type="dxa"/>
            <w:vAlign w:val="bottom"/>
            <w:tcBorders>
              <w:bottom w:val="single" w:sz="8" w:color="483E65"/>
            </w:tcBorders>
          </w:tcPr>
          <w:p>
            <w:pPr>
              <w:spacing w:after="0"/>
              <w:rPr>
                <w:sz w:val="7"/>
                <w:szCs w:val="7"/>
                <w:color w:val="auto"/>
              </w:rPr>
            </w:pPr>
          </w:p>
        </w:tc>
        <w:tc>
          <w:tcPr>
            <w:tcW w:w="1560" w:type="dxa"/>
            <w:vAlign w:val="bottom"/>
            <w:tcBorders>
              <w:bottom w:val="single" w:sz="8" w:color="483E65"/>
            </w:tcBorders>
          </w:tcPr>
          <w:p>
            <w:pPr>
              <w:spacing w:after="0"/>
              <w:rPr>
                <w:sz w:val="7"/>
                <w:szCs w:val="7"/>
                <w:color w:val="auto"/>
              </w:rPr>
            </w:pPr>
          </w:p>
        </w:tc>
      </w:tr>
      <w:tr>
        <w:trPr>
          <w:trHeight w:val="183"/>
        </w:trPr>
        <w:tc>
          <w:tcPr>
            <w:tcW w:w="4060" w:type="dxa"/>
            <w:vAlign w:val="bottom"/>
          </w:tcPr>
          <w:p>
            <w:pPr>
              <w:ind w:left="100"/>
              <w:spacing w:after="0" w:line="184" w:lineRule="exact"/>
              <w:rPr>
                <w:sz w:val="20"/>
                <w:szCs w:val="20"/>
                <w:color w:val="auto"/>
              </w:rPr>
            </w:pPr>
            <w:r>
              <w:rPr>
                <w:rFonts w:ascii="Arial" w:cs="Arial" w:eastAsia="Arial" w:hAnsi="Arial"/>
                <w:sz w:val="17"/>
                <w:szCs w:val="17"/>
                <w:color w:val="auto"/>
              </w:rPr>
              <w:t>Roger A. Krone</w:t>
            </w:r>
          </w:p>
        </w:tc>
        <w:tc>
          <w:tcPr>
            <w:tcW w:w="1240" w:type="dxa"/>
            <w:vAlign w:val="bottom"/>
          </w:tcPr>
          <w:p>
            <w:pPr>
              <w:jc w:val="right"/>
              <w:ind w:right="157"/>
              <w:spacing w:after="0" w:line="184" w:lineRule="exact"/>
              <w:rPr>
                <w:sz w:val="20"/>
                <w:szCs w:val="20"/>
                <w:color w:val="auto"/>
              </w:rPr>
            </w:pPr>
            <w:r>
              <w:rPr>
                <w:rFonts w:ascii="Arial" w:cs="Arial" w:eastAsia="Arial" w:hAnsi="Arial"/>
                <w:sz w:val="17"/>
                <w:szCs w:val="17"/>
                <w:color w:val="auto"/>
              </w:rPr>
              <w:t>$1,747,500</w:t>
            </w:r>
          </w:p>
        </w:tc>
        <w:tc>
          <w:tcPr>
            <w:tcW w:w="1720" w:type="dxa"/>
            <w:vAlign w:val="bottom"/>
          </w:tcPr>
          <w:p>
            <w:pPr>
              <w:jc w:val="right"/>
              <w:ind w:right="338"/>
              <w:spacing w:after="0" w:line="184" w:lineRule="exact"/>
              <w:rPr>
                <w:sz w:val="20"/>
                <w:szCs w:val="20"/>
                <w:color w:val="auto"/>
              </w:rPr>
            </w:pPr>
            <w:r>
              <w:rPr>
                <w:rFonts w:ascii="Arial" w:cs="Arial" w:eastAsia="Arial" w:hAnsi="Arial"/>
                <w:sz w:val="17"/>
                <w:szCs w:val="17"/>
                <w:color w:val="auto"/>
              </w:rPr>
              <w:t>$1,724,573</w:t>
            </w:r>
          </w:p>
        </w:tc>
        <w:tc>
          <w:tcPr>
            <w:tcW w:w="1800" w:type="dxa"/>
            <w:vAlign w:val="bottom"/>
          </w:tcPr>
          <w:p>
            <w:pPr>
              <w:jc w:val="right"/>
              <w:ind w:right="278"/>
              <w:spacing w:after="0" w:line="184" w:lineRule="exact"/>
              <w:rPr>
                <w:sz w:val="20"/>
                <w:szCs w:val="20"/>
                <w:color w:val="auto"/>
              </w:rPr>
            </w:pPr>
            <w:r>
              <w:rPr>
                <w:rFonts w:ascii="Arial" w:cs="Arial" w:eastAsia="Arial" w:hAnsi="Arial"/>
                <w:sz w:val="17"/>
                <w:szCs w:val="17"/>
                <w:color w:val="auto"/>
              </w:rPr>
              <w:t>$454,350</w:t>
            </w:r>
          </w:p>
        </w:tc>
        <w:tc>
          <w:tcPr>
            <w:tcW w:w="1560" w:type="dxa"/>
            <w:vAlign w:val="bottom"/>
          </w:tcPr>
          <w:p>
            <w:pPr>
              <w:jc w:val="right"/>
              <w:ind w:right="237"/>
              <w:spacing w:after="0" w:line="184" w:lineRule="exact"/>
              <w:rPr>
                <w:sz w:val="20"/>
                <w:szCs w:val="20"/>
                <w:color w:val="auto"/>
              </w:rPr>
            </w:pPr>
            <w:r>
              <w:rPr>
                <w:rFonts w:ascii="Arial" w:cs="Arial" w:eastAsia="Arial" w:hAnsi="Arial"/>
                <w:sz w:val="17"/>
                <w:szCs w:val="17"/>
                <w:color w:val="auto"/>
              </w:rPr>
              <w:t>$2,178,923</w:t>
            </w:r>
          </w:p>
        </w:tc>
      </w:tr>
      <w:tr>
        <w:trPr>
          <w:trHeight w:val="203"/>
        </w:trPr>
        <w:tc>
          <w:tcPr>
            <w:tcW w:w="4060" w:type="dxa"/>
            <w:vAlign w:val="bottom"/>
            <w:shd w:val="clear" w:color="auto" w:fill="ACABA7"/>
          </w:tcPr>
          <w:p>
            <w:pPr>
              <w:ind w:left="100"/>
              <w:spacing w:after="0"/>
              <w:rPr>
                <w:sz w:val="20"/>
                <w:szCs w:val="20"/>
                <w:color w:val="auto"/>
              </w:rPr>
            </w:pPr>
            <w:r>
              <w:rPr>
                <w:rFonts w:ascii="Arial" w:cs="Arial" w:eastAsia="Arial" w:hAnsi="Arial"/>
                <w:sz w:val="17"/>
                <w:szCs w:val="17"/>
                <w:color w:val="auto"/>
              </w:rPr>
              <w:t>James C. Reagan</w:t>
            </w:r>
          </w:p>
        </w:tc>
        <w:tc>
          <w:tcPr>
            <w:tcW w:w="1240" w:type="dxa"/>
            <w:vAlign w:val="bottom"/>
            <w:shd w:val="clear" w:color="auto" w:fill="ACABA7"/>
          </w:tcPr>
          <w:p>
            <w:pPr>
              <w:jc w:val="right"/>
              <w:ind w:right="157"/>
              <w:spacing w:after="0"/>
              <w:rPr>
                <w:sz w:val="20"/>
                <w:szCs w:val="20"/>
                <w:color w:val="auto"/>
              </w:rPr>
            </w:pPr>
            <w:r>
              <w:rPr>
                <w:rFonts w:ascii="Arial" w:cs="Arial" w:eastAsia="Arial" w:hAnsi="Arial"/>
                <w:sz w:val="17"/>
                <w:szCs w:val="17"/>
                <w:color w:val="auto"/>
              </w:rPr>
              <w:t>$640,000</w:t>
            </w:r>
          </w:p>
        </w:tc>
        <w:tc>
          <w:tcPr>
            <w:tcW w:w="1720" w:type="dxa"/>
            <w:vAlign w:val="bottom"/>
            <w:shd w:val="clear" w:color="auto" w:fill="ACABA7"/>
          </w:tcPr>
          <w:p>
            <w:pPr>
              <w:jc w:val="right"/>
              <w:ind w:right="338"/>
              <w:spacing w:after="0"/>
              <w:rPr>
                <w:sz w:val="20"/>
                <w:szCs w:val="20"/>
                <w:color w:val="auto"/>
              </w:rPr>
            </w:pPr>
            <w:r>
              <w:rPr>
                <w:rFonts w:ascii="Arial" w:cs="Arial" w:eastAsia="Arial" w:hAnsi="Arial"/>
                <w:sz w:val="17"/>
                <w:szCs w:val="17"/>
                <w:color w:val="auto"/>
              </w:rPr>
              <w:t>$631,603</w:t>
            </w:r>
          </w:p>
        </w:tc>
        <w:tc>
          <w:tcPr>
            <w:tcW w:w="1800" w:type="dxa"/>
            <w:vAlign w:val="bottom"/>
            <w:shd w:val="clear" w:color="auto" w:fill="ACABA7"/>
          </w:tcPr>
          <w:p>
            <w:pPr>
              <w:jc w:val="right"/>
              <w:ind w:right="278"/>
              <w:spacing w:after="0"/>
              <w:rPr>
                <w:sz w:val="20"/>
                <w:szCs w:val="20"/>
                <w:color w:val="auto"/>
              </w:rPr>
            </w:pPr>
            <w:r>
              <w:rPr>
                <w:rFonts w:ascii="Arial" w:cs="Arial" w:eastAsia="Arial" w:hAnsi="Arial"/>
                <w:sz w:val="17"/>
                <w:szCs w:val="17"/>
                <w:color w:val="auto"/>
              </w:rPr>
              <w:t>$160,000</w:t>
            </w:r>
          </w:p>
        </w:tc>
        <w:tc>
          <w:tcPr>
            <w:tcW w:w="1560" w:type="dxa"/>
            <w:vAlign w:val="bottom"/>
            <w:shd w:val="clear" w:color="auto" w:fill="ACABA7"/>
          </w:tcPr>
          <w:p>
            <w:pPr>
              <w:jc w:val="right"/>
              <w:ind w:right="237"/>
              <w:spacing w:after="0"/>
              <w:rPr>
                <w:sz w:val="20"/>
                <w:szCs w:val="20"/>
                <w:color w:val="auto"/>
              </w:rPr>
            </w:pPr>
            <w:r>
              <w:rPr>
                <w:rFonts w:ascii="Arial" w:cs="Arial" w:eastAsia="Arial" w:hAnsi="Arial"/>
                <w:sz w:val="17"/>
                <w:szCs w:val="17"/>
                <w:color w:val="auto"/>
              </w:rPr>
              <w:t>$791,603</w:t>
            </w:r>
          </w:p>
        </w:tc>
      </w:tr>
      <w:tr>
        <w:trPr>
          <w:trHeight w:val="203"/>
        </w:trPr>
        <w:tc>
          <w:tcPr>
            <w:tcW w:w="4060" w:type="dxa"/>
            <w:vAlign w:val="bottom"/>
          </w:tcPr>
          <w:p>
            <w:pPr>
              <w:ind w:left="100"/>
              <w:spacing w:after="0"/>
              <w:rPr>
                <w:sz w:val="20"/>
                <w:szCs w:val="20"/>
                <w:color w:val="auto"/>
              </w:rPr>
            </w:pPr>
            <w:r>
              <w:rPr>
                <w:rFonts w:ascii="Arial" w:cs="Arial" w:eastAsia="Arial" w:hAnsi="Arial"/>
                <w:sz w:val="17"/>
                <w:szCs w:val="17"/>
                <w:color w:val="auto"/>
              </w:rPr>
              <w:t>Jonathan W. Scholl</w:t>
            </w:r>
          </w:p>
        </w:tc>
        <w:tc>
          <w:tcPr>
            <w:tcW w:w="1240" w:type="dxa"/>
            <w:vAlign w:val="bottom"/>
          </w:tcPr>
          <w:p>
            <w:pPr>
              <w:jc w:val="right"/>
              <w:ind w:right="157"/>
              <w:spacing w:after="0"/>
              <w:rPr>
                <w:sz w:val="20"/>
                <w:szCs w:val="20"/>
                <w:color w:val="auto"/>
              </w:rPr>
            </w:pPr>
            <w:r>
              <w:rPr>
                <w:rFonts w:ascii="Arial" w:cs="Arial" w:eastAsia="Arial" w:hAnsi="Arial"/>
                <w:sz w:val="17"/>
                <w:szCs w:val="17"/>
                <w:color w:val="auto"/>
              </w:rPr>
              <w:t>$456,000</w:t>
            </w:r>
          </w:p>
        </w:tc>
        <w:tc>
          <w:tcPr>
            <w:tcW w:w="1720" w:type="dxa"/>
            <w:vAlign w:val="bottom"/>
          </w:tcPr>
          <w:p>
            <w:pPr>
              <w:jc w:val="right"/>
              <w:ind w:right="338"/>
              <w:spacing w:after="0"/>
              <w:rPr>
                <w:sz w:val="20"/>
                <w:szCs w:val="20"/>
                <w:color w:val="auto"/>
              </w:rPr>
            </w:pPr>
            <w:r>
              <w:rPr>
                <w:rFonts w:ascii="Arial" w:cs="Arial" w:eastAsia="Arial" w:hAnsi="Arial"/>
                <w:sz w:val="17"/>
                <w:szCs w:val="17"/>
                <w:color w:val="auto"/>
              </w:rPr>
              <w:t>$457,222</w:t>
            </w:r>
          </w:p>
        </w:tc>
        <w:tc>
          <w:tcPr>
            <w:tcW w:w="1800" w:type="dxa"/>
            <w:vAlign w:val="bottom"/>
          </w:tcPr>
          <w:p>
            <w:pPr>
              <w:jc w:val="right"/>
              <w:ind w:right="278"/>
              <w:spacing w:after="0"/>
              <w:rPr>
                <w:sz w:val="20"/>
                <w:szCs w:val="20"/>
                <w:color w:val="auto"/>
              </w:rPr>
            </w:pPr>
            <w:r>
              <w:rPr>
                <w:rFonts w:ascii="Arial" w:cs="Arial" w:eastAsia="Arial" w:hAnsi="Arial"/>
                <w:sz w:val="17"/>
                <w:szCs w:val="17"/>
                <w:color w:val="auto"/>
              </w:rPr>
              <w:t>$100,320</w:t>
            </w:r>
          </w:p>
        </w:tc>
        <w:tc>
          <w:tcPr>
            <w:tcW w:w="1560" w:type="dxa"/>
            <w:vAlign w:val="bottom"/>
          </w:tcPr>
          <w:p>
            <w:pPr>
              <w:jc w:val="right"/>
              <w:ind w:right="237"/>
              <w:spacing w:after="0"/>
              <w:rPr>
                <w:sz w:val="20"/>
                <w:szCs w:val="20"/>
                <w:color w:val="auto"/>
              </w:rPr>
            </w:pPr>
            <w:r>
              <w:rPr>
                <w:rFonts w:ascii="Arial" w:cs="Arial" w:eastAsia="Arial" w:hAnsi="Arial"/>
                <w:sz w:val="17"/>
                <w:szCs w:val="17"/>
                <w:color w:val="auto"/>
              </w:rPr>
              <w:t>$557,542</w:t>
            </w:r>
          </w:p>
        </w:tc>
      </w:tr>
      <w:tr>
        <w:trPr>
          <w:trHeight w:val="203"/>
        </w:trPr>
        <w:tc>
          <w:tcPr>
            <w:tcW w:w="4060" w:type="dxa"/>
            <w:vAlign w:val="bottom"/>
            <w:shd w:val="clear" w:color="auto" w:fill="ACABA7"/>
          </w:tcPr>
          <w:p>
            <w:pPr>
              <w:ind w:left="100"/>
              <w:spacing w:after="0"/>
              <w:rPr>
                <w:sz w:val="20"/>
                <w:szCs w:val="20"/>
                <w:color w:val="auto"/>
              </w:rPr>
            </w:pPr>
            <w:r>
              <w:rPr>
                <w:rFonts w:ascii="Arial" w:cs="Arial" w:eastAsia="Arial" w:hAnsi="Arial"/>
                <w:sz w:val="17"/>
                <w:szCs w:val="17"/>
                <w:color w:val="auto"/>
              </w:rPr>
              <w:t>Jerald S. Howe, Jr.</w:t>
            </w:r>
          </w:p>
        </w:tc>
        <w:tc>
          <w:tcPr>
            <w:tcW w:w="1240" w:type="dxa"/>
            <w:vAlign w:val="bottom"/>
            <w:shd w:val="clear" w:color="auto" w:fill="ACABA7"/>
          </w:tcPr>
          <w:p>
            <w:pPr>
              <w:jc w:val="right"/>
              <w:ind w:right="157"/>
              <w:spacing w:after="0"/>
              <w:rPr>
                <w:sz w:val="20"/>
                <w:szCs w:val="20"/>
                <w:color w:val="auto"/>
              </w:rPr>
            </w:pPr>
            <w:r>
              <w:rPr>
                <w:rFonts w:ascii="Arial" w:cs="Arial" w:eastAsia="Arial" w:hAnsi="Arial"/>
                <w:sz w:val="17"/>
                <w:szCs w:val="17"/>
                <w:color w:val="auto"/>
              </w:rPr>
              <w:t>$472,000</w:t>
            </w:r>
          </w:p>
        </w:tc>
        <w:tc>
          <w:tcPr>
            <w:tcW w:w="1720" w:type="dxa"/>
            <w:vAlign w:val="bottom"/>
            <w:shd w:val="clear" w:color="auto" w:fill="ACABA7"/>
          </w:tcPr>
          <w:p>
            <w:pPr>
              <w:jc w:val="right"/>
              <w:ind w:right="338"/>
              <w:spacing w:after="0"/>
              <w:rPr>
                <w:sz w:val="20"/>
                <w:szCs w:val="20"/>
                <w:color w:val="auto"/>
              </w:rPr>
            </w:pPr>
            <w:r>
              <w:rPr>
                <w:rFonts w:ascii="Arial" w:cs="Arial" w:eastAsia="Arial" w:hAnsi="Arial"/>
                <w:sz w:val="17"/>
                <w:szCs w:val="17"/>
                <w:color w:val="auto"/>
              </w:rPr>
              <w:t>$465,807</w:t>
            </w:r>
          </w:p>
        </w:tc>
        <w:tc>
          <w:tcPr>
            <w:tcW w:w="1800" w:type="dxa"/>
            <w:vAlign w:val="bottom"/>
            <w:shd w:val="clear" w:color="auto" w:fill="ACABA7"/>
          </w:tcPr>
          <w:p>
            <w:pPr>
              <w:jc w:val="right"/>
              <w:ind w:right="278"/>
              <w:spacing w:after="0"/>
              <w:rPr>
                <w:sz w:val="20"/>
                <w:szCs w:val="20"/>
                <w:color w:val="auto"/>
              </w:rPr>
            </w:pPr>
            <w:r>
              <w:rPr>
                <w:rFonts w:ascii="Arial" w:cs="Arial" w:eastAsia="Arial" w:hAnsi="Arial"/>
                <w:sz w:val="17"/>
                <w:szCs w:val="17"/>
                <w:color w:val="auto"/>
              </w:rPr>
              <w:t>$113,280</w:t>
            </w:r>
          </w:p>
        </w:tc>
        <w:tc>
          <w:tcPr>
            <w:tcW w:w="1560" w:type="dxa"/>
            <w:vAlign w:val="bottom"/>
            <w:shd w:val="clear" w:color="auto" w:fill="ACABA7"/>
          </w:tcPr>
          <w:p>
            <w:pPr>
              <w:jc w:val="right"/>
              <w:ind w:right="237"/>
              <w:spacing w:after="0"/>
              <w:rPr>
                <w:sz w:val="20"/>
                <w:szCs w:val="20"/>
                <w:color w:val="auto"/>
              </w:rPr>
            </w:pPr>
            <w:r>
              <w:rPr>
                <w:rFonts w:ascii="Arial" w:cs="Arial" w:eastAsia="Arial" w:hAnsi="Arial"/>
                <w:sz w:val="17"/>
                <w:szCs w:val="17"/>
                <w:color w:val="auto"/>
              </w:rPr>
              <w:t>$579,087</w:t>
            </w:r>
          </w:p>
        </w:tc>
      </w:tr>
      <w:tr>
        <w:trPr>
          <w:trHeight w:val="215"/>
        </w:trPr>
        <w:tc>
          <w:tcPr>
            <w:tcW w:w="4060" w:type="dxa"/>
            <w:vAlign w:val="bottom"/>
          </w:tcPr>
          <w:p>
            <w:pPr>
              <w:ind w:left="100"/>
              <w:spacing w:after="0"/>
              <w:rPr>
                <w:sz w:val="20"/>
                <w:szCs w:val="20"/>
                <w:color w:val="auto"/>
              </w:rPr>
            </w:pPr>
            <w:r>
              <w:rPr>
                <w:rFonts w:ascii="Arial" w:cs="Arial" w:eastAsia="Arial" w:hAnsi="Arial"/>
                <w:sz w:val="17"/>
                <w:szCs w:val="17"/>
                <w:color w:val="auto"/>
              </w:rPr>
              <w:t>Gerard A. Fasano</w:t>
            </w:r>
          </w:p>
        </w:tc>
        <w:tc>
          <w:tcPr>
            <w:tcW w:w="1240" w:type="dxa"/>
            <w:vAlign w:val="bottom"/>
          </w:tcPr>
          <w:p>
            <w:pPr>
              <w:jc w:val="right"/>
              <w:ind w:right="157"/>
              <w:spacing w:after="0"/>
              <w:rPr>
                <w:sz w:val="20"/>
                <w:szCs w:val="20"/>
                <w:color w:val="auto"/>
              </w:rPr>
            </w:pPr>
            <w:r>
              <w:rPr>
                <w:rFonts w:ascii="Arial" w:cs="Arial" w:eastAsia="Arial" w:hAnsi="Arial"/>
                <w:sz w:val="17"/>
                <w:szCs w:val="17"/>
                <w:color w:val="auto"/>
              </w:rPr>
              <w:t>$420,000</w:t>
            </w:r>
          </w:p>
        </w:tc>
        <w:tc>
          <w:tcPr>
            <w:tcW w:w="1720" w:type="dxa"/>
            <w:vAlign w:val="bottom"/>
          </w:tcPr>
          <w:p>
            <w:pPr>
              <w:jc w:val="right"/>
              <w:ind w:right="338"/>
              <w:spacing w:after="0"/>
              <w:rPr>
                <w:sz w:val="20"/>
                <w:szCs w:val="20"/>
                <w:color w:val="auto"/>
              </w:rPr>
            </w:pPr>
            <w:r>
              <w:rPr>
                <w:rFonts w:ascii="Arial" w:cs="Arial" w:eastAsia="Arial" w:hAnsi="Arial"/>
                <w:sz w:val="17"/>
                <w:szCs w:val="17"/>
                <w:color w:val="auto"/>
              </w:rPr>
              <w:t>$407,938</w:t>
            </w:r>
          </w:p>
        </w:tc>
        <w:tc>
          <w:tcPr>
            <w:tcW w:w="1800" w:type="dxa"/>
            <w:vAlign w:val="bottom"/>
          </w:tcPr>
          <w:p>
            <w:pPr>
              <w:jc w:val="right"/>
              <w:ind w:right="278"/>
              <w:spacing w:after="0"/>
              <w:rPr>
                <w:sz w:val="20"/>
                <w:szCs w:val="20"/>
                <w:color w:val="auto"/>
              </w:rPr>
            </w:pPr>
            <w:r>
              <w:rPr>
                <w:rFonts w:ascii="Arial" w:cs="Arial" w:eastAsia="Arial" w:hAnsi="Arial"/>
                <w:sz w:val="17"/>
                <w:szCs w:val="17"/>
                <w:color w:val="auto"/>
              </w:rPr>
              <w:t>$100,800</w:t>
            </w:r>
          </w:p>
        </w:tc>
        <w:tc>
          <w:tcPr>
            <w:tcW w:w="1560" w:type="dxa"/>
            <w:vAlign w:val="bottom"/>
          </w:tcPr>
          <w:p>
            <w:pPr>
              <w:jc w:val="right"/>
              <w:ind w:right="237"/>
              <w:spacing w:after="0"/>
              <w:rPr>
                <w:sz w:val="20"/>
                <w:szCs w:val="20"/>
                <w:color w:val="auto"/>
              </w:rPr>
            </w:pPr>
            <w:r>
              <w:rPr>
                <w:rFonts w:ascii="Arial" w:cs="Arial" w:eastAsia="Arial" w:hAnsi="Arial"/>
                <w:sz w:val="17"/>
                <w:szCs w:val="17"/>
                <w:color w:val="auto"/>
              </w:rPr>
              <w:t>$508,738</w:t>
            </w:r>
          </w:p>
        </w:tc>
      </w:tr>
    </w:tbl>
    <w:p>
      <w:pPr>
        <w:spacing w:after="0" w:line="112" w:lineRule="exact"/>
        <w:rPr>
          <w:sz w:val="20"/>
          <w:szCs w:val="20"/>
          <w:color w:val="auto"/>
        </w:r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24</w:t>
        <w:tab/>
        <w:t>|</w:t>
        <w:tab/>
        <w:t>2020 Proxy Statement</w:t>
      </w:r>
    </w:p>
    <w:p>
      <w:pPr>
        <w:sectPr>
          <w:pgSz w:w="11900" w:h="16838" w:orient="portrait"/>
          <w:cols w:equalWidth="0" w:num="1">
            <w:col w:w="10820"/>
          </w:cols>
          <w:pgMar w:left="320" w:top="441" w:right="75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73"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Long-Term Incentive Award Grants in 2019</w:t>
      </w:r>
    </w:p>
    <w:p>
      <w:pPr>
        <w:spacing w:after="0" w:line="218" w:lineRule="exact"/>
        <w:rPr>
          <w:sz w:val="20"/>
          <w:szCs w:val="20"/>
          <w:color w:val="auto"/>
        </w:rPr>
      </w:pPr>
    </w:p>
    <w:p>
      <w:pPr>
        <w:ind w:left="440" w:right="140"/>
        <w:spacing w:after="0" w:line="237" w:lineRule="auto"/>
        <w:rPr>
          <w:sz w:val="20"/>
          <w:szCs w:val="20"/>
          <w:color w:val="auto"/>
        </w:rPr>
      </w:pPr>
      <w:r>
        <w:rPr>
          <w:rFonts w:ascii="Arial" w:cs="Arial" w:eastAsia="Arial" w:hAnsi="Arial"/>
          <w:sz w:val="17"/>
          <w:szCs w:val="17"/>
          <w:color w:val="auto"/>
        </w:rPr>
        <w:t>Long-term incentive awards are granted to motivate future performance, create long-term alignment with stockholders, and for retention purposes. For fiscal 2019, each named executive officer received a mix of long-term incentive awards comprised of performance shares (50%), performance restricted stock units (30%) and stock options (20%). The grant date fair value of each award was determined based on market data and consideration of each executive officer’s level of experience, position and responsibilities. We do not generally consider an executive officer’s current stock holdings or outstanding awards in making annual grants.</w:t>
      </w:r>
    </w:p>
    <w:p>
      <w:pPr>
        <w:spacing w:after="0" w:line="173" w:lineRule="exact"/>
        <w:rPr>
          <w:sz w:val="20"/>
          <w:szCs w:val="20"/>
          <w:color w:val="auto"/>
        </w:rPr>
      </w:pPr>
    </w:p>
    <w:p>
      <w:pPr>
        <w:ind w:left="440" w:right="60"/>
        <w:spacing w:after="0" w:line="244" w:lineRule="auto"/>
        <w:rPr>
          <w:sz w:val="20"/>
          <w:szCs w:val="20"/>
          <w:color w:val="auto"/>
        </w:rPr>
      </w:pPr>
      <w:r>
        <w:rPr>
          <w:rFonts w:ascii="Arial" w:cs="Arial" w:eastAsia="Arial" w:hAnsi="Arial"/>
          <w:sz w:val="17"/>
          <w:szCs w:val="17"/>
          <w:i w:val="1"/>
          <w:iCs w:val="1"/>
          <w:color w:val="483E65"/>
        </w:rPr>
        <w:t xml:space="preserve">Performance Share Awards. </w:t>
      </w:r>
      <w:r>
        <w:rPr>
          <w:rFonts w:ascii="Arial" w:cs="Arial" w:eastAsia="Arial" w:hAnsi="Arial"/>
          <w:sz w:val="17"/>
          <w:szCs w:val="17"/>
          <w:color w:val="000000"/>
        </w:rPr>
        <w:t>For all of our named executive officers, 50% of the targeted total value of long-term incentive awards granted</w:t>
      </w:r>
      <w:r>
        <w:rPr>
          <w:rFonts w:ascii="Arial" w:cs="Arial" w:eastAsia="Arial" w:hAnsi="Arial"/>
          <w:sz w:val="17"/>
          <w:szCs w:val="17"/>
          <w:i w:val="1"/>
          <w:iCs w:val="1"/>
          <w:color w:val="483E65"/>
        </w:rPr>
        <w:t xml:space="preserve"> </w:t>
      </w:r>
      <w:r>
        <w:rPr>
          <w:rFonts w:ascii="Arial" w:cs="Arial" w:eastAsia="Arial" w:hAnsi="Arial"/>
          <w:sz w:val="17"/>
          <w:szCs w:val="17"/>
          <w:color w:val="000000"/>
        </w:rPr>
        <w:t>was in the form of three-year performance share awards. Shares are issued under those awards at the end of the three-year performance period (from fiscal 2019 through fiscal 2021 for awards granted in fiscal 2019) only to the extent that the company achieves two specific three-year financial performance goals:</w:t>
      </w:r>
    </w:p>
    <w:p>
      <w:pPr>
        <w:sectPr>
          <w:pgSz w:w="11900" w:h="16838" w:orient="portrait"/>
          <w:cols w:equalWidth="0" w:num="1">
            <w:col w:w="10820"/>
          </w:cols>
          <w:pgMar w:left="320" w:top="441" w:right="759" w:bottom="1440" w:gutter="0" w:footer="0" w:header="0"/>
        </w:sectPr>
      </w:pPr>
    </w:p>
    <w:p>
      <w:pPr>
        <w:spacing w:after="0" w:line="107" w:lineRule="exact"/>
        <w:rPr>
          <w:sz w:val="20"/>
          <w:szCs w:val="20"/>
          <w:color w:val="auto"/>
        </w:rPr>
      </w:pPr>
    </w:p>
    <w:p>
      <w:pPr>
        <w:ind w:left="940"/>
        <w:spacing w:after="0"/>
        <w:rPr>
          <w:sz w:val="20"/>
          <w:szCs w:val="20"/>
          <w:color w:val="auto"/>
        </w:rPr>
      </w:pPr>
      <w:r>
        <w:rPr>
          <w:rFonts w:ascii="Arial" w:cs="Arial" w:eastAsia="Arial" w:hAnsi="Arial"/>
          <w:sz w:val="9"/>
          <w:szCs w:val="9"/>
          <w:color w:val="77387A"/>
        </w:rPr>
        <w:t>u</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50% of the award is tied to the achievement of relative total stockholder return goals, a measurement of growth in stockholder value; and</w:t>
      </w:r>
    </w:p>
    <w:p>
      <w:pPr>
        <w:spacing w:after="0" w:line="100" w:lineRule="exact"/>
        <w:rPr>
          <w:sz w:val="20"/>
          <w:szCs w:val="20"/>
          <w:color w:val="auto"/>
        </w:rPr>
      </w:pPr>
    </w:p>
    <w:p>
      <w:pPr>
        <w:sectPr>
          <w:pgSz w:w="11900" w:h="16838" w:orient="portrait"/>
          <w:cols w:equalWidth="0" w:num="2">
            <w:col w:w="1000" w:space="360"/>
            <w:col w:w="9460"/>
          </w:cols>
          <w:pgMar w:left="320" w:top="441" w:right="759" w:bottom="1440" w:gutter="0" w:footer="0" w:header="0"/>
          <w:type w:val="continuous"/>
        </w:sectPr>
      </w:pPr>
    </w:p>
    <w:p>
      <w:pPr>
        <w:ind w:left="1360" w:hanging="412"/>
        <w:spacing w:after="0"/>
        <w:tabs>
          <w:tab w:leader="none" w:pos="1360" w:val="left"/>
        </w:tabs>
        <w:numPr>
          <w:ilvl w:val="0"/>
          <w:numId w:val="16"/>
        </w:numPr>
        <w:rPr>
          <w:rFonts w:ascii="Arial" w:cs="Arial" w:eastAsia="Arial" w:hAnsi="Arial"/>
          <w:sz w:val="9"/>
          <w:szCs w:val="9"/>
          <w:color w:val="77387A"/>
        </w:rPr>
      </w:pPr>
      <w:r>
        <w:rPr>
          <w:rFonts w:ascii="Arial" w:cs="Arial" w:eastAsia="Arial" w:hAnsi="Arial"/>
          <w:sz w:val="17"/>
          <w:szCs w:val="17"/>
          <w:color w:val="auto"/>
        </w:rPr>
        <w:t>50% of the award is tied to achievement of revenue goals.</w:t>
      </w:r>
    </w:p>
    <w:p>
      <w:pPr>
        <w:spacing w:after="0" w:line="198" w:lineRule="exact"/>
        <w:rPr>
          <w:sz w:val="20"/>
          <w:szCs w:val="20"/>
          <w:color w:val="auto"/>
        </w:rPr>
      </w:pPr>
    </w:p>
    <w:p>
      <w:pPr>
        <w:ind w:left="440" w:right="260"/>
        <w:spacing w:after="0" w:line="243" w:lineRule="auto"/>
        <w:rPr>
          <w:sz w:val="20"/>
          <w:szCs w:val="20"/>
          <w:color w:val="auto"/>
        </w:rPr>
      </w:pPr>
      <w:r>
        <w:rPr>
          <w:rFonts w:ascii="Arial" w:cs="Arial" w:eastAsia="Arial" w:hAnsi="Arial"/>
          <w:sz w:val="17"/>
          <w:szCs w:val="17"/>
          <w:color w:val="auto"/>
        </w:rPr>
        <w:t>Performance for each of these goals is measured on a cumulative basis over the total performance period rather than annually for each year of the performance period.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483E65"/>
        </w:rPr>
        <w:t xml:space="preserve">PRSUs. </w:t>
      </w:r>
      <w:r>
        <w:rPr>
          <w:rFonts w:ascii="Arial" w:cs="Arial" w:eastAsia="Arial" w:hAnsi="Arial"/>
          <w:sz w:val="16"/>
          <w:szCs w:val="16"/>
          <w:color w:val="000000"/>
        </w:rPr>
        <w:t>Performance restricted stock units (PRSUs) comprise 30% of the targeted total value of long-term incentive awards granted to our</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named executive officers. PRSUs vest 25% each year on the anniversary of the grant date, but are forfeited if we fail to achieve a</w:t>
      </w:r>
    </w:p>
    <w:p>
      <w:pPr>
        <w:ind w:left="440"/>
        <w:spacing w:after="0" w:line="234" w:lineRule="auto"/>
        <w:rPr>
          <w:sz w:val="20"/>
          <w:szCs w:val="20"/>
          <w:color w:val="auto"/>
        </w:rPr>
      </w:pPr>
      <w:r>
        <w:rPr>
          <w:rFonts w:ascii="Arial" w:cs="Arial" w:eastAsia="Arial" w:hAnsi="Arial"/>
          <w:sz w:val="17"/>
          <w:szCs w:val="17"/>
          <w:color w:val="auto"/>
        </w:rPr>
        <w:t>pre-established performance goal for the first year. The performance goal for fiscal 2019 was adjusted earnings per share of at least</w:t>
      </w:r>
    </w:p>
    <w:p>
      <w:pPr>
        <w:ind w:left="440"/>
        <w:spacing w:after="0" w:line="234" w:lineRule="auto"/>
        <w:rPr>
          <w:sz w:val="20"/>
          <w:szCs w:val="20"/>
          <w:color w:val="auto"/>
        </w:rPr>
      </w:pPr>
      <w:r>
        <w:rPr>
          <w:rFonts w:ascii="Arial" w:cs="Arial" w:eastAsia="Arial" w:hAnsi="Arial"/>
          <w:sz w:val="17"/>
          <w:szCs w:val="17"/>
          <w:color w:val="auto"/>
        </w:rPr>
        <w:t>$2.25. The Committee determined that this goal was met and therefore the PRSUs granted in fiscal 2019 will be eligible to vest over four</w:t>
      </w:r>
    </w:p>
    <w:p>
      <w:pPr>
        <w:ind w:left="440"/>
        <w:spacing w:after="0"/>
        <w:rPr>
          <w:sz w:val="20"/>
          <w:szCs w:val="20"/>
          <w:color w:val="auto"/>
        </w:rPr>
      </w:pPr>
      <w:r>
        <w:rPr>
          <w:rFonts w:ascii="Arial" w:cs="Arial" w:eastAsia="Arial" w:hAnsi="Arial"/>
          <w:sz w:val="17"/>
          <w:szCs w:val="17"/>
          <w:color w:val="auto"/>
        </w:rPr>
        <w:t>years.</w:t>
      </w:r>
    </w:p>
    <w:p>
      <w:pPr>
        <w:spacing w:after="0" w:line="180" w:lineRule="exact"/>
        <w:rPr>
          <w:sz w:val="20"/>
          <w:szCs w:val="20"/>
          <w:color w:val="auto"/>
        </w:rPr>
      </w:pPr>
    </w:p>
    <w:p>
      <w:pPr>
        <w:ind w:left="440" w:right="80"/>
        <w:spacing w:after="0" w:line="264" w:lineRule="auto"/>
        <w:rPr>
          <w:sz w:val="20"/>
          <w:szCs w:val="20"/>
          <w:color w:val="auto"/>
        </w:rPr>
      </w:pPr>
      <w:r>
        <w:rPr>
          <w:rFonts w:ascii="Arial" w:cs="Arial" w:eastAsia="Arial" w:hAnsi="Arial"/>
          <w:sz w:val="16"/>
          <w:szCs w:val="16"/>
          <w:i w:val="1"/>
          <w:iCs w:val="1"/>
          <w:color w:val="483E65"/>
        </w:rPr>
        <w:t xml:space="preserve">Stock Options. </w:t>
      </w:r>
      <w:r>
        <w:rPr>
          <w:rFonts w:ascii="Arial" w:cs="Arial" w:eastAsia="Arial" w:hAnsi="Arial"/>
          <w:sz w:val="16"/>
          <w:szCs w:val="16"/>
          <w:color w:val="000000"/>
        </w:rPr>
        <w:t>The final 20% of targeted total long-term incentive award value granted to our named executive officers is in stock options.</w:t>
      </w:r>
      <w:r>
        <w:rPr>
          <w:rFonts w:ascii="Arial" w:cs="Arial" w:eastAsia="Arial" w:hAnsi="Arial"/>
          <w:sz w:val="16"/>
          <w:szCs w:val="16"/>
          <w:i w:val="1"/>
          <w:iCs w:val="1"/>
          <w:color w:val="483E65"/>
        </w:rPr>
        <w:t xml:space="preserve"> </w:t>
      </w:r>
      <w:r>
        <w:rPr>
          <w:rFonts w:ascii="Arial" w:cs="Arial" w:eastAsia="Arial" w:hAnsi="Arial"/>
          <w:sz w:val="16"/>
          <w:szCs w:val="16"/>
          <w:color w:val="000000"/>
        </w:rPr>
        <w:t>Stock options are an effective means of linking rewards to the creation of stockholder value over a longer term. We believe that stock options motivate our executives to build stockholder value because they may realize value only if our stock appreciates during the option term. The options vest 25% each year on the anniversary of the grant date and expire on the seventh anniversary of the grant date.</w:t>
      </w:r>
    </w:p>
    <w:p>
      <w:pPr>
        <w:spacing w:after="0" w:line="156" w:lineRule="exact"/>
        <w:rPr>
          <w:sz w:val="20"/>
          <w:szCs w:val="20"/>
          <w:color w:val="auto"/>
        </w:rPr>
      </w:pPr>
    </w:p>
    <w:p>
      <w:pPr>
        <w:ind w:left="440" w:right="220"/>
        <w:spacing w:after="0" w:line="249" w:lineRule="auto"/>
        <w:rPr>
          <w:sz w:val="20"/>
          <w:szCs w:val="20"/>
          <w:color w:val="auto"/>
        </w:rPr>
      </w:pPr>
      <w:r>
        <w:rPr>
          <w:rFonts w:ascii="Arial" w:cs="Arial" w:eastAsia="Arial" w:hAnsi="Arial"/>
          <w:sz w:val="17"/>
          <w:szCs w:val="17"/>
          <w:i w:val="1"/>
          <w:iCs w:val="1"/>
          <w:color w:val="483E65"/>
        </w:rPr>
        <w:t xml:space="preserve">Total 2019 Equity Grant Values. </w:t>
      </w:r>
      <w:r>
        <w:rPr>
          <w:rFonts w:ascii="Arial" w:cs="Arial" w:eastAsia="Arial" w:hAnsi="Arial"/>
          <w:sz w:val="17"/>
          <w:szCs w:val="17"/>
          <w:color w:val="000000"/>
        </w:rPr>
        <w:t>The following table sets forth the target value and corresponding number of shares for the long-term</w:t>
      </w:r>
      <w:r>
        <w:rPr>
          <w:rFonts w:ascii="Arial" w:cs="Arial" w:eastAsia="Arial" w:hAnsi="Arial"/>
          <w:sz w:val="17"/>
          <w:szCs w:val="17"/>
          <w:i w:val="1"/>
          <w:iCs w:val="1"/>
          <w:color w:val="483E65"/>
        </w:rPr>
        <w:t xml:space="preserve"> </w:t>
      </w:r>
      <w:r>
        <w:rPr>
          <w:rFonts w:ascii="Arial" w:cs="Arial" w:eastAsia="Arial" w:hAnsi="Arial"/>
          <w:sz w:val="17"/>
          <w:szCs w:val="17"/>
          <w:color w:val="000000"/>
        </w:rPr>
        <w:t>incentive awards granted to our named executive officers in 2019. Details about these grants can be found in the “Grants of Plan-Based Awards” table in the “Executive Compensation” section of this proxy statement.</w:t>
      </w:r>
    </w:p>
    <w:p>
      <w:pPr>
        <w:spacing w:after="0" w:line="213" w:lineRule="exact"/>
        <w:rPr>
          <w:sz w:val="20"/>
          <w:szCs w:val="20"/>
          <w:color w:val="auto"/>
        </w:rPr>
      </w:pPr>
    </w:p>
    <w:tbl>
      <w:tblPr>
        <w:tblLayout w:type="fixed"/>
        <w:tblInd w:w="4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760" w:type="dxa"/>
            <w:vAlign w:val="bottom"/>
            <w:tcBorders>
              <w:bottom w:val="single" w:sz="8" w:color="483E65"/>
            </w:tcBorders>
            <w:gridSpan w:val="2"/>
          </w:tcPr>
          <w:p>
            <w:pPr>
              <w:jc w:val="right"/>
              <w:ind w:right="98"/>
              <w:spacing w:after="0"/>
              <w:rPr>
                <w:sz w:val="20"/>
                <w:szCs w:val="20"/>
                <w:color w:val="auto"/>
              </w:rPr>
            </w:pPr>
            <w:r>
              <w:rPr>
                <w:rFonts w:ascii="Arial" w:cs="Arial" w:eastAsia="Arial" w:hAnsi="Arial"/>
                <w:sz w:val="15"/>
                <w:szCs w:val="15"/>
                <w:color w:val="483E65"/>
              </w:rPr>
              <w:t>Performance Shares</w:t>
            </w:r>
          </w:p>
        </w:tc>
        <w:tc>
          <w:tcPr>
            <w:tcW w:w="1740" w:type="dxa"/>
            <w:vAlign w:val="bottom"/>
            <w:tcBorders>
              <w:bottom w:val="single" w:sz="8" w:color="483E65"/>
            </w:tcBorders>
            <w:gridSpan w:val="2"/>
          </w:tcPr>
          <w:p>
            <w:pPr>
              <w:jc w:val="right"/>
              <w:ind w:right="138"/>
              <w:spacing w:after="0"/>
              <w:rPr>
                <w:sz w:val="20"/>
                <w:szCs w:val="20"/>
                <w:color w:val="auto"/>
              </w:rPr>
            </w:pPr>
            <w:r>
              <w:rPr>
                <w:rFonts w:ascii="Arial" w:cs="Arial" w:eastAsia="Arial" w:hAnsi="Arial"/>
                <w:sz w:val="15"/>
                <w:szCs w:val="15"/>
                <w:color w:val="483E65"/>
              </w:rPr>
              <w:t>Performance RSUs</w:t>
            </w:r>
          </w:p>
        </w:tc>
        <w:tc>
          <w:tcPr>
            <w:tcW w:w="1820" w:type="dxa"/>
            <w:vAlign w:val="bottom"/>
            <w:tcBorders>
              <w:bottom w:val="single" w:sz="8" w:color="483E65"/>
            </w:tcBorders>
            <w:gridSpan w:val="2"/>
          </w:tcPr>
          <w:p>
            <w:pPr>
              <w:jc w:val="right"/>
              <w:ind w:right="338"/>
              <w:spacing w:after="0"/>
              <w:rPr>
                <w:sz w:val="20"/>
                <w:szCs w:val="20"/>
                <w:color w:val="auto"/>
              </w:rPr>
            </w:pPr>
            <w:r>
              <w:rPr>
                <w:rFonts w:ascii="Arial" w:cs="Arial" w:eastAsia="Arial" w:hAnsi="Arial"/>
                <w:sz w:val="15"/>
                <w:szCs w:val="15"/>
                <w:color w:val="483E65"/>
              </w:rPr>
              <w:t>Stock Options</w:t>
            </w:r>
          </w:p>
        </w:tc>
        <w:tc>
          <w:tcPr>
            <w:tcW w:w="106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jc w:val="right"/>
              <w:ind w:right="78"/>
              <w:spacing w:after="0"/>
              <w:rPr>
                <w:sz w:val="20"/>
                <w:szCs w:val="20"/>
                <w:color w:val="auto"/>
              </w:rPr>
            </w:pPr>
            <w:r>
              <w:rPr>
                <w:rFonts w:ascii="Arial" w:cs="Arial" w:eastAsia="Arial" w:hAnsi="Arial"/>
                <w:sz w:val="15"/>
                <w:szCs w:val="15"/>
                <w:color w:val="483E65"/>
              </w:rPr>
              <w:t>Target</w:t>
            </w:r>
          </w:p>
        </w:tc>
        <w:tc>
          <w:tcPr>
            <w:tcW w:w="1020" w:type="dxa"/>
            <w:vAlign w:val="bottom"/>
          </w:tcPr>
          <w:p>
            <w:pPr>
              <w:jc w:val="right"/>
              <w:ind w:right="218"/>
              <w:spacing w:after="0"/>
              <w:rPr>
                <w:sz w:val="20"/>
                <w:szCs w:val="20"/>
                <w:color w:val="auto"/>
              </w:rPr>
            </w:pPr>
            <w:r>
              <w:rPr>
                <w:rFonts w:ascii="Arial" w:cs="Arial" w:eastAsia="Arial" w:hAnsi="Arial"/>
                <w:sz w:val="15"/>
                <w:szCs w:val="15"/>
                <w:color w:val="483E65"/>
              </w:rPr>
              <w:t>Target</w:t>
            </w:r>
          </w:p>
        </w:tc>
        <w:tc>
          <w:tcPr>
            <w:tcW w:w="720" w:type="dxa"/>
            <w:vAlign w:val="bottom"/>
          </w:tcPr>
          <w:p>
            <w:pPr>
              <w:jc w:val="right"/>
              <w:ind w:right="38"/>
              <w:spacing w:after="0"/>
              <w:rPr>
                <w:sz w:val="20"/>
                <w:szCs w:val="20"/>
                <w:color w:val="auto"/>
              </w:rPr>
            </w:pPr>
            <w:r>
              <w:rPr>
                <w:rFonts w:ascii="Arial" w:cs="Arial" w:eastAsia="Arial" w:hAnsi="Arial"/>
                <w:sz w:val="15"/>
                <w:szCs w:val="15"/>
                <w:color w:val="483E65"/>
              </w:rPr>
              <w:t>Shares</w:t>
            </w:r>
          </w:p>
        </w:tc>
        <w:tc>
          <w:tcPr>
            <w:tcW w:w="1040" w:type="dxa"/>
            <w:vAlign w:val="bottom"/>
          </w:tcPr>
          <w:p>
            <w:pPr>
              <w:spacing w:after="0"/>
              <w:rPr>
                <w:sz w:val="14"/>
                <w:szCs w:val="14"/>
                <w:color w:val="auto"/>
              </w:rPr>
            </w:pPr>
          </w:p>
        </w:tc>
        <w:tc>
          <w:tcPr>
            <w:tcW w:w="780" w:type="dxa"/>
            <w:vAlign w:val="bottom"/>
          </w:tcPr>
          <w:p>
            <w:pPr>
              <w:jc w:val="right"/>
              <w:ind w:right="78"/>
              <w:spacing w:after="0"/>
              <w:rPr>
                <w:sz w:val="20"/>
                <w:szCs w:val="20"/>
                <w:color w:val="auto"/>
              </w:rPr>
            </w:pPr>
            <w:r>
              <w:rPr>
                <w:rFonts w:ascii="Arial" w:cs="Arial" w:eastAsia="Arial" w:hAnsi="Arial"/>
                <w:sz w:val="15"/>
                <w:szCs w:val="15"/>
                <w:color w:val="483E65"/>
              </w:rPr>
              <w:t>Shares</w:t>
            </w:r>
          </w:p>
        </w:tc>
        <w:tc>
          <w:tcPr>
            <w:tcW w:w="1060" w:type="dxa"/>
            <w:vAlign w:val="bottom"/>
          </w:tcPr>
          <w:p>
            <w:pPr>
              <w:jc w:val="right"/>
              <w:ind w:right="78"/>
              <w:spacing w:after="0"/>
              <w:rPr>
                <w:sz w:val="20"/>
                <w:szCs w:val="20"/>
                <w:color w:val="auto"/>
              </w:rPr>
            </w:pPr>
            <w:r>
              <w:rPr>
                <w:rFonts w:ascii="Arial" w:cs="Arial" w:eastAsia="Arial" w:hAnsi="Arial"/>
                <w:sz w:val="15"/>
                <w:szCs w:val="15"/>
                <w:color w:val="483E65"/>
              </w:rPr>
              <w:t>Total 2019</w:t>
            </w:r>
          </w:p>
        </w:tc>
      </w:tr>
      <w:tr>
        <w:trPr>
          <w:trHeight w:val="184"/>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60" w:type="dxa"/>
            <w:vAlign w:val="bottom"/>
          </w:tcPr>
          <w:p>
            <w:pPr>
              <w:jc w:val="right"/>
              <w:ind w:right="38"/>
              <w:spacing w:after="0"/>
              <w:rPr>
                <w:sz w:val="20"/>
                <w:szCs w:val="20"/>
                <w:color w:val="auto"/>
              </w:rPr>
            </w:pPr>
            <w:r>
              <w:rPr>
                <w:rFonts w:ascii="Arial" w:cs="Arial" w:eastAsia="Arial" w:hAnsi="Arial"/>
                <w:sz w:val="15"/>
                <w:szCs w:val="15"/>
                <w:color w:val="483E65"/>
              </w:rPr>
              <w:t>Target Value</w:t>
            </w:r>
          </w:p>
        </w:tc>
        <w:tc>
          <w:tcPr>
            <w:tcW w:w="700" w:type="dxa"/>
            <w:vAlign w:val="bottom"/>
          </w:tcPr>
          <w:p>
            <w:pPr>
              <w:jc w:val="right"/>
              <w:ind w:right="38"/>
              <w:spacing w:after="0"/>
              <w:rPr>
                <w:sz w:val="20"/>
                <w:szCs w:val="20"/>
                <w:color w:val="auto"/>
              </w:rPr>
            </w:pPr>
            <w:r>
              <w:rPr>
                <w:rFonts w:ascii="Arial" w:cs="Arial" w:eastAsia="Arial" w:hAnsi="Arial"/>
                <w:sz w:val="15"/>
                <w:szCs w:val="15"/>
                <w:color w:val="483E65"/>
              </w:rPr>
              <w:t>Shares</w:t>
            </w:r>
          </w:p>
        </w:tc>
        <w:tc>
          <w:tcPr>
            <w:tcW w:w="1020" w:type="dxa"/>
            <w:vAlign w:val="bottom"/>
          </w:tcPr>
          <w:p>
            <w:pPr>
              <w:jc w:val="right"/>
              <w:ind w:right="238"/>
              <w:spacing w:after="0"/>
              <w:rPr>
                <w:sz w:val="20"/>
                <w:szCs w:val="20"/>
                <w:color w:val="auto"/>
              </w:rPr>
            </w:pPr>
            <w:r>
              <w:rPr>
                <w:rFonts w:ascii="Arial" w:cs="Arial" w:eastAsia="Arial" w:hAnsi="Arial"/>
                <w:sz w:val="15"/>
                <w:szCs w:val="15"/>
                <w:color w:val="483E65"/>
              </w:rPr>
              <w:t>Value</w:t>
            </w:r>
          </w:p>
        </w:tc>
        <w:tc>
          <w:tcPr>
            <w:tcW w:w="720" w:type="dxa"/>
            <w:vAlign w:val="bottom"/>
          </w:tcPr>
          <w:p>
            <w:pPr>
              <w:jc w:val="right"/>
              <w:ind w:right="18"/>
              <w:spacing w:after="0"/>
              <w:rPr>
                <w:sz w:val="20"/>
                <w:szCs w:val="20"/>
                <w:color w:val="auto"/>
              </w:rPr>
            </w:pPr>
            <w:r>
              <w:rPr>
                <w:rFonts w:ascii="Arial" w:cs="Arial" w:eastAsia="Arial" w:hAnsi="Arial"/>
                <w:sz w:val="15"/>
                <w:szCs w:val="15"/>
                <w:color w:val="483E65"/>
              </w:rPr>
              <w:t>Granted</w:t>
            </w:r>
          </w:p>
        </w:tc>
        <w:tc>
          <w:tcPr>
            <w:tcW w:w="1040" w:type="dxa"/>
            <w:vAlign w:val="bottom"/>
          </w:tcPr>
          <w:p>
            <w:pPr>
              <w:jc w:val="right"/>
              <w:ind w:right="38"/>
              <w:spacing w:after="0"/>
              <w:rPr>
                <w:sz w:val="20"/>
                <w:szCs w:val="20"/>
                <w:color w:val="auto"/>
              </w:rPr>
            </w:pPr>
            <w:r>
              <w:rPr>
                <w:rFonts w:ascii="Arial" w:cs="Arial" w:eastAsia="Arial" w:hAnsi="Arial"/>
                <w:sz w:val="15"/>
                <w:szCs w:val="15"/>
                <w:color w:val="483E65"/>
              </w:rPr>
              <w:t>Target Value</w:t>
            </w:r>
          </w:p>
        </w:tc>
        <w:tc>
          <w:tcPr>
            <w:tcW w:w="780" w:type="dxa"/>
            <w:vAlign w:val="bottom"/>
          </w:tcPr>
          <w:p>
            <w:pPr>
              <w:jc w:val="right"/>
              <w:ind w:right="38"/>
              <w:spacing w:after="0"/>
              <w:rPr>
                <w:sz w:val="20"/>
                <w:szCs w:val="20"/>
                <w:color w:val="auto"/>
              </w:rPr>
            </w:pPr>
            <w:r>
              <w:rPr>
                <w:rFonts w:ascii="Arial" w:cs="Arial" w:eastAsia="Arial" w:hAnsi="Arial"/>
                <w:sz w:val="15"/>
                <w:szCs w:val="15"/>
                <w:color w:val="483E65"/>
              </w:rPr>
              <w:t>Granted</w:t>
            </w:r>
          </w:p>
        </w:tc>
        <w:tc>
          <w:tcPr>
            <w:tcW w:w="1060" w:type="dxa"/>
            <w:vAlign w:val="bottom"/>
          </w:tcPr>
          <w:p>
            <w:pPr>
              <w:jc w:val="right"/>
              <w:ind w:right="18"/>
              <w:spacing w:after="0"/>
              <w:rPr>
                <w:sz w:val="20"/>
                <w:szCs w:val="20"/>
                <w:color w:val="auto"/>
              </w:rPr>
            </w:pPr>
            <w:r>
              <w:rPr>
                <w:rFonts w:ascii="Arial" w:cs="Arial" w:eastAsia="Arial" w:hAnsi="Arial"/>
                <w:sz w:val="15"/>
                <w:szCs w:val="15"/>
                <w:color w:val="483E65"/>
              </w:rPr>
              <w:t>Equity Value</w:t>
            </w:r>
          </w:p>
        </w:tc>
      </w:tr>
      <w:tr>
        <w:trPr>
          <w:trHeight w:val="81"/>
        </w:trPr>
        <w:tc>
          <w:tcPr>
            <w:tcW w:w="4000" w:type="dxa"/>
            <w:vAlign w:val="bottom"/>
            <w:gridSpan w:val="2"/>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183"/>
        </w:trPr>
        <w:tc>
          <w:tcPr>
            <w:tcW w:w="20" w:type="dxa"/>
            <w:vAlign w:val="bottom"/>
          </w:tcPr>
          <w:p>
            <w:pPr>
              <w:spacing w:after="0"/>
              <w:rPr>
                <w:sz w:val="15"/>
                <w:szCs w:val="15"/>
                <w:color w:val="auto"/>
              </w:rPr>
            </w:pPr>
          </w:p>
        </w:tc>
        <w:tc>
          <w:tcPr>
            <w:tcW w:w="3980" w:type="dxa"/>
            <w:vAlign w:val="bottom"/>
            <w:tcBorders>
              <w:top w:val="single" w:sz="8" w:color="483E65"/>
            </w:tcBorders>
          </w:tcPr>
          <w:p>
            <w:pPr>
              <w:spacing w:after="0" w:line="184" w:lineRule="exact"/>
              <w:rPr>
                <w:sz w:val="20"/>
                <w:szCs w:val="20"/>
                <w:color w:val="auto"/>
              </w:rPr>
            </w:pPr>
            <w:r>
              <w:rPr>
                <w:rFonts w:ascii="Arial" w:cs="Arial" w:eastAsia="Arial" w:hAnsi="Arial"/>
                <w:sz w:val="17"/>
                <w:szCs w:val="17"/>
                <w:color w:val="auto"/>
              </w:rPr>
              <w:t>Roger A. Krone</w:t>
            </w:r>
          </w:p>
        </w:tc>
        <w:tc>
          <w:tcPr>
            <w:tcW w:w="1060" w:type="dxa"/>
            <w:vAlign w:val="bottom"/>
            <w:tcBorders>
              <w:top w:val="single" w:sz="8" w:color="483E65"/>
            </w:tcBorders>
          </w:tcPr>
          <w:p>
            <w:pPr>
              <w:jc w:val="right"/>
              <w:ind w:right="18"/>
              <w:spacing w:after="0" w:line="184" w:lineRule="exact"/>
              <w:rPr>
                <w:sz w:val="20"/>
                <w:szCs w:val="20"/>
                <w:color w:val="auto"/>
              </w:rPr>
            </w:pPr>
            <w:r>
              <w:rPr>
                <w:rFonts w:ascii="Arial" w:cs="Arial" w:eastAsia="Arial" w:hAnsi="Arial"/>
                <w:sz w:val="17"/>
                <w:szCs w:val="17"/>
                <w:color w:val="auto"/>
              </w:rPr>
              <w:t>$3,500,000</w:t>
            </w:r>
          </w:p>
        </w:tc>
        <w:tc>
          <w:tcPr>
            <w:tcW w:w="700" w:type="dxa"/>
            <w:vAlign w:val="bottom"/>
            <w:tcBorders>
              <w:top w:val="single" w:sz="8" w:color="483E65"/>
            </w:tcBorders>
          </w:tcPr>
          <w:p>
            <w:pPr>
              <w:jc w:val="right"/>
              <w:spacing w:after="0" w:line="184" w:lineRule="exact"/>
              <w:rPr>
                <w:sz w:val="20"/>
                <w:szCs w:val="20"/>
                <w:color w:val="auto"/>
              </w:rPr>
            </w:pPr>
            <w:r>
              <w:rPr>
                <w:rFonts w:ascii="Arial" w:cs="Arial" w:eastAsia="Arial" w:hAnsi="Arial"/>
                <w:sz w:val="17"/>
                <w:szCs w:val="17"/>
                <w:color w:val="auto"/>
              </w:rPr>
              <w:t>56,063</w:t>
            </w:r>
          </w:p>
        </w:tc>
        <w:tc>
          <w:tcPr>
            <w:tcW w:w="1020" w:type="dxa"/>
            <w:vAlign w:val="bottom"/>
            <w:tcBorders>
              <w:top w:val="single" w:sz="8" w:color="483E65"/>
            </w:tcBorders>
          </w:tcPr>
          <w:p>
            <w:pPr>
              <w:jc w:val="right"/>
              <w:spacing w:after="0" w:line="184" w:lineRule="exact"/>
              <w:rPr>
                <w:sz w:val="20"/>
                <w:szCs w:val="20"/>
                <w:color w:val="auto"/>
              </w:rPr>
            </w:pPr>
            <w:r>
              <w:rPr>
                <w:rFonts w:ascii="Arial" w:cs="Arial" w:eastAsia="Arial" w:hAnsi="Arial"/>
                <w:sz w:val="17"/>
                <w:szCs w:val="17"/>
                <w:color w:val="auto"/>
              </w:rPr>
              <w:t>$2,100,000</w:t>
            </w:r>
          </w:p>
        </w:tc>
        <w:tc>
          <w:tcPr>
            <w:tcW w:w="720" w:type="dxa"/>
            <w:vAlign w:val="bottom"/>
            <w:tcBorders>
              <w:top w:val="single" w:sz="8" w:color="483E65"/>
            </w:tcBorders>
          </w:tcPr>
          <w:p>
            <w:pPr>
              <w:jc w:val="right"/>
              <w:spacing w:after="0" w:line="184" w:lineRule="exact"/>
              <w:rPr>
                <w:sz w:val="20"/>
                <w:szCs w:val="20"/>
                <w:color w:val="auto"/>
              </w:rPr>
            </w:pPr>
            <w:r>
              <w:rPr>
                <w:rFonts w:ascii="Arial" w:cs="Arial" w:eastAsia="Arial" w:hAnsi="Arial"/>
                <w:sz w:val="17"/>
                <w:szCs w:val="17"/>
                <w:color w:val="auto"/>
              </w:rPr>
              <w:t>33,638</w:t>
            </w:r>
          </w:p>
        </w:tc>
        <w:tc>
          <w:tcPr>
            <w:tcW w:w="1040" w:type="dxa"/>
            <w:vAlign w:val="bottom"/>
            <w:tcBorders>
              <w:top w:val="single" w:sz="8" w:color="483E65"/>
            </w:tcBorders>
          </w:tcPr>
          <w:p>
            <w:pPr>
              <w:jc w:val="right"/>
              <w:ind w:right="18"/>
              <w:spacing w:after="0" w:line="184" w:lineRule="exact"/>
              <w:rPr>
                <w:sz w:val="20"/>
                <w:szCs w:val="20"/>
                <w:color w:val="auto"/>
              </w:rPr>
            </w:pPr>
            <w:r>
              <w:rPr>
                <w:rFonts w:ascii="Arial" w:cs="Arial" w:eastAsia="Arial" w:hAnsi="Arial"/>
                <w:sz w:val="17"/>
                <w:szCs w:val="17"/>
                <w:color w:val="auto"/>
              </w:rPr>
              <w:t>$1,400,000</w:t>
            </w:r>
          </w:p>
        </w:tc>
        <w:tc>
          <w:tcPr>
            <w:tcW w:w="780" w:type="dxa"/>
            <w:vAlign w:val="bottom"/>
            <w:tcBorders>
              <w:top w:val="single" w:sz="8" w:color="483E65"/>
            </w:tcBorders>
          </w:tcPr>
          <w:p>
            <w:pPr>
              <w:jc w:val="right"/>
              <w:spacing w:after="0" w:line="184" w:lineRule="exact"/>
              <w:rPr>
                <w:sz w:val="20"/>
                <w:szCs w:val="20"/>
                <w:color w:val="auto"/>
              </w:rPr>
            </w:pPr>
            <w:r>
              <w:rPr>
                <w:rFonts w:ascii="Arial" w:cs="Arial" w:eastAsia="Arial" w:hAnsi="Arial"/>
                <w:sz w:val="17"/>
                <w:szCs w:val="17"/>
                <w:color w:val="auto"/>
              </w:rPr>
              <w:t>122,915</w:t>
            </w:r>
          </w:p>
        </w:tc>
        <w:tc>
          <w:tcPr>
            <w:tcW w:w="1060" w:type="dxa"/>
            <w:vAlign w:val="bottom"/>
            <w:tcBorders>
              <w:top w:val="single" w:sz="8" w:color="483E65"/>
            </w:tcBorders>
          </w:tcPr>
          <w:p>
            <w:pPr>
              <w:jc w:val="right"/>
              <w:spacing w:after="0" w:line="184" w:lineRule="exact"/>
              <w:rPr>
                <w:sz w:val="20"/>
                <w:szCs w:val="20"/>
                <w:color w:val="auto"/>
              </w:rPr>
            </w:pPr>
            <w:r>
              <w:rPr>
                <w:rFonts w:ascii="Arial" w:cs="Arial" w:eastAsia="Arial" w:hAnsi="Arial"/>
                <w:sz w:val="17"/>
                <w:szCs w:val="17"/>
                <w:color w:val="auto"/>
              </w:rPr>
              <w:t>$7,000,000</w:t>
            </w:r>
          </w:p>
        </w:tc>
      </w:tr>
      <w:tr>
        <w:trPr>
          <w:trHeight w:val="203"/>
        </w:trPr>
        <w:tc>
          <w:tcPr>
            <w:tcW w:w="20" w:type="dxa"/>
            <w:vAlign w:val="bottom"/>
          </w:tcPr>
          <w:p>
            <w:pPr>
              <w:spacing w:after="0"/>
              <w:rPr>
                <w:sz w:val="17"/>
                <w:szCs w:val="17"/>
                <w:color w:val="auto"/>
              </w:rPr>
            </w:pPr>
          </w:p>
        </w:tc>
        <w:tc>
          <w:tcPr>
            <w:tcW w:w="3980" w:type="dxa"/>
            <w:vAlign w:val="bottom"/>
            <w:shd w:val="clear" w:color="auto" w:fill="ACABA7"/>
          </w:tcPr>
          <w:p>
            <w:pPr>
              <w:spacing w:after="0"/>
              <w:rPr>
                <w:sz w:val="20"/>
                <w:szCs w:val="20"/>
                <w:color w:val="auto"/>
              </w:rPr>
            </w:pPr>
            <w:r>
              <w:rPr>
                <w:rFonts w:ascii="Arial" w:cs="Arial" w:eastAsia="Arial" w:hAnsi="Arial"/>
                <w:sz w:val="17"/>
                <w:szCs w:val="17"/>
                <w:color w:val="auto"/>
              </w:rPr>
              <w:t>James C. Reagan</w:t>
            </w:r>
          </w:p>
        </w:tc>
        <w:tc>
          <w:tcPr>
            <w:tcW w:w="1060" w:type="dxa"/>
            <w:vAlign w:val="bottom"/>
            <w:shd w:val="clear" w:color="auto" w:fill="ACABA7"/>
          </w:tcPr>
          <w:p>
            <w:pPr>
              <w:jc w:val="right"/>
              <w:ind w:right="18"/>
              <w:spacing w:after="0"/>
              <w:rPr>
                <w:sz w:val="20"/>
                <w:szCs w:val="20"/>
                <w:color w:val="auto"/>
              </w:rPr>
            </w:pPr>
            <w:r>
              <w:rPr>
                <w:rFonts w:ascii="Arial" w:cs="Arial" w:eastAsia="Arial" w:hAnsi="Arial"/>
                <w:sz w:val="17"/>
                <w:szCs w:val="17"/>
                <w:color w:val="auto"/>
              </w:rPr>
              <w:t>$800,000</w:t>
            </w:r>
          </w:p>
        </w:tc>
        <w:tc>
          <w:tcPr>
            <w:tcW w:w="700" w:type="dxa"/>
            <w:vAlign w:val="bottom"/>
            <w:shd w:val="clear" w:color="auto" w:fill="ACABA7"/>
          </w:tcPr>
          <w:p>
            <w:pPr>
              <w:jc w:val="right"/>
              <w:spacing w:after="0"/>
              <w:rPr>
                <w:sz w:val="20"/>
                <w:szCs w:val="20"/>
                <w:color w:val="auto"/>
              </w:rPr>
            </w:pPr>
            <w:r>
              <w:rPr>
                <w:rFonts w:ascii="Arial" w:cs="Arial" w:eastAsia="Arial" w:hAnsi="Arial"/>
                <w:sz w:val="17"/>
                <w:szCs w:val="17"/>
                <w:color w:val="auto"/>
              </w:rPr>
              <w:t>12,815</w:t>
            </w:r>
          </w:p>
        </w:tc>
        <w:tc>
          <w:tcPr>
            <w:tcW w:w="1020" w:type="dxa"/>
            <w:vAlign w:val="bottom"/>
            <w:shd w:val="clear" w:color="auto" w:fill="ACABA7"/>
          </w:tcPr>
          <w:p>
            <w:pPr>
              <w:jc w:val="right"/>
              <w:spacing w:after="0"/>
              <w:rPr>
                <w:sz w:val="20"/>
                <w:szCs w:val="20"/>
                <w:color w:val="auto"/>
              </w:rPr>
            </w:pPr>
            <w:r>
              <w:rPr>
                <w:rFonts w:ascii="Arial" w:cs="Arial" w:eastAsia="Arial" w:hAnsi="Arial"/>
                <w:sz w:val="17"/>
                <w:szCs w:val="17"/>
                <w:color w:val="auto"/>
              </w:rPr>
              <w:t>$480,000</w:t>
            </w:r>
          </w:p>
        </w:tc>
        <w:tc>
          <w:tcPr>
            <w:tcW w:w="720" w:type="dxa"/>
            <w:vAlign w:val="bottom"/>
            <w:shd w:val="clear" w:color="auto" w:fill="ACABA7"/>
          </w:tcPr>
          <w:p>
            <w:pPr>
              <w:jc w:val="right"/>
              <w:spacing w:after="0"/>
              <w:rPr>
                <w:sz w:val="20"/>
                <w:szCs w:val="20"/>
                <w:color w:val="auto"/>
              </w:rPr>
            </w:pPr>
            <w:r>
              <w:rPr>
                <w:rFonts w:ascii="Arial" w:cs="Arial" w:eastAsia="Arial" w:hAnsi="Arial"/>
                <w:sz w:val="17"/>
                <w:szCs w:val="17"/>
                <w:color w:val="auto"/>
              </w:rPr>
              <w:t>7,689</w:t>
            </w:r>
          </w:p>
        </w:tc>
        <w:tc>
          <w:tcPr>
            <w:tcW w:w="1040" w:type="dxa"/>
            <w:vAlign w:val="bottom"/>
            <w:shd w:val="clear" w:color="auto" w:fill="ACABA7"/>
          </w:tcPr>
          <w:p>
            <w:pPr>
              <w:jc w:val="right"/>
              <w:ind w:right="18"/>
              <w:spacing w:after="0"/>
              <w:rPr>
                <w:sz w:val="20"/>
                <w:szCs w:val="20"/>
                <w:color w:val="auto"/>
              </w:rPr>
            </w:pPr>
            <w:r>
              <w:rPr>
                <w:rFonts w:ascii="Arial" w:cs="Arial" w:eastAsia="Arial" w:hAnsi="Arial"/>
                <w:sz w:val="17"/>
                <w:szCs w:val="17"/>
                <w:color w:val="auto"/>
              </w:rPr>
              <w:t>$320,000</w:t>
            </w:r>
          </w:p>
        </w:tc>
        <w:tc>
          <w:tcPr>
            <w:tcW w:w="780" w:type="dxa"/>
            <w:vAlign w:val="bottom"/>
            <w:shd w:val="clear" w:color="auto" w:fill="ACABA7"/>
          </w:tcPr>
          <w:p>
            <w:pPr>
              <w:jc w:val="right"/>
              <w:spacing w:after="0"/>
              <w:rPr>
                <w:sz w:val="20"/>
                <w:szCs w:val="20"/>
                <w:color w:val="auto"/>
              </w:rPr>
            </w:pPr>
            <w:r>
              <w:rPr>
                <w:rFonts w:ascii="Arial" w:cs="Arial" w:eastAsia="Arial" w:hAnsi="Arial"/>
                <w:sz w:val="17"/>
                <w:szCs w:val="17"/>
                <w:color w:val="auto"/>
              </w:rPr>
              <w:t>28,095</w:t>
            </w:r>
          </w:p>
        </w:tc>
        <w:tc>
          <w:tcPr>
            <w:tcW w:w="1060" w:type="dxa"/>
            <w:vAlign w:val="bottom"/>
            <w:shd w:val="clear" w:color="auto" w:fill="ACABA7"/>
          </w:tcPr>
          <w:p>
            <w:pPr>
              <w:jc w:val="right"/>
              <w:spacing w:after="0"/>
              <w:rPr>
                <w:sz w:val="20"/>
                <w:szCs w:val="20"/>
                <w:color w:val="auto"/>
              </w:rPr>
            </w:pPr>
            <w:r>
              <w:rPr>
                <w:rFonts w:ascii="Arial" w:cs="Arial" w:eastAsia="Arial" w:hAnsi="Arial"/>
                <w:sz w:val="17"/>
                <w:szCs w:val="17"/>
                <w:color w:val="auto"/>
              </w:rPr>
              <w:t>$1,600,000</w:t>
            </w:r>
          </w:p>
        </w:tc>
      </w:tr>
      <w:tr>
        <w:trPr>
          <w:trHeight w:val="203"/>
        </w:trPr>
        <w:tc>
          <w:tcPr>
            <w:tcW w:w="4000" w:type="dxa"/>
            <w:vAlign w:val="bottom"/>
            <w:gridSpan w:val="2"/>
          </w:tcPr>
          <w:p>
            <w:pPr>
              <w:spacing w:after="0"/>
              <w:rPr>
                <w:sz w:val="20"/>
                <w:szCs w:val="20"/>
                <w:color w:val="auto"/>
              </w:rPr>
            </w:pPr>
            <w:r>
              <w:rPr>
                <w:rFonts w:ascii="Arial" w:cs="Arial" w:eastAsia="Arial" w:hAnsi="Arial"/>
                <w:sz w:val="17"/>
                <w:szCs w:val="17"/>
                <w:color w:val="auto"/>
              </w:rPr>
              <w:t>Jonathan W. Scholl</w:t>
            </w:r>
          </w:p>
        </w:tc>
        <w:tc>
          <w:tcPr>
            <w:tcW w:w="1060" w:type="dxa"/>
            <w:vAlign w:val="bottom"/>
          </w:tcPr>
          <w:p>
            <w:pPr>
              <w:jc w:val="right"/>
              <w:ind w:right="18"/>
              <w:spacing w:after="0"/>
              <w:rPr>
                <w:sz w:val="20"/>
                <w:szCs w:val="20"/>
                <w:color w:val="auto"/>
              </w:rPr>
            </w:pPr>
            <w:r>
              <w:rPr>
                <w:rFonts w:ascii="Arial" w:cs="Arial" w:eastAsia="Arial" w:hAnsi="Arial"/>
                <w:sz w:val="17"/>
                <w:szCs w:val="17"/>
                <w:color w:val="auto"/>
              </w:rPr>
              <w:t>$570,000</w:t>
            </w:r>
          </w:p>
        </w:tc>
        <w:tc>
          <w:tcPr>
            <w:tcW w:w="700" w:type="dxa"/>
            <w:vAlign w:val="bottom"/>
          </w:tcPr>
          <w:p>
            <w:pPr>
              <w:jc w:val="right"/>
              <w:spacing w:after="0"/>
              <w:rPr>
                <w:sz w:val="20"/>
                <w:szCs w:val="20"/>
                <w:color w:val="auto"/>
              </w:rPr>
            </w:pPr>
            <w:r>
              <w:rPr>
                <w:rFonts w:ascii="Arial" w:cs="Arial" w:eastAsia="Arial" w:hAnsi="Arial"/>
                <w:sz w:val="17"/>
                <w:szCs w:val="17"/>
                <w:color w:val="auto"/>
              </w:rPr>
              <w:t>9,131</w:t>
            </w:r>
          </w:p>
        </w:tc>
        <w:tc>
          <w:tcPr>
            <w:tcW w:w="1020" w:type="dxa"/>
            <w:vAlign w:val="bottom"/>
          </w:tcPr>
          <w:p>
            <w:pPr>
              <w:jc w:val="right"/>
              <w:spacing w:after="0"/>
              <w:rPr>
                <w:sz w:val="20"/>
                <w:szCs w:val="20"/>
                <w:color w:val="auto"/>
              </w:rPr>
            </w:pPr>
            <w:r>
              <w:rPr>
                <w:rFonts w:ascii="Arial" w:cs="Arial" w:eastAsia="Arial" w:hAnsi="Arial"/>
                <w:sz w:val="17"/>
                <w:szCs w:val="17"/>
                <w:color w:val="auto"/>
              </w:rPr>
              <w:t>$342,000</w:t>
            </w:r>
          </w:p>
        </w:tc>
        <w:tc>
          <w:tcPr>
            <w:tcW w:w="720" w:type="dxa"/>
            <w:vAlign w:val="bottom"/>
          </w:tcPr>
          <w:p>
            <w:pPr>
              <w:jc w:val="right"/>
              <w:spacing w:after="0"/>
              <w:rPr>
                <w:sz w:val="20"/>
                <w:szCs w:val="20"/>
                <w:color w:val="auto"/>
              </w:rPr>
            </w:pPr>
            <w:r>
              <w:rPr>
                <w:rFonts w:ascii="Arial" w:cs="Arial" w:eastAsia="Arial" w:hAnsi="Arial"/>
                <w:sz w:val="17"/>
                <w:szCs w:val="17"/>
                <w:color w:val="auto"/>
              </w:rPr>
              <w:t>5,479</w:t>
            </w: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$228,000</w:t>
            </w:r>
          </w:p>
        </w:tc>
        <w:tc>
          <w:tcPr>
            <w:tcW w:w="780" w:type="dxa"/>
            <w:vAlign w:val="bottom"/>
          </w:tcPr>
          <w:p>
            <w:pPr>
              <w:jc w:val="right"/>
              <w:spacing w:after="0"/>
              <w:rPr>
                <w:sz w:val="20"/>
                <w:szCs w:val="20"/>
                <w:color w:val="auto"/>
              </w:rPr>
            </w:pPr>
            <w:r>
              <w:rPr>
                <w:rFonts w:ascii="Arial" w:cs="Arial" w:eastAsia="Arial" w:hAnsi="Arial"/>
                <w:sz w:val="17"/>
                <w:szCs w:val="17"/>
                <w:color w:val="auto"/>
              </w:rPr>
              <w:t>20,018</w:t>
            </w:r>
          </w:p>
        </w:tc>
        <w:tc>
          <w:tcPr>
            <w:tcW w:w="1060" w:type="dxa"/>
            <w:vAlign w:val="bottom"/>
          </w:tcPr>
          <w:p>
            <w:pPr>
              <w:jc w:val="right"/>
              <w:spacing w:after="0"/>
              <w:rPr>
                <w:sz w:val="20"/>
                <w:szCs w:val="20"/>
                <w:color w:val="auto"/>
              </w:rPr>
            </w:pPr>
            <w:r>
              <w:rPr>
                <w:rFonts w:ascii="Arial" w:cs="Arial" w:eastAsia="Arial" w:hAnsi="Arial"/>
                <w:sz w:val="17"/>
                <w:szCs w:val="17"/>
                <w:color w:val="auto"/>
              </w:rPr>
              <w:t>$1,140,000</w:t>
            </w:r>
          </w:p>
        </w:tc>
      </w:tr>
      <w:tr>
        <w:trPr>
          <w:trHeight w:val="203"/>
        </w:trPr>
        <w:tc>
          <w:tcPr>
            <w:tcW w:w="20" w:type="dxa"/>
            <w:vAlign w:val="bottom"/>
          </w:tcPr>
          <w:p>
            <w:pPr>
              <w:spacing w:after="0"/>
              <w:rPr>
                <w:sz w:val="17"/>
                <w:szCs w:val="17"/>
                <w:color w:val="auto"/>
              </w:rPr>
            </w:pPr>
          </w:p>
        </w:tc>
        <w:tc>
          <w:tcPr>
            <w:tcW w:w="3980" w:type="dxa"/>
            <w:vAlign w:val="bottom"/>
            <w:shd w:val="clear" w:color="auto" w:fill="ACABA7"/>
          </w:tcPr>
          <w:p>
            <w:pPr>
              <w:spacing w:after="0"/>
              <w:rPr>
                <w:sz w:val="20"/>
                <w:szCs w:val="20"/>
                <w:color w:val="auto"/>
              </w:rPr>
            </w:pPr>
            <w:r>
              <w:rPr>
                <w:rFonts w:ascii="Arial" w:cs="Arial" w:eastAsia="Arial" w:hAnsi="Arial"/>
                <w:sz w:val="17"/>
                <w:szCs w:val="17"/>
                <w:color w:val="auto"/>
              </w:rPr>
              <w:t>Jerald S. Howe, Jr.</w:t>
            </w:r>
          </w:p>
        </w:tc>
        <w:tc>
          <w:tcPr>
            <w:tcW w:w="1060" w:type="dxa"/>
            <w:vAlign w:val="bottom"/>
            <w:shd w:val="clear" w:color="auto" w:fill="ACABA7"/>
          </w:tcPr>
          <w:p>
            <w:pPr>
              <w:jc w:val="right"/>
              <w:ind w:right="18"/>
              <w:spacing w:after="0"/>
              <w:rPr>
                <w:sz w:val="20"/>
                <w:szCs w:val="20"/>
                <w:color w:val="auto"/>
              </w:rPr>
            </w:pPr>
            <w:r>
              <w:rPr>
                <w:rFonts w:ascii="Arial" w:cs="Arial" w:eastAsia="Arial" w:hAnsi="Arial"/>
                <w:sz w:val="17"/>
                <w:szCs w:val="17"/>
                <w:color w:val="auto"/>
              </w:rPr>
              <w:t>$516,250</w:t>
            </w:r>
          </w:p>
        </w:tc>
        <w:tc>
          <w:tcPr>
            <w:tcW w:w="700" w:type="dxa"/>
            <w:vAlign w:val="bottom"/>
            <w:shd w:val="clear" w:color="auto" w:fill="ACABA7"/>
          </w:tcPr>
          <w:p>
            <w:pPr>
              <w:jc w:val="right"/>
              <w:spacing w:after="0"/>
              <w:rPr>
                <w:sz w:val="20"/>
                <w:szCs w:val="20"/>
                <w:color w:val="auto"/>
              </w:rPr>
            </w:pPr>
            <w:r>
              <w:rPr>
                <w:rFonts w:ascii="Arial" w:cs="Arial" w:eastAsia="Arial" w:hAnsi="Arial"/>
                <w:sz w:val="17"/>
                <w:szCs w:val="17"/>
                <w:color w:val="auto"/>
              </w:rPr>
              <w:t>8,270</w:t>
            </w:r>
          </w:p>
        </w:tc>
        <w:tc>
          <w:tcPr>
            <w:tcW w:w="1020" w:type="dxa"/>
            <w:vAlign w:val="bottom"/>
            <w:shd w:val="clear" w:color="auto" w:fill="ACABA7"/>
          </w:tcPr>
          <w:p>
            <w:pPr>
              <w:jc w:val="right"/>
              <w:spacing w:after="0"/>
              <w:rPr>
                <w:sz w:val="20"/>
                <w:szCs w:val="20"/>
                <w:color w:val="auto"/>
              </w:rPr>
            </w:pPr>
            <w:r>
              <w:rPr>
                <w:rFonts w:ascii="Arial" w:cs="Arial" w:eastAsia="Arial" w:hAnsi="Arial"/>
                <w:sz w:val="17"/>
                <w:szCs w:val="17"/>
                <w:color w:val="auto"/>
              </w:rPr>
              <w:t>$309,750</w:t>
            </w:r>
          </w:p>
        </w:tc>
        <w:tc>
          <w:tcPr>
            <w:tcW w:w="720" w:type="dxa"/>
            <w:vAlign w:val="bottom"/>
            <w:shd w:val="clear" w:color="auto" w:fill="ACABA7"/>
          </w:tcPr>
          <w:p>
            <w:pPr>
              <w:jc w:val="right"/>
              <w:spacing w:after="0"/>
              <w:rPr>
                <w:sz w:val="20"/>
                <w:szCs w:val="20"/>
                <w:color w:val="auto"/>
              </w:rPr>
            </w:pPr>
            <w:r>
              <w:rPr>
                <w:rFonts w:ascii="Arial" w:cs="Arial" w:eastAsia="Arial" w:hAnsi="Arial"/>
                <w:sz w:val="17"/>
                <w:szCs w:val="17"/>
                <w:color w:val="auto"/>
              </w:rPr>
              <w:t>4,962</w:t>
            </w:r>
          </w:p>
        </w:tc>
        <w:tc>
          <w:tcPr>
            <w:tcW w:w="1040" w:type="dxa"/>
            <w:vAlign w:val="bottom"/>
            <w:shd w:val="clear" w:color="auto" w:fill="ACABA7"/>
          </w:tcPr>
          <w:p>
            <w:pPr>
              <w:jc w:val="right"/>
              <w:ind w:right="18"/>
              <w:spacing w:after="0"/>
              <w:rPr>
                <w:sz w:val="20"/>
                <w:szCs w:val="20"/>
                <w:color w:val="auto"/>
              </w:rPr>
            </w:pPr>
            <w:r>
              <w:rPr>
                <w:rFonts w:ascii="Arial" w:cs="Arial" w:eastAsia="Arial" w:hAnsi="Arial"/>
                <w:sz w:val="17"/>
                <w:szCs w:val="17"/>
                <w:color w:val="auto"/>
              </w:rPr>
              <w:t>$206,500</w:t>
            </w:r>
          </w:p>
        </w:tc>
        <w:tc>
          <w:tcPr>
            <w:tcW w:w="780" w:type="dxa"/>
            <w:vAlign w:val="bottom"/>
            <w:shd w:val="clear" w:color="auto" w:fill="ACABA7"/>
          </w:tcPr>
          <w:p>
            <w:pPr>
              <w:jc w:val="right"/>
              <w:spacing w:after="0"/>
              <w:rPr>
                <w:sz w:val="20"/>
                <w:szCs w:val="20"/>
                <w:color w:val="auto"/>
              </w:rPr>
            </w:pPr>
            <w:r>
              <w:rPr>
                <w:rFonts w:ascii="Arial" w:cs="Arial" w:eastAsia="Arial" w:hAnsi="Arial"/>
                <w:sz w:val="17"/>
                <w:szCs w:val="17"/>
                <w:color w:val="auto"/>
              </w:rPr>
              <w:t>18,130</w:t>
            </w:r>
          </w:p>
        </w:tc>
        <w:tc>
          <w:tcPr>
            <w:tcW w:w="1060" w:type="dxa"/>
            <w:vAlign w:val="bottom"/>
            <w:shd w:val="clear" w:color="auto" w:fill="ACABA7"/>
          </w:tcPr>
          <w:p>
            <w:pPr>
              <w:jc w:val="right"/>
              <w:spacing w:after="0"/>
              <w:rPr>
                <w:sz w:val="20"/>
                <w:szCs w:val="20"/>
                <w:color w:val="auto"/>
              </w:rPr>
            </w:pPr>
            <w:r>
              <w:rPr>
                <w:rFonts w:ascii="Arial" w:cs="Arial" w:eastAsia="Arial" w:hAnsi="Arial"/>
                <w:sz w:val="17"/>
                <w:szCs w:val="17"/>
                <w:color w:val="auto"/>
              </w:rPr>
              <w:t>$1,032,500</w:t>
            </w:r>
          </w:p>
        </w:tc>
      </w:tr>
      <w:tr>
        <w:trPr>
          <w:trHeight w:val="215"/>
        </w:trPr>
        <w:tc>
          <w:tcPr>
            <w:tcW w:w="4000" w:type="dxa"/>
            <w:vAlign w:val="bottom"/>
            <w:gridSpan w:val="2"/>
          </w:tcPr>
          <w:p>
            <w:pPr>
              <w:spacing w:after="0"/>
              <w:rPr>
                <w:sz w:val="20"/>
                <w:szCs w:val="20"/>
                <w:color w:val="auto"/>
              </w:rPr>
            </w:pPr>
            <w:r>
              <w:rPr>
                <w:rFonts w:ascii="Arial" w:cs="Arial" w:eastAsia="Arial" w:hAnsi="Arial"/>
                <w:sz w:val="17"/>
                <w:szCs w:val="17"/>
                <w:color w:val="auto"/>
              </w:rPr>
              <w:t>Gerard A. Fasano</w:t>
            </w:r>
          </w:p>
        </w:tc>
        <w:tc>
          <w:tcPr>
            <w:tcW w:w="1060" w:type="dxa"/>
            <w:vAlign w:val="bottom"/>
          </w:tcPr>
          <w:p>
            <w:pPr>
              <w:jc w:val="right"/>
              <w:ind w:right="18"/>
              <w:spacing w:after="0"/>
              <w:rPr>
                <w:sz w:val="20"/>
                <w:szCs w:val="20"/>
                <w:color w:val="auto"/>
              </w:rPr>
            </w:pPr>
            <w:r>
              <w:rPr>
                <w:rFonts w:ascii="Arial" w:cs="Arial" w:eastAsia="Arial" w:hAnsi="Arial"/>
                <w:sz w:val="17"/>
                <w:szCs w:val="17"/>
                <w:color w:val="auto"/>
              </w:rPr>
              <w:t>$525,000</w:t>
            </w:r>
          </w:p>
        </w:tc>
        <w:tc>
          <w:tcPr>
            <w:tcW w:w="700" w:type="dxa"/>
            <w:vAlign w:val="bottom"/>
          </w:tcPr>
          <w:p>
            <w:pPr>
              <w:jc w:val="right"/>
              <w:spacing w:after="0"/>
              <w:rPr>
                <w:sz w:val="20"/>
                <w:szCs w:val="20"/>
                <w:color w:val="auto"/>
              </w:rPr>
            </w:pPr>
            <w:r>
              <w:rPr>
                <w:rFonts w:ascii="Arial" w:cs="Arial" w:eastAsia="Arial" w:hAnsi="Arial"/>
                <w:sz w:val="17"/>
                <w:szCs w:val="17"/>
                <w:color w:val="auto"/>
              </w:rPr>
              <w:t>8,410</w:t>
            </w:r>
          </w:p>
        </w:tc>
        <w:tc>
          <w:tcPr>
            <w:tcW w:w="1020" w:type="dxa"/>
            <w:vAlign w:val="bottom"/>
          </w:tcPr>
          <w:p>
            <w:pPr>
              <w:jc w:val="right"/>
              <w:spacing w:after="0"/>
              <w:rPr>
                <w:sz w:val="20"/>
                <w:szCs w:val="20"/>
                <w:color w:val="auto"/>
              </w:rPr>
            </w:pPr>
            <w:r>
              <w:rPr>
                <w:rFonts w:ascii="Arial" w:cs="Arial" w:eastAsia="Arial" w:hAnsi="Arial"/>
                <w:sz w:val="17"/>
                <w:szCs w:val="17"/>
                <w:color w:val="auto"/>
              </w:rPr>
              <w:t>$315,000</w:t>
            </w:r>
          </w:p>
        </w:tc>
        <w:tc>
          <w:tcPr>
            <w:tcW w:w="720" w:type="dxa"/>
            <w:vAlign w:val="bottom"/>
          </w:tcPr>
          <w:p>
            <w:pPr>
              <w:jc w:val="right"/>
              <w:spacing w:after="0"/>
              <w:rPr>
                <w:sz w:val="20"/>
                <w:szCs w:val="20"/>
                <w:color w:val="auto"/>
              </w:rPr>
            </w:pPr>
            <w:r>
              <w:rPr>
                <w:rFonts w:ascii="Arial" w:cs="Arial" w:eastAsia="Arial" w:hAnsi="Arial"/>
                <w:sz w:val="17"/>
                <w:szCs w:val="17"/>
                <w:color w:val="auto"/>
              </w:rPr>
              <w:t>5,046</w:t>
            </w: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$210,000</w:t>
            </w:r>
          </w:p>
        </w:tc>
        <w:tc>
          <w:tcPr>
            <w:tcW w:w="780" w:type="dxa"/>
            <w:vAlign w:val="bottom"/>
          </w:tcPr>
          <w:p>
            <w:pPr>
              <w:jc w:val="right"/>
              <w:spacing w:after="0"/>
              <w:rPr>
                <w:sz w:val="20"/>
                <w:szCs w:val="20"/>
                <w:color w:val="auto"/>
              </w:rPr>
            </w:pPr>
            <w:r>
              <w:rPr>
                <w:rFonts w:ascii="Arial" w:cs="Arial" w:eastAsia="Arial" w:hAnsi="Arial"/>
                <w:sz w:val="17"/>
                <w:szCs w:val="17"/>
                <w:color w:val="auto"/>
              </w:rPr>
              <w:t>18,438</w:t>
            </w:r>
          </w:p>
        </w:tc>
        <w:tc>
          <w:tcPr>
            <w:tcW w:w="1060" w:type="dxa"/>
            <w:vAlign w:val="bottom"/>
          </w:tcPr>
          <w:p>
            <w:pPr>
              <w:jc w:val="right"/>
              <w:spacing w:after="0"/>
              <w:rPr>
                <w:sz w:val="20"/>
                <w:szCs w:val="20"/>
                <w:color w:val="auto"/>
              </w:rPr>
            </w:pPr>
            <w:r>
              <w:rPr>
                <w:rFonts w:ascii="Arial" w:cs="Arial" w:eastAsia="Arial" w:hAnsi="Arial"/>
                <w:sz w:val="17"/>
                <w:szCs w:val="17"/>
                <w:color w:val="auto"/>
              </w:rPr>
              <w:t>$1,050,000</w:t>
            </w:r>
          </w:p>
        </w:tc>
      </w:tr>
    </w:tbl>
    <w:p>
      <w:pPr>
        <w:spacing w:after="0" w:line="23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Performance Equity Vesting in 2019</w:t>
      </w:r>
    </w:p>
    <w:p>
      <w:pPr>
        <w:spacing w:after="0" w:line="200" w:lineRule="exact"/>
        <w:rPr>
          <w:sz w:val="20"/>
          <w:szCs w:val="20"/>
          <w:color w:val="auto"/>
        </w:rPr>
      </w:pPr>
    </w:p>
    <w:p>
      <w:pPr>
        <w:ind w:left="440" w:right="20"/>
        <w:spacing w:after="0" w:line="241" w:lineRule="auto"/>
        <w:rPr>
          <w:sz w:val="20"/>
          <w:szCs w:val="20"/>
          <w:color w:val="auto"/>
        </w:rPr>
      </w:pPr>
      <w:r>
        <w:rPr>
          <w:rFonts w:ascii="Arial" w:cs="Arial" w:eastAsia="Arial" w:hAnsi="Arial"/>
          <w:sz w:val="17"/>
          <w:szCs w:val="17"/>
          <w:i w:val="1"/>
          <w:iCs w:val="1"/>
          <w:color w:val="483E65"/>
        </w:rPr>
        <w:t>Determination of Performance Shares Earned for the 2017—2019 Performance Period</w:t>
      </w:r>
      <w:r>
        <w:rPr>
          <w:rFonts w:ascii="Arial" w:cs="Arial" w:eastAsia="Arial" w:hAnsi="Arial"/>
          <w:sz w:val="17"/>
          <w:szCs w:val="17"/>
          <w:color w:val="483E65"/>
        </w:rPr>
        <w:t>.</w:t>
      </w:r>
      <w:r>
        <w:rPr>
          <w:rFonts w:ascii="Arial" w:cs="Arial" w:eastAsia="Arial" w:hAnsi="Arial"/>
          <w:sz w:val="17"/>
          <w:szCs w:val="17"/>
          <w:i w:val="1"/>
          <w:iCs w:val="1"/>
          <w:color w:val="483E65"/>
        </w:rPr>
        <w:t xml:space="preserve"> </w:t>
      </w:r>
      <w:r>
        <w:rPr>
          <w:rFonts w:ascii="Arial" w:cs="Arial" w:eastAsia="Arial" w:hAnsi="Arial"/>
          <w:sz w:val="17"/>
          <w:szCs w:val="17"/>
          <w:color w:val="000000"/>
        </w:rPr>
        <w:t>In December 2016, the Committee established the</w:t>
      </w:r>
      <w:r>
        <w:rPr>
          <w:rFonts w:ascii="Arial" w:cs="Arial" w:eastAsia="Arial" w:hAnsi="Arial"/>
          <w:sz w:val="17"/>
          <w:szCs w:val="17"/>
          <w:i w:val="1"/>
          <w:iCs w:val="1"/>
          <w:color w:val="483E65"/>
        </w:rPr>
        <w:t xml:space="preserve"> </w:t>
      </w:r>
      <w:r>
        <w:rPr>
          <w:rFonts w:ascii="Arial" w:cs="Arial" w:eastAsia="Arial" w:hAnsi="Arial"/>
          <w:sz w:val="17"/>
          <w:szCs w:val="17"/>
          <w:color w:val="000000"/>
        </w:rPr>
        <w:t>long-term performance goals for the performance share program measuring the three-year performance period covering fiscal years 2017 through 2019. The vesting and payout for these performance shares was contingent on the achievement of a relative total shareholder return metric (weighted 50%) and an adjusted operating income goal (weighted 50%), with both metrics measuring cumulative results over the three-year performance period.</w:t>
      </w:r>
    </w:p>
    <w:p>
      <w:pPr>
        <w:spacing w:after="0" w:line="114" w:lineRule="exact"/>
        <w:rPr>
          <w:sz w:val="20"/>
          <w:szCs w:val="20"/>
          <w:color w:val="auto"/>
        </w:rPr>
      </w:pPr>
    </w:p>
    <w:p>
      <w:pPr>
        <w:jc w:val="right"/>
        <w:ind w:right="20"/>
        <w:spacing w:after="0"/>
        <w:tabs>
          <w:tab w:leader="none" w:pos="380" w:val="left"/>
          <w:tab w:leader="none" w:pos="16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25</w:t>
      </w:r>
    </w:p>
    <w:p>
      <w:pPr>
        <w:sectPr>
          <w:pgSz w:w="11900" w:h="16838" w:orient="portrait"/>
          <w:cols w:equalWidth="0" w:num="1">
            <w:col w:w="10820"/>
          </w:cols>
          <w:pgMar w:left="320" w:top="441" w:right="759" w:bottom="1440" w:gutter="0" w:footer="0" w:header="0"/>
          <w:type w:val="continuous"/>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93" w:lineRule="exact"/>
        <w:rPr>
          <w:sz w:val="20"/>
          <w:szCs w:val="20"/>
          <w:color w:val="auto"/>
        </w:rPr>
      </w:pPr>
    </w:p>
    <w:p>
      <w:pPr>
        <w:jc w:val="both"/>
        <w:ind w:left="440" w:right="40"/>
        <w:spacing w:after="0" w:line="239" w:lineRule="auto"/>
        <w:rPr>
          <w:sz w:val="20"/>
          <w:szCs w:val="20"/>
          <w:color w:val="auto"/>
        </w:rPr>
      </w:pPr>
      <w:r>
        <w:rPr>
          <w:rFonts w:ascii="Arial" w:cs="Arial" w:eastAsia="Arial" w:hAnsi="Arial"/>
          <w:sz w:val="17"/>
          <w:szCs w:val="17"/>
          <w:color w:val="auto"/>
        </w:rPr>
        <w:t>At its February 2020 meeting, the Committee approved a payout score of 126% for the 2017 through 2019 performance period. The tables below show the modified adjusted operating income goal at target and the actual results for the three-year performance period, as well as the relative total shareholder return goals and results:</w:t>
      </w:r>
    </w:p>
    <w:p>
      <w:pPr>
        <w:spacing w:after="0" w:line="212"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1500" w:type="dxa"/>
            <w:vAlign w:val="bottom"/>
            <w:vMerge w:val="restart"/>
          </w:tcPr>
          <w:p>
            <w:pPr>
              <w:ind w:left="100"/>
              <w:spacing w:after="0"/>
              <w:rPr>
                <w:sz w:val="20"/>
                <w:szCs w:val="20"/>
                <w:color w:val="auto"/>
              </w:rPr>
            </w:pPr>
            <w:r>
              <w:rPr>
                <w:rFonts w:ascii="Arial" w:cs="Arial" w:eastAsia="Arial" w:hAnsi="Arial"/>
                <w:sz w:val="17"/>
                <w:szCs w:val="17"/>
                <w:color w:val="483E65"/>
              </w:rPr>
              <w:t>Payout Level</w:t>
            </w:r>
          </w:p>
        </w:tc>
        <w:tc>
          <w:tcPr>
            <w:tcW w:w="1380" w:type="dxa"/>
            <w:vAlign w:val="bottom"/>
          </w:tcPr>
          <w:p>
            <w:pPr>
              <w:spacing w:after="0"/>
              <w:rPr>
                <w:sz w:val="16"/>
                <w:szCs w:val="16"/>
                <w:color w:val="auto"/>
              </w:rPr>
            </w:pPr>
          </w:p>
        </w:tc>
        <w:tc>
          <w:tcPr>
            <w:tcW w:w="4860" w:type="dxa"/>
            <w:vAlign w:val="bottom"/>
            <w:gridSpan w:val="2"/>
          </w:tcPr>
          <w:p>
            <w:pPr>
              <w:jc w:val="right"/>
              <w:ind w:right="475"/>
              <w:spacing w:after="0"/>
              <w:rPr>
                <w:sz w:val="20"/>
                <w:szCs w:val="20"/>
                <w:color w:val="auto"/>
              </w:rPr>
            </w:pPr>
            <w:r>
              <w:rPr>
                <w:rFonts w:ascii="Arial" w:cs="Arial" w:eastAsia="Arial" w:hAnsi="Arial"/>
                <w:sz w:val="17"/>
                <w:szCs w:val="17"/>
                <w:color w:val="483E65"/>
              </w:rPr>
              <w:t>Achievement of Adjusted Operating Income Goals</w:t>
            </w:r>
          </w:p>
        </w:tc>
        <w:tc>
          <w:tcPr>
            <w:tcW w:w="1540" w:type="dxa"/>
            <w:vAlign w:val="bottom"/>
            <w:vMerge w:val="restart"/>
          </w:tcPr>
          <w:p>
            <w:pPr>
              <w:jc w:val="center"/>
              <w:spacing w:after="0"/>
              <w:rPr>
                <w:sz w:val="20"/>
                <w:szCs w:val="20"/>
                <w:color w:val="auto"/>
              </w:rPr>
            </w:pPr>
            <w:r>
              <w:rPr>
                <w:rFonts w:ascii="Arial" w:cs="Arial" w:eastAsia="Arial" w:hAnsi="Arial"/>
                <w:sz w:val="17"/>
                <w:szCs w:val="17"/>
                <w:color w:val="483E65"/>
                <w:w w:val="99"/>
              </w:rPr>
              <w:t xml:space="preserve">Results </w:t>
            </w:r>
            <w:r>
              <w:rPr>
                <w:rFonts w:ascii="Arial" w:cs="Arial" w:eastAsia="Arial" w:hAnsi="Arial"/>
                <w:sz w:val="14"/>
                <w:szCs w:val="14"/>
                <w:color w:val="483E65"/>
                <w:w w:val="99"/>
              </w:rPr>
              <w:t>(1)</w:t>
            </w:r>
          </w:p>
        </w:tc>
        <w:tc>
          <w:tcPr>
            <w:tcW w:w="1100" w:type="dxa"/>
            <w:vAlign w:val="bottom"/>
            <w:vMerge w:val="restart"/>
          </w:tcPr>
          <w:p>
            <w:pPr>
              <w:jc w:val="right"/>
              <w:spacing w:after="0"/>
              <w:rPr>
                <w:sz w:val="20"/>
                <w:szCs w:val="20"/>
                <w:color w:val="auto"/>
              </w:rPr>
            </w:pPr>
            <w:r>
              <w:rPr>
                <w:rFonts w:ascii="Arial" w:cs="Arial" w:eastAsia="Arial" w:hAnsi="Arial"/>
                <w:sz w:val="17"/>
                <w:szCs w:val="17"/>
                <w:color w:val="483E65"/>
              </w:rPr>
              <w:t>% Achieved</w:t>
            </w:r>
          </w:p>
        </w:tc>
        <w:tc>
          <w:tcPr>
            <w:tcW w:w="0" w:type="dxa"/>
            <w:vAlign w:val="bottom"/>
          </w:tcPr>
          <w:p>
            <w:pPr>
              <w:spacing w:after="0"/>
              <w:rPr>
                <w:sz w:val="1"/>
                <w:szCs w:val="1"/>
                <w:color w:val="auto"/>
              </w:rPr>
            </w:pPr>
          </w:p>
        </w:tc>
      </w:tr>
      <w:tr>
        <w:trPr>
          <w:trHeight w:val="204"/>
        </w:trPr>
        <w:tc>
          <w:tcPr>
            <w:tcW w:w="1500" w:type="dxa"/>
            <w:vAlign w:val="bottom"/>
            <w:tcBorders>
              <w:bottom w:val="single" w:sz="8" w:color="483E65"/>
            </w:tcBorders>
            <w:vMerge w:val="continue"/>
          </w:tcPr>
          <w:p>
            <w:pPr>
              <w:spacing w:after="0"/>
              <w:rPr>
                <w:sz w:val="17"/>
                <w:szCs w:val="17"/>
                <w:color w:val="auto"/>
              </w:rPr>
            </w:pPr>
          </w:p>
        </w:tc>
        <w:tc>
          <w:tcPr>
            <w:tcW w:w="1380" w:type="dxa"/>
            <w:vAlign w:val="bottom"/>
            <w:tcBorders>
              <w:bottom w:val="single" w:sz="8" w:color="483E65"/>
            </w:tcBorders>
          </w:tcPr>
          <w:p>
            <w:pPr>
              <w:spacing w:after="0"/>
              <w:rPr>
                <w:sz w:val="17"/>
                <w:szCs w:val="17"/>
                <w:color w:val="auto"/>
              </w:rPr>
            </w:pPr>
          </w:p>
        </w:tc>
        <w:tc>
          <w:tcPr>
            <w:tcW w:w="4120" w:type="dxa"/>
            <w:vAlign w:val="bottom"/>
            <w:tcBorders>
              <w:bottom w:val="single" w:sz="8" w:color="483E65"/>
            </w:tcBorders>
          </w:tcPr>
          <w:p>
            <w:pPr>
              <w:jc w:val="right"/>
              <w:ind w:right="1115"/>
              <w:spacing w:after="0"/>
              <w:rPr>
                <w:sz w:val="20"/>
                <w:szCs w:val="20"/>
                <w:color w:val="auto"/>
              </w:rPr>
            </w:pPr>
            <w:r>
              <w:rPr>
                <w:rFonts w:ascii="Arial" w:cs="Arial" w:eastAsia="Arial" w:hAnsi="Arial"/>
                <w:sz w:val="17"/>
                <w:szCs w:val="17"/>
                <w:color w:val="483E65"/>
              </w:rPr>
              <w:t>($ in millions)</w:t>
            </w:r>
          </w:p>
        </w:tc>
        <w:tc>
          <w:tcPr>
            <w:tcW w:w="740" w:type="dxa"/>
            <w:vAlign w:val="bottom"/>
            <w:tcBorders>
              <w:bottom w:val="single" w:sz="8" w:color="483E65"/>
            </w:tcBorders>
          </w:tcPr>
          <w:p>
            <w:pPr>
              <w:spacing w:after="0"/>
              <w:rPr>
                <w:sz w:val="17"/>
                <w:szCs w:val="17"/>
                <w:color w:val="auto"/>
              </w:rPr>
            </w:pPr>
          </w:p>
        </w:tc>
        <w:tc>
          <w:tcPr>
            <w:tcW w:w="1540" w:type="dxa"/>
            <w:vAlign w:val="bottom"/>
            <w:tcBorders>
              <w:bottom w:val="single" w:sz="8" w:color="483E65"/>
            </w:tcBorders>
            <w:vMerge w:val="continue"/>
          </w:tcPr>
          <w:p>
            <w:pPr>
              <w:spacing w:after="0"/>
              <w:rPr>
                <w:sz w:val="17"/>
                <w:szCs w:val="17"/>
                <w:color w:val="auto"/>
              </w:rPr>
            </w:pPr>
          </w:p>
        </w:tc>
        <w:tc>
          <w:tcPr>
            <w:tcW w:w="1100" w:type="dxa"/>
            <w:vAlign w:val="bottom"/>
            <w:tcBorders>
              <w:bottom w:val="single" w:sz="8" w:color="483E65"/>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500" w:type="dxa"/>
            <w:vAlign w:val="bottom"/>
          </w:tcPr>
          <w:p>
            <w:pPr>
              <w:ind w:left="100"/>
              <w:spacing w:after="0" w:line="184" w:lineRule="exact"/>
              <w:rPr>
                <w:sz w:val="20"/>
                <w:szCs w:val="20"/>
                <w:color w:val="auto"/>
              </w:rPr>
            </w:pPr>
            <w:r>
              <w:rPr>
                <w:rFonts w:ascii="Arial" w:cs="Arial" w:eastAsia="Arial" w:hAnsi="Arial"/>
                <w:sz w:val="17"/>
                <w:szCs w:val="17"/>
                <w:color w:val="auto"/>
              </w:rPr>
              <w:t>No Payout:</w:t>
            </w:r>
          </w:p>
        </w:tc>
        <w:tc>
          <w:tcPr>
            <w:tcW w:w="1380" w:type="dxa"/>
            <w:vAlign w:val="bottom"/>
          </w:tcPr>
          <w:p>
            <w:pPr>
              <w:spacing w:after="0"/>
              <w:rPr>
                <w:sz w:val="15"/>
                <w:szCs w:val="15"/>
                <w:color w:val="auto"/>
              </w:rPr>
            </w:pPr>
          </w:p>
        </w:tc>
        <w:tc>
          <w:tcPr>
            <w:tcW w:w="4120" w:type="dxa"/>
            <w:vAlign w:val="bottom"/>
          </w:tcPr>
          <w:p>
            <w:pPr>
              <w:jc w:val="right"/>
              <w:ind w:right="95"/>
              <w:spacing w:after="0" w:line="184" w:lineRule="exact"/>
              <w:rPr>
                <w:sz w:val="20"/>
                <w:szCs w:val="20"/>
                <w:color w:val="auto"/>
              </w:rPr>
            </w:pPr>
            <w:r>
              <w:rPr>
                <w:rFonts w:ascii="Arial" w:cs="Arial" w:eastAsia="Arial" w:hAnsi="Arial"/>
                <w:sz w:val="17"/>
                <w:szCs w:val="17"/>
                <w:color w:val="auto"/>
              </w:rPr>
              <w:t>Below 50% of three-year AOI Target:</w:t>
            </w:r>
          </w:p>
        </w:tc>
        <w:tc>
          <w:tcPr>
            <w:tcW w:w="740" w:type="dxa"/>
            <w:vAlign w:val="bottom"/>
          </w:tcPr>
          <w:p>
            <w:pPr>
              <w:jc w:val="right"/>
              <w:ind w:right="35"/>
              <w:spacing w:after="0" w:line="184" w:lineRule="exact"/>
              <w:rPr>
                <w:sz w:val="20"/>
                <w:szCs w:val="20"/>
                <w:color w:val="auto"/>
              </w:rPr>
            </w:pPr>
            <w:r>
              <w:rPr>
                <w:rFonts w:ascii="Arial" w:cs="Arial" w:eastAsia="Arial" w:hAnsi="Arial"/>
                <w:sz w:val="17"/>
                <w:szCs w:val="17"/>
                <w:color w:val="auto"/>
              </w:rPr>
              <w:t>$1,440</w:t>
            </w:r>
          </w:p>
        </w:tc>
        <w:tc>
          <w:tcPr>
            <w:tcW w:w="1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00" w:type="dxa"/>
            <w:vAlign w:val="bottom"/>
            <w:shd w:val="clear" w:color="auto" w:fill="ACABA7"/>
          </w:tcPr>
          <w:p>
            <w:pPr>
              <w:ind w:left="100"/>
              <w:spacing w:after="0"/>
              <w:rPr>
                <w:sz w:val="20"/>
                <w:szCs w:val="20"/>
                <w:color w:val="auto"/>
              </w:rPr>
            </w:pPr>
            <w:r>
              <w:rPr>
                <w:rFonts w:ascii="Arial" w:cs="Arial" w:eastAsia="Arial" w:hAnsi="Arial"/>
                <w:sz w:val="17"/>
                <w:szCs w:val="17"/>
                <w:color w:val="auto"/>
              </w:rPr>
              <w:t>Threshold Pay:</w:t>
            </w:r>
          </w:p>
        </w:tc>
        <w:tc>
          <w:tcPr>
            <w:tcW w:w="1380" w:type="dxa"/>
            <w:vAlign w:val="bottom"/>
            <w:shd w:val="clear" w:color="auto" w:fill="ACABA7"/>
          </w:tcPr>
          <w:p>
            <w:pPr>
              <w:jc w:val="right"/>
              <w:ind w:right="335"/>
              <w:spacing w:after="0"/>
              <w:rPr>
                <w:sz w:val="20"/>
                <w:szCs w:val="20"/>
                <w:color w:val="auto"/>
              </w:rPr>
            </w:pPr>
            <w:r>
              <w:rPr>
                <w:rFonts w:ascii="Arial" w:cs="Arial" w:eastAsia="Arial" w:hAnsi="Arial"/>
                <w:sz w:val="17"/>
                <w:szCs w:val="17"/>
                <w:color w:val="auto"/>
              </w:rPr>
              <w:t>50%</w:t>
            </w:r>
          </w:p>
        </w:tc>
        <w:tc>
          <w:tcPr>
            <w:tcW w:w="4120" w:type="dxa"/>
            <w:vAlign w:val="bottom"/>
            <w:shd w:val="clear" w:color="auto" w:fill="ACABA7"/>
          </w:tcPr>
          <w:p>
            <w:pPr>
              <w:jc w:val="right"/>
              <w:ind w:right="95"/>
              <w:spacing w:after="0"/>
              <w:rPr>
                <w:sz w:val="20"/>
                <w:szCs w:val="20"/>
                <w:color w:val="auto"/>
              </w:rPr>
            </w:pPr>
            <w:r>
              <w:rPr>
                <w:rFonts w:ascii="Arial" w:cs="Arial" w:eastAsia="Arial" w:hAnsi="Arial"/>
                <w:sz w:val="17"/>
                <w:szCs w:val="17"/>
                <w:color w:val="auto"/>
              </w:rPr>
              <w:t>50% of three-year AOI Target:</w:t>
            </w:r>
          </w:p>
        </w:tc>
        <w:tc>
          <w:tcPr>
            <w:tcW w:w="740" w:type="dxa"/>
            <w:vAlign w:val="bottom"/>
            <w:shd w:val="clear" w:color="auto" w:fill="ACABA7"/>
          </w:tcPr>
          <w:p>
            <w:pPr>
              <w:jc w:val="right"/>
              <w:ind w:right="35"/>
              <w:spacing w:after="0"/>
              <w:rPr>
                <w:sz w:val="20"/>
                <w:szCs w:val="20"/>
                <w:color w:val="auto"/>
              </w:rPr>
            </w:pPr>
            <w:r>
              <w:rPr>
                <w:rFonts w:ascii="Arial" w:cs="Arial" w:eastAsia="Arial" w:hAnsi="Arial"/>
                <w:sz w:val="17"/>
                <w:szCs w:val="17"/>
                <w:color w:val="auto"/>
              </w:rPr>
              <w:t>$1,440</w:t>
            </w:r>
          </w:p>
        </w:tc>
        <w:tc>
          <w:tcPr>
            <w:tcW w:w="1540" w:type="dxa"/>
            <w:vAlign w:val="bottom"/>
            <w:shd w:val="clear" w:color="auto" w:fill="ACABA7"/>
          </w:tcPr>
          <w:p>
            <w:pPr>
              <w:spacing w:after="0"/>
              <w:rPr>
                <w:sz w:val="17"/>
                <w:szCs w:val="17"/>
                <w:color w:val="auto"/>
              </w:rPr>
            </w:pPr>
          </w:p>
        </w:tc>
        <w:tc>
          <w:tcPr>
            <w:tcW w:w="1100" w:type="dxa"/>
            <w:vAlign w:val="bottom"/>
            <w:shd w:val="clear" w:color="auto" w:fill="ACABA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Pr>
          <w:p>
            <w:pPr>
              <w:ind w:left="100"/>
              <w:spacing w:after="0"/>
              <w:rPr>
                <w:sz w:val="20"/>
                <w:szCs w:val="20"/>
                <w:color w:val="auto"/>
              </w:rPr>
            </w:pPr>
            <w:r>
              <w:rPr>
                <w:rFonts w:ascii="Arial" w:cs="Arial" w:eastAsia="Arial" w:hAnsi="Arial"/>
                <w:sz w:val="17"/>
                <w:szCs w:val="17"/>
                <w:color w:val="auto"/>
              </w:rPr>
              <w:t>Target Pay:</w:t>
            </w:r>
          </w:p>
        </w:tc>
        <w:tc>
          <w:tcPr>
            <w:tcW w:w="1380" w:type="dxa"/>
            <w:vAlign w:val="bottom"/>
          </w:tcPr>
          <w:p>
            <w:pPr>
              <w:jc w:val="right"/>
              <w:ind w:right="335"/>
              <w:spacing w:after="0"/>
              <w:rPr>
                <w:sz w:val="20"/>
                <w:szCs w:val="20"/>
                <w:color w:val="auto"/>
              </w:rPr>
            </w:pPr>
            <w:r>
              <w:rPr>
                <w:rFonts w:ascii="Arial" w:cs="Arial" w:eastAsia="Arial" w:hAnsi="Arial"/>
                <w:sz w:val="17"/>
                <w:szCs w:val="17"/>
                <w:color w:val="auto"/>
              </w:rPr>
              <w:t>100%</w:t>
            </w:r>
          </w:p>
        </w:tc>
        <w:tc>
          <w:tcPr>
            <w:tcW w:w="4120" w:type="dxa"/>
            <w:vAlign w:val="bottom"/>
          </w:tcPr>
          <w:p>
            <w:pPr>
              <w:jc w:val="right"/>
              <w:ind w:right="95"/>
              <w:spacing w:after="0"/>
              <w:rPr>
                <w:sz w:val="20"/>
                <w:szCs w:val="20"/>
                <w:color w:val="auto"/>
              </w:rPr>
            </w:pPr>
            <w:r>
              <w:rPr>
                <w:rFonts w:ascii="Arial" w:cs="Arial" w:eastAsia="Arial" w:hAnsi="Arial"/>
                <w:sz w:val="17"/>
                <w:szCs w:val="17"/>
                <w:color w:val="auto"/>
              </w:rPr>
              <w:t>100% of three-year AOI Target:</w:t>
            </w:r>
          </w:p>
        </w:tc>
        <w:tc>
          <w:tcPr>
            <w:tcW w:w="740" w:type="dxa"/>
            <w:vAlign w:val="bottom"/>
          </w:tcPr>
          <w:p>
            <w:pPr>
              <w:jc w:val="right"/>
              <w:ind w:right="35"/>
              <w:spacing w:after="0"/>
              <w:rPr>
                <w:sz w:val="20"/>
                <w:szCs w:val="20"/>
                <w:color w:val="auto"/>
              </w:rPr>
            </w:pPr>
            <w:r>
              <w:rPr>
                <w:rFonts w:ascii="Arial" w:cs="Arial" w:eastAsia="Arial" w:hAnsi="Arial"/>
                <w:sz w:val="17"/>
                <w:szCs w:val="17"/>
                <w:color w:val="auto"/>
              </w:rPr>
              <w:t>$2,880</w:t>
            </w:r>
          </w:p>
        </w:tc>
        <w:tc>
          <w:tcPr>
            <w:tcW w:w="1540" w:type="dxa"/>
            <w:vAlign w:val="bottom"/>
          </w:tcPr>
          <w:p>
            <w:pPr>
              <w:jc w:val="right"/>
              <w:ind w:right="295"/>
              <w:spacing w:after="0"/>
              <w:rPr>
                <w:sz w:val="20"/>
                <w:szCs w:val="20"/>
                <w:color w:val="auto"/>
              </w:rPr>
            </w:pPr>
            <w:r>
              <w:rPr>
                <w:rFonts w:ascii="Arial" w:cs="Arial" w:eastAsia="Arial" w:hAnsi="Arial"/>
                <w:sz w:val="17"/>
                <w:szCs w:val="17"/>
                <w:color w:val="auto"/>
              </w:rPr>
              <w:t>$3,096</w:t>
            </w:r>
          </w:p>
        </w:tc>
        <w:tc>
          <w:tcPr>
            <w:tcW w:w="1100" w:type="dxa"/>
            <w:vAlign w:val="bottom"/>
          </w:tcPr>
          <w:p>
            <w:pPr>
              <w:jc w:val="right"/>
              <w:spacing w:after="0"/>
              <w:rPr>
                <w:sz w:val="20"/>
                <w:szCs w:val="20"/>
                <w:color w:val="auto"/>
              </w:rPr>
            </w:pPr>
            <w:r>
              <w:rPr>
                <w:rFonts w:ascii="Arial" w:cs="Arial" w:eastAsia="Arial" w:hAnsi="Arial"/>
                <w:sz w:val="17"/>
                <w:szCs w:val="17"/>
                <w:color w:val="auto"/>
              </w:rPr>
              <w:t>107.5%</w:t>
            </w:r>
          </w:p>
        </w:tc>
        <w:tc>
          <w:tcPr>
            <w:tcW w:w="0" w:type="dxa"/>
            <w:vAlign w:val="bottom"/>
          </w:tcPr>
          <w:p>
            <w:pPr>
              <w:spacing w:after="0"/>
              <w:rPr>
                <w:sz w:val="1"/>
                <w:szCs w:val="1"/>
                <w:color w:val="auto"/>
              </w:rPr>
            </w:pPr>
          </w:p>
        </w:tc>
      </w:tr>
      <w:tr>
        <w:trPr>
          <w:trHeight w:val="203"/>
        </w:trPr>
        <w:tc>
          <w:tcPr>
            <w:tcW w:w="1500" w:type="dxa"/>
            <w:vAlign w:val="bottom"/>
            <w:shd w:val="clear" w:color="auto" w:fill="ACABA7"/>
          </w:tcPr>
          <w:p>
            <w:pPr>
              <w:ind w:left="100"/>
              <w:spacing w:after="0"/>
              <w:rPr>
                <w:sz w:val="20"/>
                <w:szCs w:val="20"/>
                <w:color w:val="auto"/>
              </w:rPr>
            </w:pPr>
            <w:r>
              <w:rPr>
                <w:rFonts w:ascii="Arial" w:cs="Arial" w:eastAsia="Arial" w:hAnsi="Arial"/>
                <w:sz w:val="17"/>
                <w:szCs w:val="17"/>
                <w:color w:val="auto"/>
              </w:rPr>
              <w:t>Maximum Pay:</w:t>
            </w:r>
          </w:p>
        </w:tc>
        <w:tc>
          <w:tcPr>
            <w:tcW w:w="1380" w:type="dxa"/>
            <w:vAlign w:val="bottom"/>
            <w:shd w:val="clear" w:color="auto" w:fill="ACABA7"/>
          </w:tcPr>
          <w:p>
            <w:pPr>
              <w:jc w:val="right"/>
              <w:ind w:right="335"/>
              <w:spacing w:after="0"/>
              <w:rPr>
                <w:sz w:val="20"/>
                <w:szCs w:val="20"/>
                <w:color w:val="auto"/>
              </w:rPr>
            </w:pPr>
            <w:r>
              <w:rPr>
                <w:rFonts w:ascii="Arial" w:cs="Arial" w:eastAsia="Arial" w:hAnsi="Arial"/>
                <w:sz w:val="17"/>
                <w:szCs w:val="17"/>
                <w:color w:val="auto"/>
              </w:rPr>
              <w:t>150%</w:t>
            </w:r>
          </w:p>
        </w:tc>
        <w:tc>
          <w:tcPr>
            <w:tcW w:w="4120" w:type="dxa"/>
            <w:vAlign w:val="bottom"/>
            <w:shd w:val="clear" w:color="auto" w:fill="ACABA7"/>
          </w:tcPr>
          <w:p>
            <w:pPr>
              <w:jc w:val="right"/>
              <w:ind w:right="95"/>
              <w:spacing w:after="0"/>
              <w:rPr>
                <w:sz w:val="20"/>
                <w:szCs w:val="20"/>
                <w:color w:val="auto"/>
              </w:rPr>
            </w:pPr>
            <w:r>
              <w:rPr>
                <w:rFonts w:ascii="Arial" w:cs="Arial" w:eastAsia="Arial" w:hAnsi="Arial"/>
                <w:sz w:val="17"/>
                <w:szCs w:val="17"/>
                <w:color w:val="auto"/>
              </w:rPr>
              <w:t>150% of three-year AOI Target:</w:t>
            </w:r>
          </w:p>
        </w:tc>
        <w:tc>
          <w:tcPr>
            <w:tcW w:w="740" w:type="dxa"/>
            <w:vAlign w:val="bottom"/>
            <w:shd w:val="clear" w:color="auto" w:fill="ACABA7"/>
          </w:tcPr>
          <w:p>
            <w:pPr>
              <w:jc w:val="right"/>
              <w:ind w:right="35"/>
              <w:spacing w:after="0"/>
              <w:rPr>
                <w:sz w:val="20"/>
                <w:szCs w:val="20"/>
                <w:color w:val="auto"/>
              </w:rPr>
            </w:pPr>
            <w:r>
              <w:rPr>
                <w:rFonts w:ascii="Arial" w:cs="Arial" w:eastAsia="Arial" w:hAnsi="Arial"/>
                <w:sz w:val="17"/>
                <w:szCs w:val="17"/>
                <w:color w:val="auto"/>
              </w:rPr>
              <w:t>$4,320</w:t>
            </w:r>
          </w:p>
        </w:tc>
        <w:tc>
          <w:tcPr>
            <w:tcW w:w="1540" w:type="dxa"/>
            <w:vAlign w:val="bottom"/>
            <w:shd w:val="clear" w:color="auto" w:fill="ACABA7"/>
          </w:tcPr>
          <w:p>
            <w:pPr>
              <w:spacing w:after="0"/>
              <w:rPr>
                <w:sz w:val="17"/>
                <w:szCs w:val="17"/>
                <w:color w:val="auto"/>
              </w:rPr>
            </w:pPr>
          </w:p>
        </w:tc>
        <w:tc>
          <w:tcPr>
            <w:tcW w:w="1100" w:type="dxa"/>
            <w:vAlign w:val="bottom"/>
            <w:shd w:val="clear" w:color="auto" w:fill="ACABA7"/>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120" w:type="dxa"/>
            <w:vAlign w:val="bottom"/>
          </w:tcPr>
          <w:p>
            <w:pPr>
              <w:jc w:val="right"/>
              <w:spacing w:after="0"/>
              <w:rPr>
                <w:sz w:val="20"/>
                <w:szCs w:val="20"/>
                <w:color w:val="auto"/>
              </w:rPr>
            </w:pPr>
            <w:r>
              <w:rPr>
                <w:rFonts w:ascii="Arial" w:cs="Arial" w:eastAsia="Arial" w:hAnsi="Arial"/>
                <w:sz w:val="17"/>
                <w:szCs w:val="17"/>
                <w:color w:val="483E65"/>
              </w:rPr>
              <w:t>Total Stockholder Return Relative to Peer Group</w:t>
            </w:r>
          </w:p>
        </w:tc>
        <w:tc>
          <w:tcPr>
            <w:tcW w:w="740" w:type="dxa"/>
            <w:vAlign w:val="bottom"/>
          </w:tcPr>
          <w:p>
            <w:pPr>
              <w:spacing w:after="0"/>
              <w:rPr>
                <w:sz w:val="24"/>
                <w:szCs w:val="24"/>
                <w:color w:val="auto"/>
              </w:rPr>
            </w:pPr>
          </w:p>
        </w:tc>
        <w:tc>
          <w:tcPr>
            <w:tcW w:w="1540" w:type="dxa"/>
            <w:vAlign w:val="bottom"/>
            <w:vMerge w:val="restart"/>
          </w:tcPr>
          <w:p>
            <w:pPr>
              <w:jc w:val="center"/>
              <w:spacing w:after="0"/>
              <w:rPr>
                <w:sz w:val="20"/>
                <w:szCs w:val="20"/>
                <w:color w:val="auto"/>
              </w:rPr>
            </w:pPr>
            <w:r>
              <w:rPr>
                <w:rFonts w:ascii="Arial" w:cs="Arial" w:eastAsia="Arial" w:hAnsi="Arial"/>
                <w:sz w:val="17"/>
                <w:szCs w:val="17"/>
                <w:color w:val="483E65"/>
              </w:rPr>
              <w:t xml:space="preserve">Results </w:t>
            </w:r>
            <w:r>
              <w:rPr>
                <w:rFonts w:ascii="Arial" w:cs="Arial" w:eastAsia="Arial" w:hAnsi="Arial"/>
                <w:sz w:val="14"/>
                <w:szCs w:val="14"/>
                <w:color w:val="483E65"/>
              </w:rPr>
              <w:t>(2)</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00" w:type="dxa"/>
            <w:vAlign w:val="bottom"/>
          </w:tcPr>
          <w:p>
            <w:pPr>
              <w:ind w:left="100"/>
              <w:spacing w:after="0"/>
              <w:rPr>
                <w:sz w:val="20"/>
                <w:szCs w:val="20"/>
                <w:color w:val="auto"/>
              </w:rPr>
            </w:pPr>
            <w:r>
              <w:rPr>
                <w:rFonts w:ascii="Arial" w:cs="Arial" w:eastAsia="Arial" w:hAnsi="Arial"/>
                <w:sz w:val="17"/>
                <w:szCs w:val="17"/>
                <w:color w:val="483E65"/>
              </w:rPr>
              <w:t>Payout Level</w:t>
            </w:r>
          </w:p>
        </w:tc>
        <w:tc>
          <w:tcPr>
            <w:tcW w:w="1380" w:type="dxa"/>
            <w:vAlign w:val="bottom"/>
          </w:tcPr>
          <w:p>
            <w:pPr>
              <w:spacing w:after="0"/>
              <w:rPr>
                <w:sz w:val="17"/>
                <w:szCs w:val="17"/>
                <w:color w:val="auto"/>
              </w:rPr>
            </w:pPr>
          </w:p>
        </w:tc>
        <w:tc>
          <w:tcPr>
            <w:tcW w:w="4120" w:type="dxa"/>
            <w:vAlign w:val="bottom"/>
          </w:tcPr>
          <w:p>
            <w:pPr>
              <w:jc w:val="right"/>
              <w:ind w:right="1515"/>
              <w:spacing w:after="0"/>
              <w:rPr>
                <w:sz w:val="20"/>
                <w:szCs w:val="20"/>
                <w:color w:val="auto"/>
              </w:rPr>
            </w:pPr>
            <w:r>
              <w:rPr>
                <w:rFonts w:ascii="Arial" w:cs="Arial" w:eastAsia="Arial" w:hAnsi="Arial"/>
                <w:sz w:val="17"/>
                <w:szCs w:val="17"/>
                <w:color w:val="483E65"/>
              </w:rPr>
              <w:t>Median</w:t>
            </w:r>
          </w:p>
        </w:tc>
        <w:tc>
          <w:tcPr>
            <w:tcW w:w="74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483E65"/>
              </w:rPr>
              <w:t>% Achieved</w:t>
            </w:r>
          </w:p>
        </w:tc>
        <w:tc>
          <w:tcPr>
            <w:tcW w:w="0" w:type="dxa"/>
            <w:vAlign w:val="bottom"/>
          </w:tcPr>
          <w:p>
            <w:pPr>
              <w:spacing w:after="0"/>
              <w:rPr>
                <w:sz w:val="1"/>
                <w:szCs w:val="1"/>
                <w:color w:val="auto"/>
              </w:rPr>
            </w:pPr>
          </w:p>
        </w:tc>
      </w:tr>
      <w:tr>
        <w:trPr>
          <w:trHeight w:val="39"/>
        </w:trPr>
        <w:tc>
          <w:tcPr>
            <w:tcW w:w="1500" w:type="dxa"/>
            <w:vAlign w:val="bottom"/>
            <w:tcBorders>
              <w:bottom w:val="single" w:sz="8" w:color="483E65"/>
            </w:tcBorders>
          </w:tcPr>
          <w:p>
            <w:pPr>
              <w:spacing w:after="0"/>
              <w:rPr>
                <w:sz w:val="3"/>
                <w:szCs w:val="3"/>
                <w:color w:val="auto"/>
              </w:rPr>
            </w:pPr>
          </w:p>
        </w:tc>
        <w:tc>
          <w:tcPr>
            <w:tcW w:w="1380" w:type="dxa"/>
            <w:vAlign w:val="bottom"/>
            <w:tcBorders>
              <w:bottom w:val="single" w:sz="8" w:color="483E65"/>
            </w:tcBorders>
          </w:tcPr>
          <w:p>
            <w:pPr>
              <w:spacing w:after="0"/>
              <w:rPr>
                <w:sz w:val="3"/>
                <w:szCs w:val="3"/>
                <w:color w:val="auto"/>
              </w:rPr>
            </w:pPr>
          </w:p>
        </w:tc>
        <w:tc>
          <w:tcPr>
            <w:tcW w:w="4860" w:type="dxa"/>
            <w:vAlign w:val="bottom"/>
            <w:tcBorders>
              <w:bottom w:val="single" w:sz="8" w:color="483E65"/>
            </w:tcBorders>
            <w:gridSpan w:val="2"/>
          </w:tcPr>
          <w:p>
            <w:pPr>
              <w:spacing w:after="0"/>
              <w:rPr>
                <w:sz w:val="3"/>
                <w:szCs w:val="3"/>
                <w:color w:val="auto"/>
              </w:rPr>
            </w:pPr>
          </w:p>
        </w:tc>
        <w:tc>
          <w:tcPr>
            <w:tcW w:w="1540" w:type="dxa"/>
            <w:vAlign w:val="bottom"/>
            <w:tcBorders>
              <w:bottom w:val="single" w:sz="8" w:color="483E65"/>
            </w:tcBorders>
          </w:tcPr>
          <w:p>
            <w:pPr>
              <w:spacing w:after="0"/>
              <w:rPr>
                <w:sz w:val="3"/>
                <w:szCs w:val="3"/>
                <w:color w:val="auto"/>
              </w:rPr>
            </w:pPr>
          </w:p>
        </w:tc>
        <w:tc>
          <w:tcPr>
            <w:tcW w:w="1100" w:type="dxa"/>
            <w:vAlign w:val="bottom"/>
            <w:tcBorders>
              <w:bottom w:val="single" w:sz="8" w:color="483E65"/>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500" w:type="dxa"/>
            <w:vAlign w:val="bottom"/>
          </w:tcPr>
          <w:p>
            <w:pPr>
              <w:ind w:left="100"/>
              <w:spacing w:after="0" w:line="184" w:lineRule="exact"/>
              <w:rPr>
                <w:sz w:val="20"/>
                <w:szCs w:val="20"/>
                <w:color w:val="auto"/>
              </w:rPr>
            </w:pPr>
            <w:r>
              <w:rPr>
                <w:rFonts w:ascii="Arial" w:cs="Arial" w:eastAsia="Arial" w:hAnsi="Arial"/>
                <w:sz w:val="17"/>
                <w:szCs w:val="17"/>
                <w:color w:val="auto"/>
              </w:rPr>
              <w:t>No Payout:</w:t>
            </w:r>
          </w:p>
        </w:tc>
        <w:tc>
          <w:tcPr>
            <w:tcW w:w="1380" w:type="dxa"/>
            <w:vAlign w:val="bottom"/>
          </w:tcPr>
          <w:p>
            <w:pPr>
              <w:spacing w:after="0"/>
              <w:rPr>
                <w:sz w:val="15"/>
                <w:szCs w:val="15"/>
                <w:color w:val="auto"/>
              </w:rPr>
            </w:pPr>
          </w:p>
        </w:tc>
        <w:tc>
          <w:tcPr>
            <w:tcW w:w="4860" w:type="dxa"/>
            <w:vAlign w:val="bottom"/>
            <w:gridSpan w:val="2"/>
          </w:tcPr>
          <w:p>
            <w:pPr>
              <w:jc w:val="right"/>
              <w:ind w:right="75"/>
              <w:spacing w:after="0" w:line="184" w:lineRule="exact"/>
              <w:rPr>
                <w:sz w:val="20"/>
                <w:szCs w:val="20"/>
                <w:color w:val="auto"/>
              </w:rPr>
            </w:pPr>
            <w:r>
              <w:rPr>
                <w:rFonts w:ascii="Arial" w:cs="Arial" w:eastAsia="Arial" w:hAnsi="Arial"/>
                <w:sz w:val="17"/>
                <w:szCs w:val="17"/>
                <w:color w:val="auto"/>
              </w:rPr>
              <w:t>Less than 50 percentage points below peer group</w:t>
            </w:r>
          </w:p>
        </w:tc>
        <w:tc>
          <w:tcPr>
            <w:tcW w:w="1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00" w:type="dxa"/>
            <w:vAlign w:val="bottom"/>
            <w:shd w:val="clear" w:color="auto" w:fill="ACABA7"/>
          </w:tcPr>
          <w:p>
            <w:pPr>
              <w:ind w:left="100"/>
              <w:spacing w:after="0"/>
              <w:rPr>
                <w:sz w:val="20"/>
                <w:szCs w:val="20"/>
                <w:color w:val="auto"/>
              </w:rPr>
            </w:pPr>
            <w:r>
              <w:rPr>
                <w:rFonts w:ascii="Arial" w:cs="Arial" w:eastAsia="Arial" w:hAnsi="Arial"/>
                <w:sz w:val="17"/>
                <w:szCs w:val="17"/>
                <w:color w:val="auto"/>
              </w:rPr>
              <w:t>Threshold Pay:</w:t>
            </w:r>
          </w:p>
        </w:tc>
        <w:tc>
          <w:tcPr>
            <w:tcW w:w="1380" w:type="dxa"/>
            <w:vAlign w:val="bottom"/>
            <w:shd w:val="clear" w:color="auto" w:fill="ACABA7"/>
          </w:tcPr>
          <w:p>
            <w:pPr>
              <w:jc w:val="right"/>
              <w:ind w:right="495"/>
              <w:spacing w:after="0"/>
              <w:rPr>
                <w:sz w:val="20"/>
                <w:szCs w:val="20"/>
                <w:color w:val="auto"/>
              </w:rPr>
            </w:pPr>
            <w:r>
              <w:rPr>
                <w:rFonts w:ascii="Arial" w:cs="Arial" w:eastAsia="Arial" w:hAnsi="Arial"/>
                <w:sz w:val="17"/>
                <w:szCs w:val="17"/>
                <w:color w:val="auto"/>
              </w:rPr>
              <w:t>50%</w:t>
            </w:r>
          </w:p>
        </w:tc>
        <w:tc>
          <w:tcPr>
            <w:tcW w:w="4120" w:type="dxa"/>
            <w:vAlign w:val="bottom"/>
            <w:shd w:val="clear" w:color="auto" w:fill="ACABA7"/>
          </w:tcPr>
          <w:p>
            <w:pPr>
              <w:jc w:val="right"/>
              <w:ind w:right="355"/>
              <w:spacing w:after="0"/>
              <w:rPr>
                <w:sz w:val="20"/>
                <w:szCs w:val="20"/>
                <w:color w:val="auto"/>
              </w:rPr>
            </w:pPr>
            <w:r>
              <w:rPr>
                <w:rFonts w:ascii="Arial" w:cs="Arial" w:eastAsia="Arial" w:hAnsi="Arial"/>
                <w:sz w:val="17"/>
                <w:szCs w:val="17"/>
                <w:color w:val="auto"/>
              </w:rPr>
              <w:t>50 percentage points below peer group</w:t>
            </w:r>
          </w:p>
        </w:tc>
        <w:tc>
          <w:tcPr>
            <w:tcW w:w="740" w:type="dxa"/>
            <w:vAlign w:val="bottom"/>
            <w:shd w:val="clear" w:color="auto" w:fill="ACABA7"/>
          </w:tcPr>
          <w:p>
            <w:pPr>
              <w:spacing w:after="0"/>
              <w:rPr>
                <w:sz w:val="17"/>
                <w:szCs w:val="17"/>
                <w:color w:val="auto"/>
              </w:rPr>
            </w:pPr>
          </w:p>
        </w:tc>
        <w:tc>
          <w:tcPr>
            <w:tcW w:w="1540" w:type="dxa"/>
            <w:vAlign w:val="bottom"/>
            <w:shd w:val="clear" w:color="auto" w:fill="ACABA7"/>
          </w:tcPr>
          <w:p>
            <w:pPr>
              <w:spacing w:after="0"/>
              <w:rPr>
                <w:sz w:val="17"/>
                <w:szCs w:val="17"/>
                <w:color w:val="auto"/>
              </w:rPr>
            </w:pPr>
          </w:p>
        </w:tc>
        <w:tc>
          <w:tcPr>
            <w:tcW w:w="1100" w:type="dxa"/>
            <w:vAlign w:val="bottom"/>
            <w:shd w:val="clear" w:color="auto" w:fill="ACABA7"/>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500" w:type="dxa"/>
            <w:vAlign w:val="bottom"/>
            <w:vMerge w:val="restart"/>
          </w:tcPr>
          <w:p>
            <w:pPr>
              <w:ind w:left="100"/>
              <w:spacing w:after="0"/>
              <w:rPr>
                <w:sz w:val="20"/>
                <w:szCs w:val="20"/>
                <w:color w:val="auto"/>
              </w:rPr>
            </w:pPr>
            <w:r>
              <w:rPr>
                <w:rFonts w:ascii="Arial" w:cs="Arial" w:eastAsia="Arial" w:hAnsi="Arial"/>
                <w:sz w:val="17"/>
                <w:szCs w:val="17"/>
                <w:color w:val="auto"/>
              </w:rPr>
              <w:t>Target Pay:</w:t>
            </w:r>
          </w:p>
        </w:tc>
        <w:tc>
          <w:tcPr>
            <w:tcW w:w="1380" w:type="dxa"/>
            <w:vAlign w:val="bottom"/>
            <w:vMerge w:val="restart"/>
          </w:tcPr>
          <w:p>
            <w:pPr>
              <w:jc w:val="right"/>
              <w:ind w:right="495"/>
              <w:spacing w:after="0"/>
              <w:rPr>
                <w:sz w:val="20"/>
                <w:szCs w:val="20"/>
                <w:color w:val="auto"/>
              </w:rPr>
            </w:pPr>
            <w:r>
              <w:rPr>
                <w:rFonts w:ascii="Arial" w:cs="Arial" w:eastAsia="Arial" w:hAnsi="Arial"/>
                <w:sz w:val="17"/>
                <w:szCs w:val="17"/>
                <w:color w:val="auto"/>
              </w:rPr>
              <w:t>100%</w:t>
            </w:r>
          </w:p>
        </w:tc>
        <w:tc>
          <w:tcPr>
            <w:tcW w:w="4120" w:type="dxa"/>
            <w:vAlign w:val="bottom"/>
            <w:vMerge w:val="restart"/>
          </w:tcPr>
          <w:p>
            <w:pPr>
              <w:jc w:val="right"/>
              <w:ind w:right="355"/>
              <w:spacing w:after="0"/>
              <w:rPr>
                <w:sz w:val="20"/>
                <w:szCs w:val="20"/>
                <w:color w:val="auto"/>
              </w:rPr>
            </w:pPr>
            <w:r>
              <w:rPr>
                <w:rFonts w:ascii="Arial" w:cs="Arial" w:eastAsia="Arial" w:hAnsi="Arial"/>
                <w:sz w:val="17"/>
                <w:szCs w:val="17"/>
                <w:color w:val="auto"/>
              </w:rPr>
              <w:t>At peer group median</w:t>
            </w:r>
          </w:p>
        </w:tc>
        <w:tc>
          <w:tcPr>
            <w:tcW w:w="74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7"/>
                <w:szCs w:val="17"/>
                <w:color w:val="auto"/>
              </w:rPr>
              <w:t>45% above peer</w:t>
            </w: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145.0%</w:t>
            </w:r>
          </w:p>
        </w:tc>
        <w:tc>
          <w:tcPr>
            <w:tcW w:w="0" w:type="dxa"/>
            <w:vAlign w:val="bottom"/>
          </w:tcPr>
          <w:p>
            <w:pPr>
              <w:spacing w:after="0"/>
              <w:rPr>
                <w:sz w:val="1"/>
                <w:szCs w:val="1"/>
                <w:color w:val="auto"/>
              </w:rPr>
            </w:pPr>
          </w:p>
        </w:tc>
      </w:tr>
      <w:tr>
        <w:trPr>
          <w:trHeight w:val="102"/>
        </w:trPr>
        <w:tc>
          <w:tcPr>
            <w:tcW w:w="15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41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540" w:type="dxa"/>
            <w:vAlign w:val="bottom"/>
            <w:vMerge w:val="restart"/>
          </w:tcPr>
          <w:p>
            <w:pPr>
              <w:jc w:val="center"/>
              <w:spacing w:after="0" w:line="191" w:lineRule="exact"/>
              <w:rPr>
                <w:sz w:val="20"/>
                <w:szCs w:val="20"/>
                <w:color w:val="auto"/>
              </w:rPr>
            </w:pPr>
            <w:r>
              <w:rPr>
                <w:rFonts w:ascii="Arial" w:cs="Arial" w:eastAsia="Arial" w:hAnsi="Arial"/>
                <w:sz w:val="17"/>
                <w:szCs w:val="17"/>
                <w:color w:val="auto"/>
              </w:rPr>
              <w:t>group median</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500" w:type="dxa"/>
            <w:vAlign w:val="bottom"/>
            <w:shd w:val="clear" w:color="auto" w:fill="ACABA7"/>
          </w:tcPr>
          <w:p>
            <w:pPr>
              <w:ind w:left="100"/>
              <w:spacing w:after="0"/>
              <w:rPr>
                <w:sz w:val="20"/>
                <w:szCs w:val="20"/>
                <w:color w:val="auto"/>
              </w:rPr>
            </w:pPr>
            <w:r>
              <w:rPr>
                <w:rFonts w:ascii="Arial" w:cs="Arial" w:eastAsia="Arial" w:hAnsi="Arial"/>
                <w:sz w:val="17"/>
                <w:szCs w:val="17"/>
                <w:color w:val="auto"/>
              </w:rPr>
              <w:t>Maximum Pay:</w:t>
            </w:r>
          </w:p>
        </w:tc>
        <w:tc>
          <w:tcPr>
            <w:tcW w:w="1380" w:type="dxa"/>
            <w:vAlign w:val="bottom"/>
            <w:shd w:val="clear" w:color="auto" w:fill="ACABA7"/>
          </w:tcPr>
          <w:p>
            <w:pPr>
              <w:jc w:val="right"/>
              <w:ind w:right="495"/>
              <w:spacing w:after="0"/>
              <w:rPr>
                <w:sz w:val="20"/>
                <w:szCs w:val="20"/>
                <w:color w:val="auto"/>
              </w:rPr>
            </w:pPr>
            <w:r>
              <w:rPr>
                <w:rFonts w:ascii="Arial" w:cs="Arial" w:eastAsia="Arial" w:hAnsi="Arial"/>
                <w:sz w:val="17"/>
                <w:szCs w:val="17"/>
                <w:color w:val="auto"/>
              </w:rPr>
              <w:t>150%</w:t>
            </w:r>
          </w:p>
        </w:tc>
        <w:tc>
          <w:tcPr>
            <w:tcW w:w="4120" w:type="dxa"/>
            <w:vAlign w:val="bottom"/>
            <w:shd w:val="clear" w:color="auto" w:fill="ACABA7"/>
          </w:tcPr>
          <w:p>
            <w:pPr>
              <w:jc w:val="right"/>
              <w:ind w:right="355"/>
              <w:spacing w:after="0"/>
              <w:rPr>
                <w:sz w:val="20"/>
                <w:szCs w:val="20"/>
                <w:color w:val="auto"/>
              </w:rPr>
            </w:pPr>
            <w:r>
              <w:rPr>
                <w:rFonts w:ascii="Arial" w:cs="Arial" w:eastAsia="Arial" w:hAnsi="Arial"/>
                <w:sz w:val="17"/>
                <w:szCs w:val="17"/>
                <w:color w:val="auto"/>
              </w:rPr>
              <w:t>50 percentage points above peer group</w:t>
            </w:r>
          </w:p>
        </w:tc>
        <w:tc>
          <w:tcPr>
            <w:tcW w:w="740" w:type="dxa"/>
            <w:vAlign w:val="bottom"/>
            <w:shd w:val="clear" w:color="auto" w:fill="ACABA7"/>
          </w:tcPr>
          <w:p>
            <w:pPr>
              <w:spacing w:after="0"/>
              <w:rPr>
                <w:sz w:val="17"/>
                <w:szCs w:val="17"/>
                <w:color w:val="auto"/>
              </w:rPr>
            </w:pPr>
          </w:p>
        </w:tc>
        <w:tc>
          <w:tcPr>
            <w:tcW w:w="1540" w:type="dxa"/>
            <w:vAlign w:val="bottom"/>
            <w:shd w:val="clear" w:color="auto" w:fill="ACABA7"/>
          </w:tcPr>
          <w:p>
            <w:pPr>
              <w:spacing w:after="0"/>
              <w:rPr>
                <w:sz w:val="17"/>
                <w:szCs w:val="17"/>
                <w:color w:val="auto"/>
              </w:rPr>
            </w:pPr>
          </w:p>
        </w:tc>
        <w:tc>
          <w:tcPr>
            <w:tcW w:w="1100" w:type="dxa"/>
            <w:vAlign w:val="bottom"/>
            <w:shd w:val="clear" w:color="auto" w:fill="ACABA7"/>
          </w:tcPr>
          <w:p>
            <w:pPr>
              <w:spacing w:after="0"/>
              <w:rPr>
                <w:sz w:val="17"/>
                <w:szCs w:val="17"/>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940" w:right="80" w:hanging="500"/>
        <w:spacing w:after="0" w:line="261" w:lineRule="auto"/>
        <w:tabs>
          <w:tab w:leader="none" w:pos="9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Operating Income is not a measure of financial performance under U.S. GAAP. We determined Adjusted Operating Income for purposes of this 2017 through 2019 performance period by starting with GAAP operating income and adding back amortization of acquired intangibles, acquisition, integration and restructuring costs and amortization of equity method investments.</w:t>
      </w:r>
    </w:p>
    <w:p>
      <w:pPr>
        <w:spacing w:after="0" w:line="85" w:lineRule="exact"/>
        <w:rPr>
          <w:rFonts w:ascii="Arial" w:cs="Arial" w:eastAsia="Arial" w:hAnsi="Arial"/>
          <w:sz w:val="16"/>
          <w:szCs w:val="16"/>
          <w:color w:val="auto"/>
        </w:rPr>
      </w:pPr>
    </w:p>
    <w:p>
      <w:pPr>
        <w:ind w:left="940" w:right="60" w:hanging="500"/>
        <w:spacing w:after="0" w:line="237" w:lineRule="auto"/>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relative TSR score reflects the aggregate change in the 20-day average closing price of our stock compared to the median of our peer group, as measured at the beginning and end of the three-year performance period, taking into account the value returned to stockholders in the form of dividends, assumed to be reinvested on the distribution date on a pre-tax basis. Our total stockholder return during the three-year period from 2017 to 2019 was 101.4%, compared to 56.4% for the median of our peer group, resulting in a payout factor of 145%.</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Other Benefits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addition to the elements of direct compensation described above, we also provide our executive officers with the following benefits:</w:t>
      </w:r>
    </w:p>
    <w:p>
      <w:pPr>
        <w:spacing w:after="0" w:line="178"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Health and Welfare Benefits</w:t>
      </w:r>
    </w:p>
    <w:p>
      <w:pPr>
        <w:spacing w:after="0" w:line="218" w:lineRule="exact"/>
        <w:rPr>
          <w:sz w:val="20"/>
          <w:szCs w:val="20"/>
          <w:color w:val="auto"/>
        </w:rPr>
      </w:pPr>
    </w:p>
    <w:p>
      <w:pPr>
        <w:ind w:left="440" w:right="180"/>
        <w:spacing w:after="0" w:line="237" w:lineRule="auto"/>
        <w:rPr>
          <w:sz w:val="20"/>
          <w:szCs w:val="20"/>
          <w:color w:val="auto"/>
        </w:rPr>
      </w:pPr>
      <w:r>
        <w:rPr>
          <w:rFonts w:ascii="Arial" w:cs="Arial" w:eastAsia="Arial" w:hAnsi="Arial"/>
          <w:sz w:val="17"/>
          <w:szCs w:val="17"/>
          <w:color w:val="auto"/>
        </w:rPr>
        <w:t>Our executive officers are entitled to participate in all health and welfare plans that we generally offer to all of our eligible employees, which provide medical, dental, health, group term life insurance and disability benefits. We believe that these health and welfare benefits are reasonable in scope and amount and are of the kind typically offered by other companies against which we compete for executive talent.</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Retirement Benefits</w:t>
      </w:r>
    </w:p>
    <w:p>
      <w:pPr>
        <w:spacing w:after="0" w:line="218" w:lineRule="exact"/>
        <w:rPr>
          <w:sz w:val="20"/>
          <w:szCs w:val="20"/>
          <w:color w:val="auto"/>
        </w:rPr>
      </w:pPr>
    </w:p>
    <w:p>
      <w:pPr>
        <w:ind w:left="440" w:right="120"/>
        <w:spacing w:after="0" w:line="237" w:lineRule="auto"/>
        <w:rPr>
          <w:sz w:val="20"/>
          <w:szCs w:val="20"/>
          <w:color w:val="auto"/>
        </w:rPr>
      </w:pPr>
      <w:r>
        <w:rPr>
          <w:rFonts w:ascii="Arial" w:cs="Arial" w:eastAsia="Arial" w:hAnsi="Arial"/>
          <w:sz w:val="17"/>
          <w:szCs w:val="17"/>
          <w:color w:val="auto"/>
        </w:rPr>
        <w:t>Our executive officers are entitled to participate in the same tax-qualified defined contribution retirement plan that is generally available to all of our eligible employees, subject to certain limits on the amounts that each participant may contribute each year. We make matching contributions to eligible participants’ retirement plan accounts based on a percentage of their “eligible compensation” under applicable rules. We believe that this retirement program assists our executives in saving for their retirement in a tax-effective manner.</w:t>
      </w:r>
    </w:p>
    <w:p>
      <w:pPr>
        <w:spacing w:after="0" w:line="115" w:lineRule="exact"/>
        <w:rPr>
          <w:sz w:val="20"/>
          <w:szCs w:val="20"/>
          <w:color w:val="auto"/>
        </w:r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26</w:t>
        <w:tab/>
        <w:t>|</w:t>
        <w:tab/>
        <w:t>2020 Proxy Statement</w:t>
      </w:r>
    </w:p>
    <w:p>
      <w:pPr>
        <w:sectPr>
          <w:pgSz w:w="11900" w:h="16838" w:orient="portrait"/>
          <w:cols w:equalWidth="0" w:num="1">
            <w:col w:w="10820"/>
          </w:cols>
          <w:pgMar w:left="320" w:top="441" w:right="75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73"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Deferred Compensation Plans</w:t>
      </w:r>
    </w:p>
    <w:p>
      <w:pPr>
        <w:spacing w:after="0" w:line="218" w:lineRule="exact"/>
        <w:rPr>
          <w:sz w:val="20"/>
          <w:szCs w:val="20"/>
          <w:color w:val="auto"/>
        </w:rPr>
      </w:pPr>
    </w:p>
    <w:p>
      <w:pPr>
        <w:ind w:left="440" w:right="180"/>
        <w:spacing w:after="0" w:line="236" w:lineRule="auto"/>
        <w:rPr>
          <w:sz w:val="20"/>
          <w:szCs w:val="20"/>
          <w:color w:val="auto"/>
        </w:rPr>
      </w:pPr>
      <w:r>
        <w:rPr>
          <w:rFonts w:ascii="Arial" w:cs="Arial" w:eastAsia="Arial" w:hAnsi="Arial"/>
          <w:sz w:val="17"/>
          <w:szCs w:val="17"/>
          <w:color w:val="auto"/>
        </w:rPr>
        <w:t>To provide other tax-deferred means to save for retirement, we maintain certain deferred compensation plans that allow our named executive officers and other eligible participants to elect to defer all or a portion of any cash or certain equity incentive awards granted to them under our cash incentive or stock plans. In addition, we maintain a deferred compensation plan that allows our named executive officers and other eligible participants to elect to defer a portion of their eligible salary. The majority of current vested deferred balances under the plans will be paid upon retirement or termination or are held in specified date accounts, which pay out in the year specified by the participant, including years prior to termination. These plans are described in more detail under “Nonqualified Deferred Compensation.”</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How We Determine Direct Compensation</w:t>
      </w:r>
    </w:p>
    <w:p>
      <w:pPr>
        <w:spacing w:after="0" w:line="218" w:lineRule="exact"/>
        <w:rPr>
          <w:sz w:val="20"/>
          <w:szCs w:val="20"/>
          <w:color w:val="auto"/>
        </w:rPr>
      </w:pPr>
    </w:p>
    <w:p>
      <w:pPr>
        <w:ind w:left="440" w:right="40"/>
        <w:spacing w:after="0" w:line="236" w:lineRule="auto"/>
        <w:rPr>
          <w:sz w:val="20"/>
          <w:szCs w:val="20"/>
          <w:color w:val="auto"/>
        </w:rPr>
      </w:pPr>
      <w:r>
        <w:rPr>
          <w:rFonts w:ascii="Arial" w:cs="Arial" w:eastAsia="Arial" w:hAnsi="Arial"/>
          <w:sz w:val="17"/>
          <w:szCs w:val="17"/>
          <w:color w:val="auto"/>
        </w:rPr>
        <w:t>In determining the amounts of direct compensation (base salary, annual and long-term incentives) to be awarded to our executive officers, we considered the company’s overall performance, the performance of operating units under the executive officer’s management, individual performance as measured against performance goals and criteria, and competitive market data for our compensation peer group as well as third-party survey data for the general industry and the technology industry. The Committee reviews and approves the amounts of direct compensation to be provided to our executive officers for each fiscal year. Executive officers do not propose their own compensation.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the beginning of each fiscal year, the Committee reviews and approves:</w:t>
      </w:r>
    </w:p>
    <w:p>
      <w:pPr>
        <w:sectPr>
          <w:pgSz w:w="11900" w:h="16838" w:orient="portrait"/>
          <w:cols w:equalWidth="0" w:num="1">
            <w:col w:w="10800"/>
          </w:cols>
          <w:pgMar w:left="320" w:top="441" w:right="779" w:bottom="1440" w:gutter="0" w:footer="0" w:header="0"/>
        </w:sectPr>
      </w:pPr>
    </w:p>
    <w:p>
      <w:pPr>
        <w:spacing w:after="0" w:line="116" w:lineRule="exact"/>
        <w:rPr>
          <w:sz w:val="20"/>
          <w:szCs w:val="20"/>
          <w:color w:val="auto"/>
        </w:rPr>
      </w:pPr>
    </w:p>
    <w:p>
      <w:pPr>
        <w:ind w:left="940"/>
        <w:spacing w:after="0"/>
        <w:rPr>
          <w:sz w:val="20"/>
          <w:szCs w:val="20"/>
          <w:color w:val="auto"/>
        </w:rPr>
      </w:pPr>
      <w:r>
        <w:rPr>
          <w:rFonts w:ascii="Arial" w:cs="Arial" w:eastAsia="Arial" w:hAnsi="Arial"/>
          <w:sz w:val="9"/>
          <w:szCs w:val="9"/>
          <w:color w:val="77387A"/>
        </w:rPr>
        <w:t>u</w:t>
      </w:r>
    </w:p>
    <w:p>
      <w:pPr>
        <w:spacing w:after="0" w:line="201" w:lineRule="exact"/>
        <w:rPr>
          <w:sz w:val="20"/>
          <w:szCs w:val="20"/>
          <w:color w:val="auto"/>
        </w:rPr>
      </w:pPr>
    </w:p>
    <w:p>
      <w:pPr>
        <w:ind w:left="940"/>
        <w:spacing w:after="0"/>
        <w:rPr>
          <w:sz w:val="20"/>
          <w:szCs w:val="20"/>
          <w:color w:val="auto"/>
        </w:rPr>
      </w:pPr>
      <w:r>
        <w:rPr>
          <w:rFonts w:ascii="Arial" w:cs="Arial" w:eastAsia="Arial" w:hAnsi="Arial"/>
          <w:sz w:val="9"/>
          <w:szCs w:val="9"/>
          <w:color w:val="77387A"/>
        </w:rPr>
        <w:t>u</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the amount of base salary and target incentive opportunities to be provided for the upcoming year;</w:t>
      </w:r>
    </w:p>
    <w:p>
      <w:pPr>
        <w:spacing w:after="0" w:line="10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payout range for the annual cash incentive awards that may be earned for the year and the performance goals and criteria upon which the amounts of the awards will be determined;</w:t>
      </w:r>
    </w:p>
    <w:p>
      <w:pPr>
        <w:spacing w:after="0" w:line="100" w:lineRule="exact"/>
        <w:rPr>
          <w:sz w:val="20"/>
          <w:szCs w:val="20"/>
          <w:color w:val="auto"/>
        </w:rPr>
      </w:pPr>
    </w:p>
    <w:p>
      <w:pPr>
        <w:sectPr>
          <w:pgSz w:w="11900" w:h="16838" w:orient="portrait"/>
          <w:cols w:equalWidth="0" w:num="2">
            <w:col w:w="1000" w:space="360"/>
            <w:col w:w="9440"/>
          </w:cols>
          <w:pgMar w:left="320" w:top="441" w:right="779" w:bottom="1440" w:gutter="0" w:footer="0" w:header="0"/>
          <w:type w:val="continuous"/>
        </w:sectPr>
      </w:pPr>
    </w:p>
    <w:p>
      <w:pPr>
        <w:spacing w:after="0" w:line="6" w:lineRule="exact"/>
        <w:rPr>
          <w:sz w:val="20"/>
          <w:szCs w:val="20"/>
          <w:color w:val="auto"/>
        </w:rPr>
      </w:pPr>
    </w:p>
    <w:p>
      <w:pPr>
        <w:ind w:left="940"/>
        <w:spacing w:after="0"/>
        <w:rPr>
          <w:sz w:val="20"/>
          <w:szCs w:val="20"/>
          <w:color w:val="auto"/>
        </w:rPr>
      </w:pPr>
      <w:r>
        <w:rPr>
          <w:rFonts w:ascii="Arial" w:cs="Arial" w:eastAsia="Arial" w:hAnsi="Arial"/>
          <w:sz w:val="9"/>
          <w:szCs w:val="9"/>
          <w:color w:val="77387A"/>
        </w:rPr>
        <w:t>u</w:t>
      </w:r>
    </w:p>
    <w:p>
      <w:pPr>
        <w:spacing w:after="0" w:line="20" w:lineRule="exact"/>
        <w:rPr>
          <w:sz w:val="20"/>
          <w:szCs w:val="20"/>
          <w:color w:val="auto"/>
        </w:rPr>
      </w:pPr>
      <w:r>
        <w:rPr>
          <w:sz w:val="20"/>
          <w:szCs w:val="20"/>
          <w:color w:val="auto"/>
        </w:rPr>
        <w:br w:type="column"/>
      </w:r>
    </w:p>
    <w:p>
      <w:pPr>
        <w:ind w:right="100"/>
        <w:spacing w:after="0" w:line="239" w:lineRule="auto"/>
        <w:rPr>
          <w:sz w:val="20"/>
          <w:szCs w:val="20"/>
          <w:color w:val="auto"/>
        </w:rPr>
      </w:pPr>
      <w:r>
        <w:rPr>
          <w:rFonts w:ascii="Arial" w:cs="Arial" w:eastAsia="Arial" w:hAnsi="Arial"/>
          <w:sz w:val="17"/>
          <w:szCs w:val="17"/>
          <w:color w:val="auto"/>
        </w:rPr>
        <w:t>the payout range for performance share awards that may be earned for the performance period beginning in that fiscal year and the performance goals and criteria upon which the amounts of the performance share and PRSU awards for the relevant performance period will be determined; and</w:t>
      </w:r>
    </w:p>
    <w:p>
      <w:pPr>
        <w:spacing w:after="0" w:line="102" w:lineRule="exact"/>
        <w:rPr>
          <w:sz w:val="20"/>
          <w:szCs w:val="20"/>
          <w:color w:val="auto"/>
        </w:rPr>
      </w:pPr>
    </w:p>
    <w:p>
      <w:pPr>
        <w:sectPr>
          <w:pgSz w:w="11900" w:h="16838" w:orient="portrait"/>
          <w:cols w:equalWidth="0" w:num="2">
            <w:col w:w="1000" w:space="360"/>
            <w:col w:w="9440"/>
          </w:cols>
          <w:pgMar w:left="320" w:top="441" w:right="779" w:bottom="1440" w:gutter="0" w:footer="0" w:header="0"/>
          <w:type w:val="continuous"/>
        </w:sectPr>
      </w:pPr>
    </w:p>
    <w:p>
      <w:pPr>
        <w:spacing w:after="0" w:line="7" w:lineRule="exact"/>
        <w:rPr>
          <w:sz w:val="20"/>
          <w:szCs w:val="20"/>
          <w:color w:val="auto"/>
        </w:rPr>
      </w:pPr>
    </w:p>
    <w:p>
      <w:pPr>
        <w:ind w:left="940"/>
        <w:spacing w:after="0"/>
        <w:rPr>
          <w:sz w:val="20"/>
          <w:szCs w:val="20"/>
          <w:color w:val="auto"/>
        </w:rPr>
      </w:pPr>
      <w:r>
        <w:rPr>
          <w:rFonts w:ascii="Arial" w:cs="Arial" w:eastAsia="Arial" w:hAnsi="Arial"/>
          <w:sz w:val="9"/>
          <w:szCs w:val="9"/>
          <w:color w:val="77387A"/>
        </w:rPr>
        <w:t>u</w:t>
      </w:r>
    </w:p>
    <w:p>
      <w:pPr>
        <w:spacing w:after="0" w:line="20" w:lineRule="exact"/>
        <w:rPr>
          <w:sz w:val="20"/>
          <w:szCs w:val="20"/>
          <w:color w:val="auto"/>
        </w:rPr>
      </w:pPr>
      <w:r>
        <w:rPr>
          <w:sz w:val="20"/>
          <w:szCs w:val="20"/>
          <w:color w:val="auto"/>
        </w:rPr>
        <w:br w:type="column"/>
      </w:r>
    </w:p>
    <w:p>
      <w:pPr>
        <w:ind w:right="380"/>
        <w:spacing w:after="0" w:line="243" w:lineRule="auto"/>
        <w:rPr>
          <w:sz w:val="20"/>
          <w:szCs w:val="20"/>
          <w:color w:val="auto"/>
        </w:rPr>
      </w:pPr>
      <w:r>
        <w:rPr>
          <w:rFonts w:ascii="Arial" w:cs="Arial" w:eastAsia="Arial" w:hAnsi="Arial"/>
          <w:sz w:val="17"/>
          <w:szCs w:val="17"/>
          <w:color w:val="auto"/>
        </w:rPr>
        <w:t>the mix and amount of long-term incentive awards (including performance share awards, PRSUs and stock options) to be granted to our executive officers.</w:t>
      </w:r>
    </w:p>
    <w:p>
      <w:pPr>
        <w:spacing w:after="0" w:line="87" w:lineRule="exact"/>
        <w:rPr>
          <w:sz w:val="20"/>
          <w:szCs w:val="20"/>
          <w:color w:val="auto"/>
        </w:rPr>
      </w:pPr>
    </w:p>
    <w:p>
      <w:pPr>
        <w:sectPr>
          <w:pgSz w:w="11900" w:h="16838" w:orient="portrait"/>
          <w:cols w:equalWidth="0" w:num="2">
            <w:col w:w="1000" w:space="360"/>
            <w:col w:w="9440"/>
          </w:cols>
          <w:pgMar w:left="320" w:top="441" w:right="779" w:bottom="1440" w:gutter="0" w:footer="0" w:header="0"/>
          <w:type w:val="continuous"/>
        </w:sectPr>
      </w:pPr>
    </w:p>
    <w:p>
      <w:pPr>
        <w:ind w:left="440" w:right="120"/>
        <w:spacing w:after="0" w:line="237" w:lineRule="auto"/>
        <w:rPr>
          <w:sz w:val="20"/>
          <w:szCs w:val="20"/>
          <w:color w:val="auto"/>
        </w:rPr>
      </w:pPr>
      <w:r>
        <w:rPr>
          <w:rFonts w:ascii="Arial" w:cs="Arial" w:eastAsia="Arial" w:hAnsi="Arial"/>
          <w:sz w:val="17"/>
          <w:szCs w:val="17"/>
          <w:color w:val="auto"/>
        </w:rPr>
        <w:t>In approving payout ranges for our incentive programs, we determine the levels of performance that must be achieved in order to receive a threshold, target and maximum payout amount for each goal. Upon completion of each fiscal year, the Committee approves the payment, if any, of cash incentive awards and the number of performance shares, if any, that are earned based upon the achievement of the predetermined performance goals and criteria for the performance cycles just completed.</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Company and Operational Sector Performance</w:t>
      </w:r>
    </w:p>
    <w:p>
      <w:pPr>
        <w:spacing w:after="0" w:line="218" w:lineRule="exact"/>
        <w:rPr>
          <w:sz w:val="20"/>
          <w:szCs w:val="20"/>
          <w:color w:val="auto"/>
        </w:rPr>
      </w:pPr>
    </w:p>
    <w:p>
      <w:pPr>
        <w:ind w:left="440" w:right="20"/>
        <w:spacing w:after="0" w:line="236" w:lineRule="auto"/>
        <w:rPr>
          <w:sz w:val="20"/>
          <w:szCs w:val="20"/>
          <w:color w:val="auto"/>
        </w:rPr>
      </w:pPr>
      <w:r>
        <w:rPr>
          <w:rFonts w:ascii="Arial" w:cs="Arial" w:eastAsia="Arial" w:hAnsi="Arial"/>
          <w:sz w:val="17"/>
          <w:szCs w:val="17"/>
          <w:color w:val="auto"/>
        </w:rPr>
        <w:t>Our overall enterprise performance (or a combination of company enterprise and business group performance for executive officers with operational responsibilities) determines the payout for 80% of the target amount of any annual cash incentive awards and for 100% of any performance share program awards and PRSUs. Payout amounts are principally determined based upon the company’s or group’s achievement of financial and operating objectives set at the beginning of the fiscal year, but the Committee retains the discretion to reduce the payouts when appropriate. The maximum score for performance on any of the financial metrics for the cash incentive awards and the performance share program awards is 150%. The earnings per share metric for the PRSUs is a hurdle that, when met, results only in continued vesting of the PRSUs; results for this metric do not result in an adjustment to the amount of the PRSUs.</w:t>
      </w:r>
    </w:p>
    <w:p>
      <w:pPr>
        <w:spacing w:after="0" w:line="172"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Individual Performance</w:t>
      </w:r>
    </w:p>
    <w:p>
      <w:pPr>
        <w:spacing w:after="0" w:line="218" w:lineRule="exact"/>
        <w:rPr>
          <w:sz w:val="20"/>
          <w:szCs w:val="20"/>
          <w:color w:val="auto"/>
        </w:rPr>
      </w:pPr>
    </w:p>
    <w:p>
      <w:pPr>
        <w:ind w:left="440" w:right="100"/>
        <w:spacing w:after="0" w:line="237" w:lineRule="auto"/>
        <w:rPr>
          <w:sz w:val="20"/>
          <w:szCs w:val="20"/>
          <w:color w:val="auto"/>
        </w:rPr>
      </w:pPr>
      <w:r>
        <w:rPr>
          <w:rFonts w:ascii="Arial" w:cs="Arial" w:eastAsia="Arial" w:hAnsi="Arial"/>
          <w:sz w:val="17"/>
          <w:szCs w:val="17"/>
          <w:color w:val="auto"/>
        </w:rPr>
        <w:t>Individual performance is a factor in setting base salaries, and individual leadership behaviors and the achievement of personal goals determine 20% of the target amount of any annual cash incentive award to be paid upon completion of the fiscal year for all of our named executive officers. In determining base salaries, the Committee reviews a performance assessment for each of our executive officers, as well as compensation recommendations provided by the Chief Executive Officer for the other named executive officers.</w:t>
      </w:r>
    </w:p>
    <w:p>
      <w:pPr>
        <w:spacing w:after="0" w:line="115"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27</w:t>
      </w:r>
    </w:p>
    <w:p>
      <w:pPr>
        <w:sectPr>
          <w:pgSz w:w="11900" w:h="16838" w:orient="portrait"/>
          <w:cols w:equalWidth="0" w:num="1">
            <w:col w:w="10800"/>
          </w:cols>
          <w:pgMar w:left="320" w:top="441" w:right="779" w:bottom="1440" w:gutter="0" w:footer="0" w:header="0"/>
          <w:type w:val="continuous"/>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93" w:lineRule="exact"/>
        <w:rPr>
          <w:sz w:val="20"/>
          <w:szCs w:val="20"/>
          <w:color w:val="auto"/>
        </w:rPr>
      </w:pPr>
    </w:p>
    <w:p>
      <w:pPr>
        <w:ind w:left="440"/>
        <w:spacing w:after="0" w:line="237" w:lineRule="auto"/>
        <w:rPr>
          <w:sz w:val="20"/>
          <w:szCs w:val="20"/>
          <w:color w:val="auto"/>
        </w:rPr>
      </w:pPr>
      <w:r>
        <w:rPr>
          <w:rFonts w:ascii="Arial" w:cs="Arial" w:eastAsia="Arial" w:hAnsi="Arial"/>
          <w:sz w:val="17"/>
          <w:szCs w:val="17"/>
          <w:color w:val="auto"/>
        </w:rPr>
        <w:t>The Committee also considers market data and information provided by its independent compensation consultant. In addition, in determining annual incentive amounts, the Committee considers whether the executive officer has achieved predetermined personal goals applicable to his or her organization, and the way in which those personal goals were achieved, as demonstrated through leadership behaviors.</w:t>
      </w:r>
    </w:p>
    <w:p>
      <w:pPr>
        <w:spacing w:after="0" w:line="194" w:lineRule="exact"/>
        <w:rPr>
          <w:sz w:val="20"/>
          <w:szCs w:val="20"/>
          <w:color w:val="auto"/>
        </w:rPr>
      </w:pPr>
    </w:p>
    <w:p>
      <w:pPr>
        <w:ind w:left="440" w:right="40"/>
        <w:spacing w:after="0" w:line="236" w:lineRule="auto"/>
        <w:rPr>
          <w:sz w:val="20"/>
          <w:szCs w:val="20"/>
          <w:color w:val="auto"/>
        </w:rPr>
      </w:pPr>
      <w:r>
        <w:rPr>
          <w:rFonts w:ascii="Arial" w:cs="Arial" w:eastAsia="Arial" w:hAnsi="Arial"/>
          <w:sz w:val="17"/>
          <w:szCs w:val="17"/>
          <w:color w:val="auto"/>
        </w:rPr>
        <w:t>Personal performance goals and leadership behaviors relate to ethics and integrity, maintaining a top-tier workplace environment, collaboration, customer satisfaction and retention, business development in strategic areas and other financial and operating goals as appropriate. For purposes of the 2019 annual cash incentive, personal performance is scored on a range from 0% to 150% with a threshold of 50%. Performance below threshold with respect to personal goals would result in no payout (0%) related to the portion of the cash incentive based on personal performance. Performance of between 50% and 150% with respect to these goals for 2019 would result in a payout that is interpolated linearly between the 50% and 150% payout opportunity. Performance above the 150% level would not result in any additional payout.</w:t>
      </w:r>
    </w:p>
    <w:p>
      <w:pPr>
        <w:spacing w:after="0" w:line="172"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Assessing Chief Executive Officer Performance</w:t>
      </w:r>
    </w:p>
    <w:p>
      <w:pPr>
        <w:spacing w:after="0" w:line="218" w:lineRule="exact"/>
        <w:rPr>
          <w:sz w:val="20"/>
          <w:szCs w:val="20"/>
          <w:color w:val="auto"/>
        </w:rPr>
      </w:pPr>
    </w:p>
    <w:p>
      <w:pPr>
        <w:ind w:left="440" w:right="120"/>
        <w:spacing w:after="0" w:line="251" w:lineRule="auto"/>
        <w:rPr>
          <w:sz w:val="20"/>
          <w:szCs w:val="20"/>
          <w:color w:val="auto"/>
        </w:rPr>
      </w:pPr>
      <w:r>
        <w:rPr>
          <w:rFonts w:ascii="Arial" w:cs="Arial" w:eastAsia="Arial" w:hAnsi="Arial"/>
          <w:sz w:val="16"/>
          <w:szCs w:val="16"/>
          <w:color w:val="auto"/>
        </w:rPr>
        <w:t>In determining compensation for our Chief Executive Officer, the Committee meets in executive session and evaluates his performance based on his achievement of performance objectives that were established and agreed upon at the beginning of the fiscal year. Input is received from the independent directors. The Committee also considers the Chief Executive Officer’s general leadership contributions towards the company’s performance, including financial and operating results, development and achievement of strategic objectives, progress in building capability among the senior management team and leadership in corporate governance, environmental sustainability and social issues of importance to our stockholders, customers and employees. The Committee also considers market data and information provided by the Committee’s independent compensation consultant. The Committee determines the Chief Executive Officer’s compensation and then reviews his evaluation and compensation with the Board’s independent directors. The independent Lead Director and the Chair of the Committee then present the Committee’s evaluation and compensation determination to the Chief Executive Officer.</w:t>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Comparable Market Compensation</w:t>
      </w:r>
    </w:p>
    <w:p>
      <w:pPr>
        <w:spacing w:after="0" w:line="218" w:lineRule="exact"/>
        <w:rPr>
          <w:sz w:val="20"/>
          <w:szCs w:val="20"/>
          <w:color w:val="auto"/>
        </w:rPr>
      </w:pPr>
    </w:p>
    <w:p>
      <w:pPr>
        <w:ind w:left="440" w:right="40"/>
        <w:spacing w:after="0" w:line="236" w:lineRule="auto"/>
        <w:rPr>
          <w:sz w:val="20"/>
          <w:szCs w:val="20"/>
          <w:color w:val="auto"/>
        </w:rPr>
      </w:pPr>
      <w:r>
        <w:rPr>
          <w:rFonts w:ascii="Arial" w:cs="Arial" w:eastAsia="Arial" w:hAnsi="Arial"/>
          <w:sz w:val="17"/>
          <w:szCs w:val="17"/>
          <w:color w:val="auto"/>
        </w:rPr>
        <w:t>The Committee compares the amount of direct compensation that we provide to our executive officers to that provided by companies with whom we compete for executive talent in similar roles and with similar responsibilities. To assist with this effort, the Committee’s independent compensation consultant, Frederic W. Cook &amp; Co., Inc. (“FW Cook”), conducts an annual review and benchmarking analysis of each element of target total direct compensation (including salary, cash and equity incentives) provided to our executive officers. In December 2018, FW Cook compared the target compensation provided to members of senior management against that provided by other publicly traded engineering, information technology, consulting and defense companies, which we refer to as our “compensation peer group,” as well as third-party survey data for the general industry and the technology industry.</w:t>
      </w:r>
    </w:p>
    <w:p>
      <w:pPr>
        <w:spacing w:after="0" w:line="192" w:lineRule="exact"/>
        <w:rPr>
          <w:sz w:val="20"/>
          <w:szCs w:val="20"/>
          <w:color w:val="auto"/>
        </w:rPr>
      </w:pPr>
    </w:p>
    <w:p>
      <w:pPr>
        <w:jc w:val="both"/>
        <w:ind w:left="440" w:right="100"/>
        <w:spacing w:after="0" w:line="239" w:lineRule="auto"/>
        <w:rPr>
          <w:sz w:val="20"/>
          <w:szCs w:val="20"/>
          <w:color w:val="auto"/>
        </w:rPr>
      </w:pPr>
      <w:r>
        <w:rPr>
          <w:rFonts w:ascii="Arial" w:cs="Arial" w:eastAsia="Arial" w:hAnsi="Arial"/>
          <w:sz w:val="17"/>
          <w:szCs w:val="17"/>
          <w:color w:val="auto"/>
        </w:rPr>
        <w:t>Peer group companies are chosen for having a similar industry focus as ours and for competing with us for talent as well as business and stockholder investment. Furthermore, the compensation peer group is initially structured so that no company within the group has annual revenues smaller than 40% or greater than 250% of ours and a market capitalization within a reasonable range.</w:t>
      </w:r>
    </w:p>
    <w:p>
      <w:pPr>
        <w:spacing w:after="0" w:line="191" w:lineRule="exact"/>
        <w:rPr>
          <w:sz w:val="20"/>
          <w:szCs w:val="20"/>
          <w:color w:val="auto"/>
        </w:rPr>
      </w:pPr>
    </w:p>
    <w:p>
      <w:pPr>
        <w:ind w:left="440" w:right="240"/>
        <w:spacing w:after="0" w:line="237" w:lineRule="auto"/>
        <w:rPr>
          <w:sz w:val="20"/>
          <w:szCs w:val="20"/>
          <w:color w:val="auto"/>
        </w:rPr>
      </w:pPr>
      <w:r>
        <w:rPr>
          <w:rFonts w:ascii="Arial" w:cs="Arial" w:eastAsia="Arial" w:hAnsi="Arial"/>
          <w:sz w:val="17"/>
          <w:szCs w:val="17"/>
          <w:color w:val="auto"/>
        </w:rPr>
        <w:t>Our compensation peer group is periodically reviewed and updated to ensure the companies in our peer group are strong business and talent competitors and are comparable in size. In September 2018, the Committee consulted with FW Cook and reviewed the compensation peer group to be used for setting fiscal 2019 target compensation. The Committee removed DXC Technology and added Fluor and Textron. At the time the peer group for fiscal 2019 was approved, the company was at the 64th percentile for revenue and the 46th percentile for market capitalization as compared to the new peer group.</w:t>
      </w:r>
    </w:p>
    <w:p>
      <w:pPr>
        <w:spacing w:after="0" w:line="112" w:lineRule="exact"/>
        <w:rPr>
          <w:sz w:val="20"/>
          <w:szCs w:val="20"/>
          <w:color w:val="auto"/>
        </w:r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28</w:t>
        <w:tab/>
        <w:t>|</w:t>
        <w:tab/>
        <w:t>2020 Proxy Statement</w:t>
      </w:r>
    </w:p>
    <w:p>
      <w:pPr>
        <w:sectPr>
          <w:pgSz w:w="11900" w:h="16838" w:orient="portrait"/>
          <w:cols w:equalWidth="0" w:num="1">
            <w:col w:w="10800"/>
          </w:cols>
          <w:pgMar w:left="320" w:top="441" w:right="77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73"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Our Fiscal 2019 Compensation Peer Group</w:t>
      </w:r>
    </w:p>
    <w:p>
      <w:pPr>
        <w:sectPr>
          <w:pgSz w:w="11900" w:h="16838" w:orient="portrait"/>
          <w:cols w:equalWidth="0" w:num="1">
            <w:col w:w="10800"/>
          </w:cols>
          <w:pgMar w:left="320" w:top="441" w:right="779" w:bottom="1440" w:gutter="0" w:footer="0" w:header="0"/>
        </w:sectPr>
      </w:pPr>
    </w:p>
    <w:p>
      <w:pPr>
        <w:spacing w:after="0" w:line="314" w:lineRule="exact"/>
        <w:rPr>
          <w:sz w:val="20"/>
          <w:szCs w:val="20"/>
          <w:color w:val="auto"/>
        </w:rPr>
      </w:pPr>
    </w:p>
    <w:p>
      <w:pPr>
        <w:ind w:left="460"/>
        <w:spacing w:after="0"/>
        <w:rPr>
          <w:sz w:val="20"/>
          <w:szCs w:val="20"/>
          <w:color w:val="auto"/>
        </w:rPr>
      </w:pPr>
      <w:r>
        <w:rPr>
          <w:rFonts w:ascii="Arial" w:cs="Arial" w:eastAsia="Arial" w:hAnsi="Arial"/>
          <w:sz w:val="6"/>
          <w:szCs w:val="6"/>
          <w:color w:val="77387A"/>
        </w:rPr>
        <w:t>u</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6"/>
          <w:szCs w:val="6"/>
          <w:color w:val="77387A"/>
        </w:rPr>
        <w:t>u</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6"/>
          <w:szCs w:val="6"/>
          <w:color w:val="77387A"/>
        </w:rPr>
        <w:t>u</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6"/>
          <w:szCs w:val="6"/>
          <w:color w:val="77387A"/>
        </w:rPr>
        <w:t>u</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6"/>
          <w:szCs w:val="6"/>
          <w:color w:val="77387A"/>
        </w:rPr>
        <w:t>u</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AECOM Technology</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Booz Allen Hamilton</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CACI International</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Cerner</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CGI Group</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Cognizant Technology</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23"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23"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23"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23"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23"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CSRA</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Fluor</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Harris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Huntington Ingalls Industries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Jacobs Engineering</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L-3 Technologies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23"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23"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23"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23"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23"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Northrop Grumman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Orbital ATK</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Raytheon</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Rockwell Collins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SAIC</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Textron</w:t>
      </w:r>
    </w:p>
    <w:p>
      <w:pPr>
        <w:spacing w:after="0" w:line="198" w:lineRule="exact"/>
        <w:rPr>
          <w:sz w:val="20"/>
          <w:szCs w:val="20"/>
          <w:color w:val="auto"/>
        </w:rPr>
      </w:pPr>
    </w:p>
    <w:p>
      <w:pPr>
        <w:sectPr>
          <w:pgSz w:w="11900" w:h="16838" w:orient="portrait"/>
          <w:cols w:equalWidth="0" w:num="6">
            <w:col w:w="500" w:space="180"/>
            <w:col w:w="2740" w:space="720"/>
            <w:col w:w="40" w:space="180"/>
            <w:col w:w="2560" w:space="720"/>
            <w:col w:w="40" w:space="180"/>
            <w:col w:w="2940"/>
          </w:cols>
          <w:pgMar w:left="320" w:top="441" w:right="779" w:bottom="1440" w:gutter="0" w:footer="0" w:header="0"/>
          <w:type w:val="continuous"/>
        </w:sectPr>
      </w:pPr>
    </w:p>
    <w:p>
      <w:pPr>
        <w:ind w:left="440" w:right="740"/>
        <w:spacing w:after="0" w:line="243" w:lineRule="auto"/>
        <w:rPr>
          <w:sz w:val="20"/>
          <w:szCs w:val="20"/>
          <w:color w:val="auto"/>
        </w:rPr>
      </w:pPr>
      <w:r>
        <w:rPr>
          <w:rFonts w:ascii="Arial" w:cs="Arial" w:eastAsia="Arial" w:hAnsi="Arial"/>
          <w:sz w:val="17"/>
          <w:szCs w:val="17"/>
          <w:color w:val="auto"/>
        </w:rPr>
        <w:t>The Committee considers market data and analysis when evaluating appropriate levels of target total direct compensation. To be competitive in the market for our executive-level talent, we generally:</w:t>
      </w:r>
    </w:p>
    <w:p>
      <w:pPr>
        <w:sectPr>
          <w:pgSz w:w="11900" w:h="16838" w:orient="portrait"/>
          <w:cols w:equalWidth="0" w:num="1">
            <w:col w:w="10800"/>
          </w:cols>
          <w:pgMar w:left="320" w:top="441" w:right="779" w:bottom="1440" w:gutter="0" w:footer="0" w:header="0"/>
          <w:type w:val="continuous"/>
        </w:sectPr>
      </w:pPr>
    </w:p>
    <w:p>
      <w:pPr>
        <w:spacing w:after="0" w:line="106"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both"/>
        <w:ind w:right="260"/>
        <w:spacing w:after="0" w:line="239" w:lineRule="auto"/>
        <w:rPr>
          <w:sz w:val="20"/>
          <w:szCs w:val="20"/>
          <w:color w:val="auto"/>
        </w:rPr>
      </w:pPr>
      <w:r>
        <w:rPr>
          <w:rFonts w:ascii="Arial" w:cs="Arial" w:eastAsia="Arial" w:hAnsi="Arial"/>
          <w:sz w:val="17"/>
          <w:szCs w:val="17"/>
          <w:color w:val="auto"/>
        </w:rPr>
        <w:t>target overall compensation for our executive officers at the market median, although the actual cash paid and equity incentive awards earned will vary based on actual financial and individual performance and may therefore generate compensation that is higher or lower than the market median; and</w:t>
      </w:r>
    </w:p>
    <w:p>
      <w:pPr>
        <w:spacing w:after="0" w:line="102" w:lineRule="exact"/>
        <w:rPr>
          <w:sz w:val="20"/>
          <w:szCs w:val="20"/>
          <w:color w:val="auto"/>
        </w:rPr>
      </w:pPr>
    </w:p>
    <w:p>
      <w:pPr>
        <w:sectPr>
          <w:pgSz w:w="11900" w:h="16838" w:orient="portrait"/>
          <w:cols w:equalWidth="0" w:num="2">
            <w:col w:w="680" w:space="360"/>
            <w:col w:w="9760"/>
          </w:cols>
          <w:pgMar w:left="320" w:top="441" w:right="779" w:bottom="1440" w:gutter="0" w:footer="0" w:header="0"/>
          <w:type w:val="continuous"/>
        </w:sectPr>
      </w:pPr>
    </w:p>
    <w:p>
      <w:pPr>
        <w:spacing w:after="0" w:line="7"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ind w:right="40"/>
        <w:spacing w:after="0" w:line="243" w:lineRule="auto"/>
        <w:rPr>
          <w:sz w:val="20"/>
          <w:szCs w:val="20"/>
          <w:color w:val="auto"/>
        </w:rPr>
      </w:pPr>
      <w:r>
        <w:rPr>
          <w:rFonts w:ascii="Arial" w:cs="Arial" w:eastAsia="Arial" w:hAnsi="Arial"/>
          <w:sz w:val="17"/>
          <w:szCs w:val="17"/>
          <w:color w:val="auto"/>
        </w:rPr>
        <w:t>award higher levels of compensation, when appropriate, in recognition of the importance or uniqueness of the role of an executive officer or to address retention concerns.</w:t>
      </w:r>
    </w:p>
    <w:p>
      <w:pPr>
        <w:spacing w:after="0" w:line="169" w:lineRule="exact"/>
        <w:rPr>
          <w:sz w:val="20"/>
          <w:szCs w:val="20"/>
          <w:color w:val="auto"/>
        </w:rPr>
      </w:pPr>
    </w:p>
    <w:p>
      <w:pPr>
        <w:sectPr>
          <w:pgSz w:w="11900" w:h="16838" w:orient="portrait"/>
          <w:cols w:equalWidth="0" w:num="2">
            <w:col w:w="680" w:space="360"/>
            <w:col w:w="9760"/>
          </w:cols>
          <w:pgMar w:left="320" w:top="441" w:right="779" w:bottom="1440" w:gutter="0" w:footer="0" w:header="0"/>
          <w:type w:val="continuous"/>
        </w:sectPr>
      </w:pPr>
    </w:p>
    <w:p>
      <w:pPr>
        <w:ind w:left="440"/>
        <w:spacing w:after="0"/>
        <w:rPr>
          <w:sz w:val="20"/>
          <w:szCs w:val="20"/>
          <w:color w:val="auto"/>
        </w:rPr>
      </w:pPr>
      <w:r>
        <w:rPr>
          <w:rFonts w:ascii="Arial" w:cs="Arial" w:eastAsia="Arial" w:hAnsi="Arial"/>
          <w:sz w:val="17"/>
          <w:szCs w:val="17"/>
          <w:b w:val="1"/>
          <w:bCs w:val="1"/>
          <w:color w:val="483E65"/>
        </w:rPr>
        <w:t>Other Policies and Considerations</w:t>
      </w:r>
    </w:p>
    <w:p>
      <w:pPr>
        <w:spacing w:after="0" w:line="198"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Stockholder Advisory Vote</w:t>
      </w:r>
    </w:p>
    <w:p>
      <w:pPr>
        <w:spacing w:after="0" w:line="218" w:lineRule="exact"/>
        <w:rPr>
          <w:sz w:val="20"/>
          <w:szCs w:val="20"/>
          <w:color w:val="auto"/>
        </w:rPr>
      </w:pPr>
    </w:p>
    <w:p>
      <w:pPr>
        <w:ind w:left="440"/>
        <w:spacing w:after="0" w:line="235" w:lineRule="auto"/>
        <w:rPr>
          <w:sz w:val="20"/>
          <w:szCs w:val="20"/>
          <w:color w:val="auto"/>
        </w:rPr>
      </w:pPr>
      <w:r>
        <w:rPr>
          <w:rFonts w:ascii="Arial" w:cs="Arial" w:eastAsia="Arial" w:hAnsi="Arial"/>
          <w:sz w:val="17"/>
          <w:szCs w:val="17"/>
          <w:color w:val="auto"/>
        </w:rPr>
        <w:t>At our last annual stockholders’ meeting in April 2019, we held a non-binding stockholder advisory vote on the compensation of our named executive officers, commonly referred to as a say-on-pay vote. Our stockholders overwhelmingly approved the compensation of our named executive officers, with approximately 95% of stockholder votes cast in favor of our say-on-pay resolution. As we evaluated our compensation practices during fiscal 2019, we considered the support our stockholders expressed for our pay for performance compensation philosophy and that influenced our decision not to make any significant changes to our executive compensation programs this year. We continued to emphasize short- and long-term incentive compensation, targeted at competitive market median levels, with a substantial majority of total compensation based on the achievement of financial performance goals designed to deliver value for our stockholders.</w:t>
      </w:r>
    </w:p>
    <w:p>
      <w:pPr>
        <w:spacing w:after="0" w:line="197" w:lineRule="exact"/>
        <w:rPr>
          <w:sz w:val="20"/>
          <w:szCs w:val="20"/>
          <w:color w:val="auto"/>
        </w:rPr>
      </w:pPr>
    </w:p>
    <w:p>
      <w:pPr>
        <w:ind w:left="440" w:right="60"/>
        <w:spacing w:after="0" w:line="239" w:lineRule="auto"/>
        <w:rPr>
          <w:sz w:val="20"/>
          <w:szCs w:val="20"/>
          <w:color w:val="auto"/>
        </w:rPr>
      </w:pPr>
      <w:r>
        <w:rPr>
          <w:rFonts w:ascii="Arial" w:cs="Arial" w:eastAsia="Arial" w:hAnsi="Arial"/>
          <w:sz w:val="17"/>
          <w:szCs w:val="17"/>
          <w:color w:val="auto"/>
        </w:rPr>
        <w:t>At our 2017 annual meeting of stockholders, our stockholders expressed a preference for an annual non-binding advisory vote on executive compensation, in accordance with our Board’s recommendation. Consistent with our stockholders’ preference in this regard, we expect to continue holding an advisory stockholder vote on the compensation of our named executive officers each year.</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Assessment of Risks in Our Compensation Programs</w:t>
      </w:r>
    </w:p>
    <w:p>
      <w:pPr>
        <w:spacing w:after="0" w:line="218" w:lineRule="exact"/>
        <w:rPr>
          <w:sz w:val="20"/>
          <w:szCs w:val="20"/>
          <w:color w:val="auto"/>
        </w:rPr>
      </w:pPr>
    </w:p>
    <w:p>
      <w:pPr>
        <w:ind w:left="440"/>
        <w:spacing w:after="0" w:line="236" w:lineRule="auto"/>
        <w:rPr>
          <w:sz w:val="20"/>
          <w:szCs w:val="20"/>
          <w:color w:val="auto"/>
        </w:rPr>
      </w:pPr>
      <w:r>
        <w:rPr>
          <w:rFonts w:ascii="Arial" w:cs="Arial" w:eastAsia="Arial" w:hAnsi="Arial"/>
          <w:sz w:val="17"/>
          <w:szCs w:val="17"/>
          <w:color w:val="auto"/>
        </w:rPr>
        <w:t>During fiscal 2019, management undertook a risk assessment of our compensation programs, which Frederic W. Cook &amp; Co., the Committee’s independent compensation consultant, reviewed. In conducting the assessment, we reviewed our pay practices and incentive programs to identify any potential risks inherent in our compensation programs. We also reviewed the risks facing the company and evaluated whether our compensation practices and programs could be expected to increase or help mitigate these risks. The finding of the assessment, with which the Committee concurred, was that our compensation programs are effectively designed to help mitigate excessive risk-taking that could harm our value or reward poor judgment by our executives or other employees. The factors considered in reaching this conclusion include:</w:t>
      </w:r>
    </w:p>
    <w:p>
      <w:pPr>
        <w:sectPr>
          <w:pgSz w:w="11900" w:h="16838" w:orient="portrait"/>
          <w:cols w:equalWidth="0" w:num="1">
            <w:col w:w="10800"/>
          </w:cols>
          <w:pgMar w:left="320" w:top="441" w:right="779" w:bottom="1440" w:gutter="0" w:footer="0" w:header="0"/>
          <w:type w:val="continuous"/>
        </w:sectPr>
      </w:pPr>
    </w:p>
    <w:p>
      <w:pPr>
        <w:spacing w:after="0" w:line="110"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740"/>
        <w:spacing w:after="0" w:line="243" w:lineRule="auto"/>
        <w:rPr>
          <w:sz w:val="20"/>
          <w:szCs w:val="20"/>
          <w:color w:val="auto"/>
        </w:rPr>
      </w:pPr>
      <w:r>
        <w:rPr>
          <w:rFonts w:ascii="Arial" w:cs="Arial" w:eastAsia="Arial" w:hAnsi="Arial"/>
          <w:sz w:val="17"/>
          <w:szCs w:val="17"/>
          <w:color w:val="auto"/>
        </w:rPr>
        <w:t>short-term incentive measures that are balanced among different financial measures, with targets that are intended to be achievable upon realistic levels of performance;</w:t>
      </w:r>
    </w:p>
    <w:p>
      <w:pPr>
        <w:spacing w:after="0" w:line="100" w:lineRule="exact"/>
        <w:rPr>
          <w:sz w:val="20"/>
          <w:szCs w:val="20"/>
          <w:color w:val="auto"/>
        </w:rPr>
      </w:pPr>
    </w:p>
    <w:p>
      <w:pPr>
        <w:sectPr>
          <w:pgSz w:w="11900" w:h="16838" w:orient="portrait"/>
          <w:cols w:equalWidth="0" w:num="2">
            <w:col w:w="680" w:space="360"/>
            <w:col w:w="9760"/>
          </w:cols>
          <w:pgMar w:left="320" w:top="441" w:right="779" w:bottom="1440" w:gutter="0" w:footer="0" w:header="0"/>
          <w:type w:val="continuous"/>
        </w:sectPr>
      </w:pPr>
    </w:p>
    <w:p>
      <w:pPr>
        <w:spacing w:after="0" w:line="6"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00" w:lineRule="exact"/>
        <w:rPr>
          <w:sz w:val="20"/>
          <w:szCs w:val="20"/>
          <w:color w:val="auto"/>
        </w:rPr>
      </w:pPr>
    </w:p>
    <w:p>
      <w:pPr>
        <w:spacing w:after="0" w:line="227"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ind w:right="140"/>
        <w:spacing w:after="0" w:line="243" w:lineRule="auto"/>
        <w:rPr>
          <w:sz w:val="20"/>
          <w:szCs w:val="20"/>
          <w:color w:val="auto"/>
        </w:rPr>
      </w:pPr>
      <w:r>
        <w:rPr>
          <w:rFonts w:ascii="Arial" w:cs="Arial" w:eastAsia="Arial" w:hAnsi="Arial"/>
          <w:sz w:val="17"/>
          <w:szCs w:val="17"/>
          <w:color w:val="auto"/>
        </w:rPr>
        <w:t>significant weighting towards long-term incentive compensation that promotes long-term decision-making and discourages short-term risk-taking;</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maximum payouts that are capped at levels that do not reward excessive risk-taking;</w:t>
      </w:r>
    </w:p>
    <w:p>
      <w:pPr>
        <w:spacing w:after="0" w:line="119"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29</w:t>
      </w:r>
    </w:p>
    <w:p>
      <w:pPr>
        <w:sectPr>
          <w:pgSz w:w="11900" w:h="16838" w:orient="portrait"/>
          <w:cols w:equalWidth="0" w:num="2">
            <w:col w:w="680" w:space="360"/>
            <w:col w:w="9760"/>
          </w:cols>
          <w:pgMar w:left="320" w:top="441" w:right="779" w:bottom="1440" w:gutter="0" w:footer="0" w:header="0"/>
          <w:type w:val="continuous"/>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ectPr>
          <w:pgSz w:w="11900" w:h="16838" w:orient="portrait"/>
          <w:cols w:equalWidth="0" w:num="1">
            <w:col w:w="10800"/>
          </w:cols>
          <w:pgMar w:left="320" w:top="441" w:right="77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00" w:lineRule="exact"/>
        <w:rPr>
          <w:sz w:val="20"/>
          <w:szCs w:val="20"/>
          <w:color w:val="auto"/>
        </w:rPr>
      </w:pPr>
    </w:p>
    <w:p>
      <w:pPr>
        <w:spacing w:after="0" w:line="227"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00" w:lineRule="exact"/>
        <w:rPr>
          <w:sz w:val="20"/>
          <w:szCs w:val="20"/>
          <w:color w:val="auto"/>
        </w:rPr>
      </w:pPr>
    </w:p>
    <w:p>
      <w:pPr>
        <w:spacing w:after="0" w:line="227"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ind w:left="180" w:right="240"/>
        <w:spacing w:after="0" w:line="243" w:lineRule="auto"/>
        <w:rPr>
          <w:sz w:val="20"/>
          <w:szCs w:val="20"/>
          <w:color w:val="auto"/>
        </w:rPr>
      </w:pPr>
      <w:r>
        <w:rPr>
          <w:rFonts w:ascii="Arial" w:cs="Arial" w:eastAsia="Arial" w:hAnsi="Arial"/>
          <w:sz w:val="17"/>
          <w:szCs w:val="17"/>
          <w:color w:val="auto"/>
        </w:rPr>
        <w:t>goals that are based on company and group performance measures, which mitigates excessive risk-taking within any particular business unit;</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leadership behaviors, such as ethics and integrity, that are specifically addressed in our short-term incentive programs;</w:t>
      </w:r>
    </w:p>
    <w:p>
      <w:pPr>
        <w:spacing w:after="0" w:line="109" w:lineRule="exact"/>
        <w:rPr>
          <w:sz w:val="20"/>
          <w:szCs w:val="20"/>
          <w:color w:val="auto"/>
        </w:rPr>
      </w:pPr>
    </w:p>
    <w:p>
      <w:pPr>
        <w:ind w:left="180" w:right="380"/>
        <w:spacing w:after="0" w:line="243" w:lineRule="auto"/>
        <w:rPr>
          <w:sz w:val="20"/>
          <w:szCs w:val="20"/>
          <w:color w:val="auto"/>
        </w:rPr>
      </w:pPr>
      <w:r>
        <w:rPr>
          <w:rFonts w:ascii="Arial" w:cs="Arial" w:eastAsia="Arial" w:hAnsi="Arial"/>
          <w:sz w:val="17"/>
          <w:szCs w:val="17"/>
          <w:color w:val="auto"/>
        </w:rPr>
        <w:t>our compensation recoupment policy that allows us to recover compensation based on financial results that are subsequently restated or if fraud or intentional misconduct is involved; and</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our stock ownership guidelines that encourage a long-term perspective.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83E65"/>
        </w:rPr>
        <w:t>Equity Award Grant Practices</w:t>
      </w:r>
    </w:p>
    <w:p>
      <w:pPr>
        <w:spacing w:after="0" w:line="200" w:lineRule="exact"/>
        <w:rPr>
          <w:sz w:val="20"/>
          <w:szCs w:val="20"/>
          <w:color w:val="auto"/>
        </w:rPr>
      </w:pPr>
    </w:p>
    <w:p>
      <w:pPr>
        <w:sectPr>
          <w:pgSz w:w="11900" w:h="16838" w:orient="portrait"/>
          <w:cols w:equalWidth="0" w:num="2">
            <w:col w:w="680" w:space="180"/>
            <w:col w:w="9940"/>
          </w:cols>
          <w:pgMar w:left="320" w:top="441" w:right="779" w:bottom="1440" w:gutter="0" w:footer="0" w:header="0"/>
          <w:type w:val="continuous"/>
        </w:sectPr>
      </w:pPr>
    </w:p>
    <w:p>
      <w:pPr>
        <w:spacing w:after="0" w:line="18" w:lineRule="exact"/>
        <w:rPr>
          <w:sz w:val="20"/>
          <w:szCs w:val="20"/>
          <w:color w:val="auto"/>
        </w:rPr>
      </w:pPr>
    </w:p>
    <w:p>
      <w:pPr>
        <w:ind w:left="440"/>
        <w:spacing w:after="0" w:line="236" w:lineRule="auto"/>
        <w:rPr>
          <w:sz w:val="20"/>
          <w:szCs w:val="20"/>
          <w:color w:val="auto"/>
        </w:rPr>
      </w:pPr>
      <w:r>
        <w:rPr>
          <w:rFonts w:ascii="Arial" w:cs="Arial" w:eastAsia="Arial" w:hAnsi="Arial"/>
          <w:sz w:val="17"/>
          <w:szCs w:val="17"/>
          <w:color w:val="auto"/>
        </w:rPr>
        <w:t>The Committee is responsible for the administration of our equity incentive programs for our 2006 Equity Incentive Plan and 2017 Omnibus Incentive Plan in which our named executive officers participate. The Committee set the equity award fiscal 2019 grant dates for new and existing employees, including executive officers, in December 2018. These grant dates were selected to occur after the dates when we anticipate releasing our annual and quarterly financial results. We generally grant equity incentive awards to our executive officers and all other eligible employees on an annual basis shortly after we announce our financial results for the recently completed fiscal year. In addition to these annual grants, the Committee set four quarterly dates on which any additional equity incentive awards could be made to eligible executive officers or other employees in connection with a new hire, a promotion, for retention or otherwise.</w:t>
      </w:r>
    </w:p>
    <w:p>
      <w:pPr>
        <w:spacing w:after="0" w:line="192" w:lineRule="exact"/>
        <w:rPr>
          <w:sz w:val="20"/>
          <w:szCs w:val="20"/>
          <w:color w:val="auto"/>
        </w:rPr>
      </w:pPr>
    </w:p>
    <w:p>
      <w:pPr>
        <w:ind w:left="440" w:right="60"/>
        <w:spacing w:after="0" w:line="239" w:lineRule="auto"/>
        <w:rPr>
          <w:sz w:val="20"/>
          <w:szCs w:val="20"/>
          <w:color w:val="auto"/>
        </w:rPr>
      </w:pPr>
      <w:r>
        <w:rPr>
          <w:rFonts w:ascii="Arial" w:cs="Arial" w:eastAsia="Arial" w:hAnsi="Arial"/>
          <w:sz w:val="17"/>
          <w:szCs w:val="17"/>
          <w:color w:val="auto"/>
        </w:rPr>
        <w:t>The Committee approves all equity awards made to our directors and executive officers. The exercise price of any option grant is determined by reference to the fair market value of the shares on the grant date, which the 2006 Equity Incentive Plan and 2017 Omnibus Incentive Plan define as the closing sales price of our common stock on the NYSE on the previous trading day.</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Stock Ownership Guidelines</w:t>
      </w:r>
    </w:p>
    <w:p>
      <w:pPr>
        <w:spacing w:after="0" w:line="218" w:lineRule="exact"/>
        <w:rPr>
          <w:sz w:val="20"/>
          <w:szCs w:val="20"/>
          <w:color w:val="auto"/>
        </w:rPr>
      </w:pPr>
    </w:p>
    <w:p>
      <w:pPr>
        <w:ind w:left="440" w:right="20"/>
        <w:spacing w:after="0" w:line="237" w:lineRule="auto"/>
        <w:rPr>
          <w:sz w:val="20"/>
          <w:szCs w:val="20"/>
          <w:color w:val="auto"/>
        </w:rPr>
      </w:pPr>
      <w:r>
        <w:rPr>
          <w:rFonts w:ascii="Arial" w:cs="Arial" w:eastAsia="Arial" w:hAnsi="Arial"/>
          <w:sz w:val="17"/>
          <w:szCs w:val="17"/>
          <w:color w:val="auto"/>
        </w:rPr>
        <w:t>We encourage our employees to own our stock so that they are motivated to maximize our long-term performance and stock value. Under our established stock ownership guidelines, our named executive officers are required to accumulate and maintain stock holdings in an amount of our stock with a value at least equal to five times their base salary. Because they must hold all after-tax shares acquired under our equity incentive programs until they meet this ownership requirement, which we expect will take several years, we do not have specific time-based holding periods following the exercise of stock options or vesting of other equity awards.</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Policy on Hedging and Short-Term or Speculative Transactions</w:t>
      </w:r>
    </w:p>
    <w:p>
      <w:pPr>
        <w:spacing w:after="0" w:line="218" w:lineRule="exact"/>
        <w:rPr>
          <w:sz w:val="20"/>
          <w:szCs w:val="20"/>
          <w:color w:val="auto"/>
        </w:rPr>
      </w:pPr>
    </w:p>
    <w:p>
      <w:pPr>
        <w:ind w:left="440" w:right="100"/>
        <w:spacing w:after="0" w:line="235" w:lineRule="auto"/>
        <w:rPr>
          <w:sz w:val="20"/>
          <w:szCs w:val="20"/>
          <w:color w:val="auto"/>
        </w:rPr>
      </w:pPr>
      <w:r>
        <w:rPr>
          <w:rFonts w:ascii="Arial" w:cs="Arial" w:eastAsia="Arial" w:hAnsi="Arial"/>
          <w:sz w:val="17"/>
          <w:szCs w:val="17"/>
          <w:color w:val="auto"/>
        </w:rPr>
        <w:t>We have established policies applicable to all designated insiders under our Insider Trading Policy, including all of our directors and executive officers, that prohibit certain short-term or speculative transactions in our securities. We believe that these prohibited transactions carry a greater risk of liability for insider trading violations and may create an appearance of impropriety. With respect to our securities, our directors, executive officers and other designated insiders are prohibited from engaging in any short sales or any trading in puts, calls or other derivatives on an exchange or other organized market. They are also prohibited from engaging in hedging or other monetization transactions such as cashless collars, forward contracts, equity swaps or similar transactions involving our securities, and from holding company securities in a margin account or pledging securities as collateral for a loan. In addition, our executive officers are required to obtain preclearance for all transactions in our securities.</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Compensation Recoupment Policy</w:t>
      </w:r>
    </w:p>
    <w:p>
      <w:pPr>
        <w:spacing w:after="0" w:line="218" w:lineRule="exact"/>
        <w:rPr>
          <w:sz w:val="20"/>
          <w:szCs w:val="20"/>
          <w:color w:val="auto"/>
        </w:rPr>
      </w:pPr>
    </w:p>
    <w:p>
      <w:pPr>
        <w:ind w:left="440" w:right="60"/>
        <w:spacing w:after="0" w:line="237" w:lineRule="auto"/>
        <w:rPr>
          <w:sz w:val="20"/>
          <w:szCs w:val="20"/>
          <w:color w:val="auto"/>
        </w:rPr>
      </w:pPr>
      <w:r>
        <w:rPr>
          <w:rFonts w:ascii="Arial" w:cs="Arial" w:eastAsia="Arial" w:hAnsi="Arial"/>
          <w:sz w:val="17"/>
          <w:szCs w:val="17"/>
          <w:color w:val="auto"/>
        </w:rPr>
        <w:t>Under our compensation recoupment policy, the Committee may require members of senior management to return incentive compensation if there is a material restatement of the financial results upon which the incentive compensation was originally based. Our recoupment policy includes both cash and equity forms of incentive compensation. If the Committee determines that recovery is appropriate, the company will seek repayment of the difference between the incentive compensation paid and the incentive compensation that would have been paid, if any, based on the restated financial results.</w:t>
      </w:r>
    </w:p>
    <w:p>
      <w:pPr>
        <w:spacing w:after="0" w:line="112" w:lineRule="exact"/>
        <w:rPr>
          <w:sz w:val="20"/>
          <w:szCs w:val="20"/>
          <w:color w:val="auto"/>
        </w:r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30</w:t>
        <w:tab/>
        <w:t>|</w:t>
        <w:tab/>
        <w:t>2020 Proxy Statement</w:t>
      </w:r>
    </w:p>
    <w:p>
      <w:pPr>
        <w:sectPr>
          <w:pgSz w:w="11900" w:h="16838" w:orient="portrait"/>
          <w:cols w:equalWidth="0" w:num="1">
            <w:col w:w="10800"/>
          </w:cols>
          <w:pgMar w:left="320" w:top="441" w:right="779" w:bottom="1440" w:gutter="0" w:footer="0" w:header="0"/>
          <w:type w:val="continuous"/>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93" w:lineRule="exact"/>
        <w:rPr>
          <w:sz w:val="20"/>
          <w:szCs w:val="20"/>
          <w:color w:val="auto"/>
        </w:rPr>
      </w:pPr>
    </w:p>
    <w:p>
      <w:pPr>
        <w:jc w:val="both"/>
        <w:ind w:left="440"/>
        <w:spacing w:after="0" w:line="239" w:lineRule="auto"/>
        <w:rPr>
          <w:sz w:val="20"/>
          <w:szCs w:val="20"/>
          <w:color w:val="auto"/>
        </w:rPr>
      </w:pPr>
      <w:r>
        <w:rPr>
          <w:rFonts w:ascii="Arial" w:cs="Arial" w:eastAsia="Arial" w:hAnsi="Arial"/>
          <w:sz w:val="17"/>
          <w:szCs w:val="17"/>
          <w:color w:val="auto"/>
        </w:rPr>
        <w:t>The policy also provides for recovery of incentive compensation from any employee involved in fraud or intentional misconduct, whether or not it results in a restatement of our financial results. In such a situation, the Committee would exercise its business judgment to determine what action it believes is appropriate under the circumstances.</w:t>
      </w:r>
    </w:p>
    <w:p>
      <w:pPr>
        <w:spacing w:after="0" w:line="191" w:lineRule="exact"/>
        <w:rPr>
          <w:sz w:val="20"/>
          <w:szCs w:val="20"/>
          <w:color w:val="auto"/>
        </w:rPr>
      </w:pPr>
    </w:p>
    <w:p>
      <w:pPr>
        <w:ind w:left="440" w:right="220"/>
        <w:spacing w:after="0" w:line="237" w:lineRule="auto"/>
        <w:rPr>
          <w:sz w:val="20"/>
          <w:szCs w:val="20"/>
          <w:color w:val="auto"/>
        </w:rPr>
      </w:pPr>
      <w:r>
        <w:rPr>
          <w:rFonts w:ascii="Arial" w:cs="Arial" w:eastAsia="Arial" w:hAnsi="Arial"/>
          <w:sz w:val="17"/>
          <w:szCs w:val="17"/>
          <w:color w:val="auto"/>
        </w:rPr>
        <w:t>We may seek to recover the applicable amount of compensation from incentive compensation paid or awarded after the adoption of the policy, from future payments of incentive compensation, cancellation of outstanding equity awards and reduction in or cancellation of future equity awards. In cases of fraud or misconduct, we may also seek recovery from incentive compensation paid or awarded prior to the adoption of the policy.</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Post-Employment Benefits</w:t>
      </w:r>
    </w:p>
    <w:p>
      <w:pPr>
        <w:spacing w:after="0" w:line="218" w:lineRule="exact"/>
        <w:rPr>
          <w:sz w:val="20"/>
          <w:szCs w:val="20"/>
          <w:color w:val="auto"/>
        </w:rPr>
      </w:pPr>
    </w:p>
    <w:p>
      <w:pPr>
        <w:ind w:left="440" w:right="200"/>
        <w:spacing w:after="0" w:line="243" w:lineRule="auto"/>
        <w:rPr>
          <w:sz w:val="20"/>
          <w:szCs w:val="20"/>
          <w:color w:val="auto"/>
        </w:rPr>
      </w:pPr>
      <w:r>
        <w:rPr>
          <w:rFonts w:ascii="Arial" w:cs="Arial" w:eastAsia="Arial" w:hAnsi="Arial"/>
          <w:sz w:val="17"/>
          <w:szCs w:val="17"/>
          <w:color w:val="auto"/>
        </w:rPr>
        <w:t>We do not maintain a defined benefit or other supplemental retirement plan that would entitle our executive officers to receive company-funded payments if they leave the company.</w:t>
      </w:r>
    </w:p>
    <w:p>
      <w:pPr>
        <w:spacing w:after="0" w:line="189" w:lineRule="exact"/>
        <w:rPr>
          <w:sz w:val="20"/>
          <w:szCs w:val="20"/>
          <w:color w:val="auto"/>
        </w:rPr>
      </w:pPr>
    </w:p>
    <w:p>
      <w:pPr>
        <w:ind w:left="440"/>
        <w:spacing w:after="0" w:line="252" w:lineRule="auto"/>
        <w:rPr>
          <w:sz w:val="20"/>
          <w:szCs w:val="20"/>
          <w:color w:val="auto"/>
        </w:rPr>
      </w:pPr>
      <w:r>
        <w:rPr>
          <w:rFonts w:ascii="Arial" w:cs="Arial" w:eastAsia="Arial" w:hAnsi="Arial"/>
          <w:sz w:val="16"/>
          <w:szCs w:val="16"/>
          <w:color w:val="auto"/>
        </w:rPr>
        <w:t>Upon certain terminations of employment, including death, disability, retirement or a change in control, our named executive officers may be eligible for continued vesting of equity awards on the normal schedule or accelerated vesting in full or on a pro-rata basis, depending on the nature of event and the type of award. The purpose of these provisions is to recognize the executive’s service through the specified event, and, in the case of acceleration, the executive’s loss of an opportunity to continue serving the company through the vesting period. Because these termination provisions are contained in our standard award agreements for all recipients and relate to previously granted or earned awards, we do not consider these potential termination benefits as a separate item in compensation decisions for our named executive officers. Our long-term incentive plans do not provide for additional benefits or tax gross-ups. For more information about potential post-employment benefits, see “Executive Compensation—Potential Payments Upon Termination or a Change in Control.”</w:t>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Potential Change in Control and Severance Benefits</w:t>
      </w:r>
    </w:p>
    <w:p>
      <w:pPr>
        <w:spacing w:after="0" w:line="218" w:lineRule="exact"/>
        <w:rPr>
          <w:sz w:val="20"/>
          <w:szCs w:val="20"/>
          <w:color w:val="auto"/>
        </w:rPr>
      </w:pPr>
    </w:p>
    <w:p>
      <w:pPr>
        <w:ind w:left="440" w:right="60"/>
        <w:spacing w:after="0" w:line="236" w:lineRule="auto"/>
        <w:rPr>
          <w:sz w:val="20"/>
          <w:szCs w:val="20"/>
          <w:color w:val="auto"/>
        </w:rPr>
      </w:pPr>
      <w:r>
        <w:rPr>
          <w:rFonts w:ascii="Arial" w:cs="Arial" w:eastAsia="Arial" w:hAnsi="Arial"/>
          <w:sz w:val="17"/>
          <w:szCs w:val="17"/>
          <w:color w:val="auto"/>
        </w:rPr>
        <w:t>We have adopted a severance plan that would provide our executive officers with payments and benefits if their employment is involuntarily terminated by the company or is terminated following an acquisition of our company. These severance benefits are further described in this Proxy Statement under “Executive Compensation—Potential Payments Upon Termination or a Change in Control.” We believe that our severance plan provides an important benefit to us by helping alleviate any concern the executive officers might have when contemplating a potential change in control of our company and permitting them to focus their attention on our business. In addition, we believe that this plan is an important recruiting and retention tool, as many of the companies with which we compete for talent have similar arrangements in place for their senior management.</w:t>
      </w:r>
    </w:p>
    <w:p>
      <w:pPr>
        <w:spacing w:after="0" w:line="192" w:lineRule="exact"/>
        <w:rPr>
          <w:sz w:val="20"/>
          <w:szCs w:val="20"/>
          <w:color w:val="auto"/>
        </w:rPr>
      </w:pPr>
    </w:p>
    <w:p>
      <w:pPr>
        <w:ind w:left="440" w:right="80"/>
        <w:spacing w:after="0" w:line="235" w:lineRule="auto"/>
        <w:rPr>
          <w:sz w:val="20"/>
          <w:szCs w:val="20"/>
          <w:color w:val="auto"/>
        </w:rPr>
      </w:pPr>
      <w:r>
        <w:rPr>
          <w:rFonts w:ascii="Arial" w:cs="Arial" w:eastAsia="Arial" w:hAnsi="Arial"/>
          <w:sz w:val="17"/>
          <w:szCs w:val="17"/>
          <w:color w:val="auto"/>
        </w:rPr>
        <w:t>Our named executive officers, other than Mr. Krone, do not have any employment agreements with us. Mr. Krone’s employment agreement provides that if his employment is terminated by us for reasons other than cause or by Mr. Krone for good reason, he would receive an amount equal to one times the sum of his base salary and target bonus. Such payment will be subject to Mr. Krone’s agreement to release us from any claims. However, if such termination is within three months prior to a change in control or within 24 months after a change in control, Mr. Krone would receive an amount equal to a maximum of two and one half times the sum of his base salary and target bonus and payment for certain benefits, depending on whether the termination occurs during a change in control period. The Committee approved these severance benefits after considering the potential costs, as an inducement for Mr. Krone to join the company.</w:t>
      </w:r>
    </w:p>
    <w:p>
      <w:pPr>
        <w:spacing w:after="0" w:line="197" w:lineRule="exact"/>
        <w:rPr>
          <w:sz w:val="20"/>
          <w:szCs w:val="20"/>
          <w:color w:val="auto"/>
        </w:rPr>
      </w:pPr>
    </w:p>
    <w:p>
      <w:pPr>
        <w:ind w:left="440" w:right="40"/>
        <w:spacing w:after="0" w:line="239" w:lineRule="auto"/>
        <w:rPr>
          <w:sz w:val="20"/>
          <w:szCs w:val="20"/>
          <w:color w:val="auto"/>
        </w:rPr>
      </w:pPr>
      <w:r>
        <w:rPr>
          <w:rFonts w:ascii="Arial" w:cs="Arial" w:eastAsia="Arial" w:hAnsi="Arial"/>
          <w:sz w:val="17"/>
          <w:szCs w:val="17"/>
          <w:color w:val="auto"/>
        </w:rPr>
        <w:t>We have described the change in control and other termination benefits offered to Mr. Krone and our other named executive officers in the section entitled “Executive Compensation—Potential Payments Upon Termination or a Change in Control” in the tables following this CD&amp;A.</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Tax Deductibility of Executive Compensation</w:t>
      </w:r>
    </w:p>
    <w:p>
      <w:pPr>
        <w:spacing w:after="0" w:line="218" w:lineRule="exact"/>
        <w:rPr>
          <w:sz w:val="20"/>
          <w:szCs w:val="20"/>
          <w:color w:val="auto"/>
        </w:rPr>
      </w:pPr>
    </w:p>
    <w:p>
      <w:pPr>
        <w:ind w:left="440" w:right="160"/>
        <w:spacing w:after="0" w:line="237" w:lineRule="auto"/>
        <w:rPr>
          <w:sz w:val="20"/>
          <w:szCs w:val="20"/>
          <w:color w:val="auto"/>
        </w:rPr>
      </w:pPr>
      <w:r>
        <w:rPr>
          <w:rFonts w:ascii="Arial" w:cs="Arial" w:eastAsia="Arial" w:hAnsi="Arial"/>
          <w:sz w:val="17"/>
          <w:szCs w:val="17"/>
          <w:color w:val="auto"/>
        </w:rPr>
        <w:t>Section 162(m) of the Internal Revenue Code, as amended by the Tax Cuts and Jobs Act of 2017, generally limits the deductibility of certain compensation in excess of $1 million paid in any one year to the Chief Executive Officer, the Chief Financial Officer and the three other most highly compensated named executive officers. Prior to the amendment, qualified performance-based compensation was not subject to this deduction limit if certain requirements were met. Under the Tax</w:t>
      </w:r>
    </w:p>
    <w:p>
      <w:pPr>
        <w:spacing w:after="0" w:line="115"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31</w:t>
      </w:r>
    </w:p>
    <w:p>
      <w:pPr>
        <w:sectPr>
          <w:pgSz w:w="11900" w:h="16838" w:orient="portrait"/>
          <w:cols w:equalWidth="0" w:num="1">
            <w:col w:w="10800"/>
          </w:cols>
          <w:pgMar w:left="320" w:top="441" w:right="77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93" w:lineRule="exact"/>
        <w:rPr>
          <w:sz w:val="20"/>
          <w:szCs w:val="20"/>
          <w:color w:val="auto"/>
        </w:rPr>
      </w:pPr>
    </w:p>
    <w:p>
      <w:pPr>
        <w:jc w:val="both"/>
        <w:ind w:left="440" w:right="720"/>
        <w:spacing w:after="0" w:line="239" w:lineRule="auto"/>
        <w:rPr>
          <w:sz w:val="20"/>
          <w:szCs w:val="20"/>
          <w:color w:val="auto"/>
        </w:rPr>
      </w:pPr>
      <w:r>
        <w:rPr>
          <w:rFonts w:ascii="Arial" w:cs="Arial" w:eastAsia="Arial" w:hAnsi="Arial"/>
          <w:sz w:val="17"/>
          <w:szCs w:val="17"/>
          <w:color w:val="auto"/>
        </w:rPr>
        <w:t>Cuts and Jobs Act of 2017, the performance-based exception has been repealed. The new rules generally apply to taxable years beginning after December 31, 2017, but do not apply to compensation provided pursuant to a written binding contract in effect on November 2, 2017 that is not modified in any material respect after that date.</w:t>
      </w:r>
    </w:p>
    <w:p>
      <w:pPr>
        <w:spacing w:after="0" w:line="191" w:lineRule="exact"/>
        <w:rPr>
          <w:sz w:val="20"/>
          <w:szCs w:val="20"/>
          <w:color w:val="auto"/>
        </w:rPr>
      </w:pPr>
    </w:p>
    <w:p>
      <w:pPr>
        <w:ind w:left="440"/>
        <w:spacing w:after="0" w:line="239" w:lineRule="auto"/>
        <w:rPr>
          <w:sz w:val="20"/>
          <w:szCs w:val="20"/>
          <w:color w:val="auto"/>
        </w:rPr>
      </w:pPr>
      <w:r>
        <w:rPr>
          <w:rFonts w:ascii="Arial" w:cs="Arial" w:eastAsia="Arial" w:hAnsi="Arial"/>
          <w:sz w:val="17"/>
          <w:szCs w:val="17"/>
          <w:color w:val="auto"/>
        </w:rPr>
        <w:t>We do not expect the disallowance of a deduction for compensation paid to our named executive officers in excess of $1 million as a result of these changes to Section 162(m) to significantly alter our compensation programs. The Committee considers it important to design compensation programs that are in the best long-term interests of our company and our stockholders.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Human Resources and Compensation Committee Report</w:t>
      </w:r>
    </w:p>
    <w:p>
      <w:pPr>
        <w:spacing w:after="0" w:line="218" w:lineRule="exact"/>
        <w:rPr>
          <w:sz w:val="20"/>
          <w:szCs w:val="20"/>
          <w:color w:val="auto"/>
        </w:rPr>
      </w:pPr>
    </w:p>
    <w:p>
      <w:pPr>
        <w:ind w:left="440" w:right="260"/>
        <w:spacing w:after="0" w:line="239" w:lineRule="auto"/>
        <w:rPr>
          <w:sz w:val="20"/>
          <w:szCs w:val="20"/>
          <w:color w:val="auto"/>
        </w:rPr>
      </w:pPr>
      <w:r>
        <w:rPr>
          <w:rFonts w:ascii="Arial" w:cs="Arial" w:eastAsia="Arial" w:hAnsi="Arial"/>
          <w:sz w:val="17"/>
          <w:szCs w:val="17"/>
          <w:color w:val="auto"/>
        </w:rPr>
        <w:t>The Human Resources and Compensation Committee has reviewed and discussed with our management the CD&amp;A included in this Proxy Statement. Based upon this review and discussion, the Committee recommended to the Board that the CD&amp;A be included in this Proxy Statement.</w:t>
      </w:r>
    </w:p>
    <w:p>
      <w:pPr>
        <w:spacing w:after="0" w:line="186"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Gregory R. Dahlberg</w:t>
      </w:r>
    </w:p>
    <w:p>
      <w:pPr>
        <w:ind w:left="1660"/>
        <w:spacing w:after="0" w:line="234" w:lineRule="auto"/>
        <w:rPr>
          <w:sz w:val="20"/>
          <w:szCs w:val="20"/>
          <w:color w:val="auto"/>
        </w:rPr>
      </w:pPr>
      <w:r>
        <w:rPr>
          <w:rFonts w:ascii="Arial" w:cs="Arial" w:eastAsia="Arial" w:hAnsi="Arial"/>
          <w:sz w:val="17"/>
          <w:szCs w:val="17"/>
          <w:color w:val="auto"/>
        </w:rPr>
        <w:t>David G. Fubini</w:t>
      </w:r>
    </w:p>
    <w:p>
      <w:pPr>
        <w:ind w:left="1660"/>
        <w:spacing w:after="0" w:line="234" w:lineRule="auto"/>
        <w:rPr>
          <w:sz w:val="20"/>
          <w:szCs w:val="20"/>
          <w:color w:val="auto"/>
        </w:rPr>
      </w:pPr>
      <w:r>
        <w:rPr>
          <w:rFonts w:ascii="Arial" w:cs="Arial" w:eastAsia="Arial" w:hAnsi="Arial"/>
          <w:sz w:val="17"/>
          <w:szCs w:val="17"/>
          <w:color w:val="auto"/>
        </w:rPr>
        <w:t>Robert C. Kovarik, Jr.</w:t>
      </w:r>
    </w:p>
    <w:p>
      <w:pPr>
        <w:ind w:left="1660"/>
        <w:spacing w:after="0" w:line="234" w:lineRule="auto"/>
        <w:rPr>
          <w:sz w:val="20"/>
          <w:szCs w:val="20"/>
          <w:color w:val="auto"/>
        </w:rPr>
      </w:pPr>
      <w:r>
        <w:rPr>
          <w:rFonts w:ascii="Arial" w:cs="Arial" w:eastAsia="Arial" w:hAnsi="Arial"/>
          <w:sz w:val="17"/>
          <w:szCs w:val="17"/>
          <w:color w:val="auto"/>
        </w:rPr>
        <w:t>Gary S. May</w:t>
      </w:r>
    </w:p>
    <w:p>
      <w:pPr>
        <w:ind w:left="1660"/>
        <w:spacing w:after="0" w:line="234" w:lineRule="auto"/>
        <w:rPr>
          <w:sz w:val="20"/>
          <w:szCs w:val="20"/>
          <w:color w:val="auto"/>
        </w:rPr>
      </w:pPr>
      <w:r>
        <w:rPr>
          <w:rFonts w:ascii="Arial" w:cs="Arial" w:eastAsia="Arial" w:hAnsi="Arial"/>
          <w:sz w:val="17"/>
          <w:szCs w:val="17"/>
          <w:color w:val="auto"/>
        </w:rPr>
        <w:t>Surya N. Mohapatra</w:t>
      </w:r>
    </w:p>
    <w:p>
      <w:pPr>
        <w:ind w:left="1660"/>
        <w:spacing w:after="0"/>
        <w:rPr>
          <w:sz w:val="20"/>
          <w:szCs w:val="20"/>
          <w:color w:val="auto"/>
        </w:rPr>
      </w:pPr>
      <w:r>
        <w:rPr>
          <w:rFonts w:ascii="Arial" w:cs="Arial" w:eastAsia="Arial" w:hAnsi="Arial"/>
          <w:sz w:val="17"/>
          <w:szCs w:val="17"/>
          <w:color w:val="auto"/>
        </w:rPr>
        <w:t>Noel B. Williams (Chair)</w:t>
      </w:r>
    </w:p>
    <w:p>
      <w:pPr>
        <w:spacing w:after="0" w:line="119" w:lineRule="exact"/>
        <w:rPr>
          <w:sz w:val="20"/>
          <w:szCs w:val="20"/>
          <w:color w:val="auto"/>
        </w:r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32</w:t>
        <w:tab/>
        <w:t>|</w:t>
        <w:tab/>
        <w:t>2020 Proxy Statement</w:t>
      </w:r>
    </w:p>
    <w:p>
      <w:pPr>
        <w:sectPr>
          <w:pgSz w:w="11900" w:h="16838" w:orient="portrait"/>
          <w:cols w:equalWidth="0" w:num="1">
            <w:col w:w="10800"/>
          </w:cols>
          <w:pgMar w:left="320" w:top="441" w:right="77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Summary Compensation Table</w:t>
      </w:r>
    </w:p>
    <w:p>
      <w:pPr>
        <w:spacing w:after="0" w:line="117" w:lineRule="exact"/>
        <w:rPr>
          <w:sz w:val="20"/>
          <w:szCs w:val="20"/>
          <w:color w:val="auto"/>
        </w:rPr>
      </w:pPr>
    </w:p>
    <w:p>
      <w:pPr>
        <w:ind w:left="440" w:right="280"/>
        <w:spacing w:after="0" w:line="243" w:lineRule="auto"/>
        <w:rPr>
          <w:sz w:val="20"/>
          <w:szCs w:val="20"/>
          <w:color w:val="auto"/>
        </w:rPr>
      </w:pPr>
      <w:r>
        <w:rPr>
          <w:rFonts w:ascii="Arial" w:cs="Arial" w:eastAsia="Arial" w:hAnsi="Arial"/>
          <w:sz w:val="17"/>
          <w:szCs w:val="17"/>
          <w:color w:val="auto"/>
        </w:rPr>
        <w:t>The following table sets forth information regarding compensation earned by our named executive officers for service to us during fiscal 2019 and, if applicable, fiscal 2018 and fiscal 2017:</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483E65"/>
              </w:rPr>
              <w:t>Non-equity</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52"/>
        </w:trPr>
        <w:tc>
          <w:tcPr>
            <w:tcW w:w="3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ind w:left="100"/>
              <w:spacing w:after="0" w:line="153" w:lineRule="exact"/>
              <w:rPr>
                <w:sz w:val="20"/>
                <w:szCs w:val="20"/>
                <w:color w:val="auto"/>
              </w:rPr>
            </w:pPr>
            <w:r>
              <w:rPr>
                <w:rFonts w:ascii="Arial" w:cs="Arial" w:eastAsia="Arial" w:hAnsi="Arial"/>
                <w:sz w:val="14"/>
                <w:szCs w:val="14"/>
                <w:color w:val="483E65"/>
              </w:rPr>
              <w:t>incentive</w:t>
            </w: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2"/>
        </w:trPr>
        <w:tc>
          <w:tcPr>
            <w:tcW w:w="3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ind w:left="100"/>
              <w:spacing w:after="0" w:line="153" w:lineRule="exact"/>
              <w:rPr>
                <w:sz w:val="20"/>
                <w:szCs w:val="20"/>
                <w:color w:val="auto"/>
              </w:rPr>
            </w:pPr>
            <w:r>
              <w:rPr>
                <w:rFonts w:ascii="Arial" w:cs="Arial" w:eastAsia="Arial" w:hAnsi="Arial"/>
                <w:sz w:val="14"/>
                <w:szCs w:val="14"/>
                <w:color w:val="483E65"/>
              </w:rPr>
              <w:t>plan</w:t>
            </w:r>
          </w:p>
        </w:tc>
        <w:tc>
          <w:tcPr>
            <w:tcW w:w="920" w:type="dxa"/>
            <w:vAlign w:val="bottom"/>
          </w:tcPr>
          <w:p>
            <w:pPr>
              <w:ind w:left="120"/>
              <w:spacing w:after="0" w:line="153" w:lineRule="exact"/>
              <w:rPr>
                <w:sz w:val="20"/>
                <w:szCs w:val="20"/>
                <w:color w:val="auto"/>
              </w:rPr>
            </w:pPr>
            <w:r>
              <w:rPr>
                <w:rFonts w:ascii="Arial" w:cs="Arial" w:eastAsia="Arial" w:hAnsi="Arial"/>
                <w:sz w:val="14"/>
                <w:szCs w:val="14"/>
                <w:color w:val="483E65"/>
              </w:rPr>
              <w:t>All other</w:t>
            </w:r>
          </w:p>
        </w:tc>
        <w:tc>
          <w:tcPr>
            <w:tcW w:w="860" w:type="dxa"/>
            <w:vAlign w:val="bottom"/>
          </w:tcPr>
          <w:p>
            <w:pPr>
              <w:spacing w:after="0"/>
              <w:rPr>
                <w:sz w:val="13"/>
                <w:szCs w:val="13"/>
                <w:color w:val="auto"/>
              </w:rPr>
            </w:pPr>
          </w:p>
        </w:tc>
      </w:tr>
      <w:tr>
        <w:trPr>
          <w:trHeight w:val="145"/>
        </w:trPr>
        <w:tc>
          <w:tcPr>
            <w:tcW w:w="3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ind w:left="120"/>
              <w:spacing w:after="0" w:line="145" w:lineRule="exact"/>
              <w:rPr>
                <w:sz w:val="20"/>
                <w:szCs w:val="20"/>
                <w:color w:val="auto"/>
              </w:rPr>
            </w:pPr>
            <w:r>
              <w:rPr>
                <w:rFonts w:ascii="Arial" w:cs="Arial" w:eastAsia="Arial" w:hAnsi="Arial"/>
                <w:sz w:val="14"/>
                <w:szCs w:val="14"/>
                <w:color w:val="483E65"/>
              </w:rPr>
              <w:t>Stock</w:t>
            </w:r>
          </w:p>
        </w:tc>
        <w:tc>
          <w:tcPr>
            <w:tcW w:w="960" w:type="dxa"/>
            <w:vAlign w:val="bottom"/>
          </w:tcPr>
          <w:p>
            <w:pPr>
              <w:ind w:left="100"/>
              <w:spacing w:after="0" w:line="145" w:lineRule="exact"/>
              <w:rPr>
                <w:sz w:val="20"/>
                <w:szCs w:val="20"/>
                <w:color w:val="auto"/>
              </w:rPr>
            </w:pPr>
            <w:r>
              <w:rPr>
                <w:rFonts w:ascii="Arial" w:cs="Arial" w:eastAsia="Arial" w:hAnsi="Arial"/>
                <w:sz w:val="14"/>
                <w:szCs w:val="14"/>
                <w:color w:val="483E65"/>
              </w:rPr>
              <w:t>Option</w:t>
            </w:r>
          </w:p>
        </w:tc>
        <w:tc>
          <w:tcPr>
            <w:tcW w:w="880" w:type="dxa"/>
            <w:vAlign w:val="bottom"/>
          </w:tcPr>
          <w:p>
            <w:pPr>
              <w:ind w:left="100"/>
              <w:spacing w:after="0" w:line="145" w:lineRule="exact"/>
              <w:rPr>
                <w:sz w:val="20"/>
                <w:szCs w:val="20"/>
                <w:color w:val="auto"/>
              </w:rPr>
            </w:pPr>
            <w:r>
              <w:rPr>
                <w:rFonts w:ascii="Arial" w:cs="Arial" w:eastAsia="Arial" w:hAnsi="Arial"/>
                <w:sz w:val="14"/>
                <w:szCs w:val="14"/>
                <w:color w:val="483E65"/>
              </w:rPr>
              <w:t>compen-</w:t>
            </w:r>
          </w:p>
        </w:tc>
        <w:tc>
          <w:tcPr>
            <w:tcW w:w="920" w:type="dxa"/>
            <w:vAlign w:val="bottom"/>
          </w:tcPr>
          <w:p>
            <w:pPr>
              <w:ind w:left="120"/>
              <w:spacing w:after="0" w:line="145" w:lineRule="exact"/>
              <w:rPr>
                <w:sz w:val="20"/>
                <w:szCs w:val="20"/>
                <w:color w:val="auto"/>
              </w:rPr>
            </w:pPr>
            <w:r>
              <w:rPr>
                <w:rFonts w:ascii="Arial" w:cs="Arial" w:eastAsia="Arial" w:hAnsi="Arial"/>
                <w:sz w:val="14"/>
                <w:szCs w:val="14"/>
                <w:color w:val="483E65"/>
              </w:rPr>
              <w:t>compen-</w:t>
            </w:r>
          </w:p>
        </w:tc>
        <w:tc>
          <w:tcPr>
            <w:tcW w:w="860" w:type="dxa"/>
            <w:vAlign w:val="bottom"/>
          </w:tcPr>
          <w:p>
            <w:pPr>
              <w:spacing w:after="0"/>
              <w:rPr>
                <w:sz w:val="12"/>
                <w:szCs w:val="12"/>
                <w:color w:val="auto"/>
              </w:rPr>
            </w:pPr>
          </w:p>
        </w:tc>
      </w:tr>
      <w:tr>
        <w:trPr>
          <w:trHeight w:val="168"/>
        </w:trPr>
        <w:tc>
          <w:tcPr>
            <w:tcW w:w="3440" w:type="dxa"/>
            <w:vAlign w:val="bottom"/>
            <w:tcBorders>
              <w:bottom w:val="single" w:sz="8" w:color="483E65"/>
            </w:tcBorders>
          </w:tcPr>
          <w:p>
            <w:pPr>
              <w:ind w:left="80"/>
              <w:spacing w:after="0"/>
              <w:rPr>
                <w:sz w:val="20"/>
                <w:szCs w:val="20"/>
                <w:color w:val="auto"/>
              </w:rPr>
            </w:pPr>
            <w:r>
              <w:rPr>
                <w:rFonts w:ascii="Arial" w:cs="Arial" w:eastAsia="Arial" w:hAnsi="Arial"/>
                <w:sz w:val="14"/>
                <w:szCs w:val="14"/>
                <w:color w:val="483E65"/>
              </w:rPr>
              <w:t>Name and principal position</w:t>
            </w:r>
          </w:p>
        </w:tc>
        <w:tc>
          <w:tcPr>
            <w:tcW w:w="740" w:type="dxa"/>
            <w:vAlign w:val="bottom"/>
            <w:tcBorders>
              <w:bottom w:val="single" w:sz="8" w:color="483E65"/>
            </w:tcBorders>
          </w:tcPr>
          <w:p>
            <w:pPr>
              <w:jc w:val="right"/>
              <w:ind w:right="73"/>
              <w:spacing w:after="0" w:line="168" w:lineRule="exact"/>
              <w:rPr>
                <w:sz w:val="20"/>
                <w:szCs w:val="20"/>
                <w:color w:val="auto"/>
              </w:rPr>
            </w:pPr>
            <w:r>
              <w:rPr>
                <w:rFonts w:ascii="Arial" w:cs="Arial" w:eastAsia="Arial" w:hAnsi="Arial"/>
                <w:sz w:val="12"/>
                <w:szCs w:val="12"/>
                <w:color w:val="483E65"/>
              </w:rPr>
              <w:t>Year</w:t>
            </w:r>
            <w:r>
              <w:rPr>
                <w:rFonts w:ascii="Arial" w:cs="Arial" w:eastAsia="Arial" w:hAnsi="Arial"/>
                <w:sz w:val="19"/>
                <w:szCs w:val="19"/>
                <w:color w:val="483E65"/>
                <w:vertAlign w:val="superscript"/>
              </w:rPr>
              <w:t>(1)</w:t>
            </w:r>
          </w:p>
        </w:tc>
        <w:tc>
          <w:tcPr>
            <w:tcW w:w="840" w:type="dxa"/>
            <w:vAlign w:val="bottom"/>
            <w:tcBorders>
              <w:bottom w:val="single" w:sz="8" w:color="483E65"/>
            </w:tcBorders>
          </w:tcPr>
          <w:p>
            <w:pPr>
              <w:jc w:val="right"/>
              <w:ind w:right="92"/>
              <w:spacing w:after="0"/>
              <w:rPr>
                <w:sz w:val="20"/>
                <w:szCs w:val="20"/>
                <w:color w:val="auto"/>
              </w:rPr>
            </w:pPr>
            <w:r>
              <w:rPr>
                <w:rFonts w:ascii="Arial" w:cs="Arial" w:eastAsia="Arial" w:hAnsi="Arial"/>
                <w:sz w:val="14"/>
                <w:szCs w:val="14"/>
                <w:color w:val="483E65"/>
              </w:rPr>
              <w:t>Salary($)</w:t>
            </w:r>
          </w:p>
        </w:tc>
        <w:tc>
          <w:tcPr>
            <w:tcW w:w="760" w:type="dxa"/>
            <w:vAlign w:val="bottom"/>
            <w:tcBorders>
              <w:bottom w:val="single" w:sz="8" w:color="483E65"/>
            </w:tcBorders>
          </w:tcPr>
          <w:p>
            <w:pPr>
              <w:ind w:left="100"/>
              <w:spacing w:after="0"/>
              <w:rPr>
                <w:sz w:val="20"/>
                <w:szCs w:val="20"/>
                <w:color w:val="auto"/>
              </w:rPr>
            </w:pPr>
            <w:r>
              <w:rPr>
                <w:rFonts w:ascii="Arial" w:cs="Arial" w:eastAsia="Arial" w:hAnsi="Arial"/>
                <w:sz w:val="14"/>
                <w:szCs w:val="14"/>
                <w:color w:val="483E65"/>
              </w:rPr>
              <w:t>Bonus($)</w:t>
            </w:r>
          </w:p>
        </w:tc>
        <w:tc>
          <w:tcPr>
            <w:tcW w:w="980" w:type="dxa"/>
            <w:vAlign w:val="bottom"/>
            <w:tcBorders>
              <w:bottom w:val="single" w:sz="8" w:color="483E65"/>
            </w:tcBorders>
          </w:tcPr>
          <w:p>
            <w:pPr>
              <w:ind w:left="120"/>
              <w:spacing w:after="0" w:line="168" w:lineRule="exact"/>
              <w:rPr>
                <w:sz w:val="20"/>
                <w:szCs w:val="20"/>
                <w:color w:val="auto"/>
              </w:rPr>
            </w:pPr>
            <w:r>
              <w:rPr>
                <w:rFonts w:ascii="Arial" w:cs="Arial" w:eastAsia="Arial" w:hAnsi="Arial"/>
                <w:sz w:val="12"/>
                <w:szCs w:val="12"/>
                <w:color w:val="483E65"/>
              </w:rPr>
              <w:t>awards($)</w:t>
            </w:r>
            <w:r>
              <w:rPr>
                <w:rFonts w:ascii="Arial" w:cs="Arial" w:eastAsia="Arial" w:hAnsi="Arial"/>
                <w:sz w:val="19"/>
                <w:szCs w:val="19"/>
                <w:color w:val="483E65"/>
                <w:vertAlign w:val="superscript"/>
              </w:rPr>
              <w:t>(2)</w:t>
            </w:r>
          </w:p>
        </w:tc>
        <w:tc>
          <w:tcPr>
            <w:tcW w:w="960" w:type="dxa"/>
            <w:vAlign w:val="bottom"/>
            <w:tcBorders>
              <w:bottom w:val="single" w:sz="8" w:color="483E65"/>
            </w:tcBorders>
          </w:tcPr>
          <w:p>
            <w:pPr>
              <w:ind w:left="100"/>
              <w:spacing w:after="0" w:line="168" w:lineRule="exact"/>
              <w:rPr>
                <w:sz w:val="20"/>
                <w:szCs w:val="20"/>
                <w:color w:val="auto"/>
              </w:rPr>
            </w:pPr>
            <w:r>
              <w:rPr>
                <w:rFonts w:ascii="Arial" w:cs="Arial" w:eastAsia="Arial" w:hAnsi="Arial"/>
                <w:sz w:val="12"/>
                <w:szCs w:val="12"/>
                <w:color w:val="483E65"/>
              </w:rPr>
              <w:t>awards($)</w:t>
            </w:r>
            <w:r>
              <w:rPr>
                <w:rFonts w:ascii="Arial" w:cs="Arial" w:eastAsia="Arial" w:hAnsi="Arial"/>
                <w:sz w:val="19"/>
                <w:szCs w:val="19"/>
                <w:color w:val="483E65"/>
                <w:vertAlign w:val="superscript"/>
              </w:rPr>
              <w:t>(2)</w:t>
            </w:r>
          </w:p>
        </w:tc>
        <w:tc>
          <w:tcPr>
            <w:tcW w:w="880" w:type="dxa"/>
            <w:vAlign w:val="bottom"/>
            <w:tcBorders>
              <w:bottom w:val="single" w:sz="8" w:color="483E65"/>
            </w:tcBorders>
          </w:tcPr>
          <w:p>
            <w:pPr>
              <w:ind w:left="100"/>
              <w:spacing w:after="0" w:line="168" w:lineRule="exact"/>
              <w:rPr>
                <w:sz w:val="20"/>
                <w:szCs w:val="20"/>
                <w:color w:val="auto"/>
              </w:rPr>
            </w:pPr>
            <w:r>
              <w:rPr>
                <w:rFonts w:ascii="Arial" w:cs="Arial" w:eastAsia="Arial" w:hAnsi="Arial"/>
                <w:sz w:val="12"/>
                <w:szCs w:val="12"/>
                <w:color w:val="483E65"/>
              </w:rPr>
              <w:t>sation($)</w:t>
            </w:r>
            <w:r>
              <w:rPr>
                <w:rFonts w:ascii="Arial" w:cs="Arial" w:eastAsia="Arial" w:hAnsi="Arial"/>
                <w:sz w:val="19"/>
                <w:szCs w:val="19"/>
                <w:color w:val="483E65"/>
                <w:vertAlign w:val="superscript"/>
              </w:rPr>
              <w:t>(3)</w:t>
            </w:r>
          </w:p>
        </w:tc>
        <w:tc>
          <w:tcPr>
            <w:tcW w:w="920" w:type="dxa"/>
            <w:vAlign w:val="bottom"/>
            <w:tcBorders>
              <w:bottom w:val="single" w:sz="8" w:color="483E65"/>
            </w:tcBorders>
          </w:tcPr>
          <w:p>
            <w:pPr>
              <w:ind w:left="120"/>
              <w:spacing w:after="0" w:line="168" w:lineRule="exact"/>
              <w:rPr>
                <w:sz w:val="20"/>
                <w:szCs w:val="20"/>
                <w:color w:val="auto"/>
              </w:rPr>
            </w:pPr>
            <w:r>
              <w:rPr>
                <w:rFonts w:ascii="Arial" w:cs="Arial" w:eastAsia="Arial" w:hAnsi="Arial"/>
                <w:sz w:val="12"/>
                <w:szCs w:val="12"/>
                <w:color w:val="483E65"/>
              </w:rPr>
              <w:t>sation($)</w:t>
            </w:r>
            <w:r>
              <w:rPr>
                <w:rFonts w:ascii="Arial" w:cs="Arial" w:eastAsia="Arial" w:hAnsi="Arial"/>
                <w:sz w:val="19"/>
                <w:szCs w:val="19"/>
                <w:color w:val="483E65"/>
                <w:vertAlign w:val="superscript"/>
              </w:rPr>
              <w:t>(4)</w:t>
            </w:r>
          </w:p>
        </w:tc>
        <w:tc>
          <w:tcPr>
            <w:tcW w:w="860" w:type="dxa"/>
            <w:vAlign w:val="bottom"/>
            <w:tcBorders>
              <w:bottom w:val="single" w:sz="8" w:color="483E65"/>
            </w:tcBorders>
          </w:tcPr>
          <w:p>
            <w:pPr>
              <w:jc w:val="right"/>
              <w:ind w:right="112"/>
              <w:spacing w:after="0"/>
              <w:rPr>
                <w:sz w:val="20"/>
                <w:szCs w:val="20"/>
                <w:color w:val="auto"/>
              </w:rPr>
            </w:pPr>
            <w:r>
              <w:rPr>
                <w:rFonts w:ascii="Arial" w:cs="Arial" w:eastAsia="Arial" w:hAnsi="Arial"/>
                <w:sz w:val="14"/>
                <w:szCs w:val="14"/>
                <w:color w:val="483E65"/>
              </w:rPr>
              <w:t>Total($)</w:t>
            </w:r>
          </w:p>
        </w:tc>
      </w:tr>
      <w:tr>
        <w:trPr>
          <w:trHeight w:val="340"/>
        </w:trPr>
        <w:tc>
          <w:tcPr>
            <w:tcW w:w="3440" w:type="dxa"/>
            <w:vAlign w:val="bottom"/>
          </w:tcPr>
          <w:p>
            <w:pPr>
              <w:ind w:left="80"/>
              <w:spacing w:after="0"/>
              <w:rPr>
                <w:sz w:val="20"/>
                <w:szCs w:val="20"/>
                <w:color w:val="auto"/>
              </w:rPr>
            </w:pPr>
            <w:r>
              <w:rPr>
                <w:rFonts w:ascii="Arial" w:cs="Arial" w:eastAsia="Arial" w:hAnsi="Arial"/>
                <w:sz w:val="14"/>
                <w:szCs w:val="14"/>
                <w:color w:val="auto"/>
              </w:rPr>
              <w:t>Roger A. Krone</w:t>
            </w:r>
          </w:p>
        </w:tc>
        <w:tc>
          <w:tcPr>
            <w:tcW w:w="740" w:type="dxa"/>
            <w:vAlign w:val="bottom"/>
          </w:tcPr>
          <w:p>
            <w:pPr>
              <w:jc w:val="right"/>
              <w:ind w:right="73"/>
              <w:spacing w:after="0"/>
              <w:rPr>
                <w:sz w:val="20"/>
                <w:szCs w:val="20"/>
                <w:color w:val="auto"/>
              </w:rPr>
            </w:pPr>
            <w:r>
              <w:rPr>
                <w:rFonts w:ascii="Arial" w:cs="Arial" w:eastAsia="Arial" w:hAnsi="Arial"/>
                <w:sz w:val="14"/>
                <w:szCs w:val="14"/>
                <w:color w:val="auto"/>
              </w:rPr>
              <w:t>2019</w:t>
            </w: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1,179,327</w:t>
            </w:r>
          </w:p>
        </w:tc>
        <w:tc>
          <w:tcPr>
            <w:tcW w:w="760" w:type="dxa"/>
            <w:vAlign w:val="bottom"/>
          </w:tcPr>
          <w:p>
            <w:pPr>
              <w:ind w:left="5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5,871,934</w:t>
            </w:r>
          </w:p>
        </w:tc>
        <w:tc>
          <w:tcPr>
            <w:tcW w:w="960" w:type="dxa"/>
            <w:vAlign w:val="bottom"/>
          </w:tcPr>
          <w:p>
            <w:pPr>
              <w:jc w:val="right"/>
              <w:ind w:right="33"/>
              <w:spacing w:after="0"/>
              <w:rPr>
                <w:sz w:val="20"/>
                <w:szCs w:val="20"/>
                <w:color w:val="auto"/>
              </w:rPr>
            </w:pPr>
            <w:r>
              <w:rPr>
                <w:rFonts w:ascii="Arial" w:cs="Arial" w:eastAsia="Arial" w:hAnsi="Arial"/>
                <w:sz w:val="14"/>
                <w:szCs w:val="14"/>
                <w:color w:val="auto"/>
              </w:rPr>
              <w:t>1,425,814</w:t>
            </w: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2,178,923</w:t>
            </w:r>
          </w:p>
        </w:tc>
        <w:tc>
          <w:tcPr>
            <w:tcW w:w="920" w:type="dxa"/>
            <w:vAlign w:val="bottom"/>
          </w:tcPr>
          <w:p>
            <w:pPr>
              <w:jc w:val="right"/>
              <w:ind w:right="73"/>
              <w:spacing w:after="0"/>
              <w:rPr>
                <w:sz w:val="20"/>
                <w:szCs w:val="20"/>
                <w:color w:val="auto"/>
              </w:rPr>
            </w:pPr>
            <w:r>
              <w:rPr>
                <w:rFonts w:ascii="Arial" w:cs="Arial" w:eastAsia="Arial" w:hAnsi="Arial"/>
                <w:sz w:val="14"/>
                <w:szCs w:val="14"/>
                <w:color w:val="auto"/>
              </w:rPr>
              <w:t>15,273</w:t>
            </w:r>
          </w:p>
        </w:tc>
        <w:tc>
          <w:tcPr>
            <w:tcW w:w="860" w:type="dxa"/>
            <w:vAlign w:val="bottom"/>
          </w:tcPr>
          <w:p>
            <w:pPr>
              <w:jc w:val="right"/>
              <w:spacing w:after="0"/>
              <w:rPr>
                <w:sz w:val="20"/>
                <w:szCs w:val="20"/>
                <w:color w:val="auto"/>
              </w:rPr>
            </w:pPr>
            <w:r>
              <w:rPr>
                <w:rFonts w:ascii="Arial" w:cs="Arial" w:eastAsia="Arial" w:hAnsi="Arial"/>
                <w:sz w:val="14"/>
                <w:szCs w:val="14"/>
                <w:color w:val="auto"/>
              </w:rPr>
              <w:t>10,671,271</w:t>
            </w:r>
          </w:p>
        </w:tc>
      </w:tr>
      <w:tr>
        <w:trPr>
          <w:trHeight w:val="152"/>
        </w:trPr>
        <w:tc>
          <w:tcPr>
            <w:tcW w:w="3440" w:type="dxa"/>
            <w:vAlign w:val="bottom"/>
          </w:tcPr>
          <w:p>
            <w:pPr>
              <w:ind w:left="220"/>
              <w:spacing w:after="0" w:line="153" w:lineRule="exact"/>
              <w:rPr>
                <w:sz w:val="20"/>
                <w:szCs w:val="20"/>
                <w:color w:val="auto"/>
              </w:rPr>
            </w:pPr>
            <w:r>
              <w:rPr>
                <w:rFonts w:ascii="Arial" w:cs="Arial" w:eastAsia="Arial" w:hAnsi="Arial"/>
                <w:sz w:val="14"/>
                <w:szCs w:val="14"/>
                <w:color w:val="auto"/>
              </w:rPr>
              <w:t>Chief Executive Officer</w:t>
            </w:r>
          </w:p>
        </w:tc>
        <w:tc>
          <w:tcPr>
            <w:tcW w:w="740" w:type="dxa"/>
            <w:vAlign w:val="bottom"/>
          </w:tcPr>
          <w:p>
            <w:pPr>
              <w:jc w:val="right"/>
              <w:ind w:right="73"/>
              <w:spacing w:after="0" w:line="153" w:lineRule="exact"/>
              <w:rPr>
                <w:sz w:val="20"/>
                <w:szCs w:val="20"/>
                <w:color w:val="auto"/>
              </w:rPr>
            </w:pPr>
            <w:r>
              <w:rPr>
                <w:rFonts w:ascii="Arial" w:cs="Arial" w:eastAsia="Arial" w:hAnsi="Arial"/>
                <w:sz w:val="14"/>
                <w:szCs w:val="14"/>
                <w:color w:val="auto"/>
              </w:rPr>
              <w:t>2018</w:t>
            </w:r>
          </w:p>
        </w:tc>
        <w:tc>
          <w:tcPr>
            <w:tcW w:w="840" w:type="dxa"/>
            <w:vAlign w:val="bottom"/>
          </w:tcPr>
          <w:p>
            <w:pPr>
              <w:jc w:val="right"/>
              <w:ind w:right="52"/>
              <w:spacing w:after="0" w:line="153" w:lineRule="exact"/>
              <w:rPr>
                <w:sz w:val="20"/>
                <w:szCs w:val="20"/>
                <w:color w:val="auto"/>
              </w:rPr>
            </w:pPr>
            <w:r>
              <w:rPr>
                <w:rFonts w:ascii="Arial" w:cs="Arial" w:eastAsia="Arial" w:hAnsi="Arial"/>
                <w:sz w:val="14"/>
                <w:szCs w:val="14"/>
                <w:color w:val="auto"/>
              </w:rPr>
              <w:t>1,123,077</w:t>
            </w:r>
          </w:p>
        </w:tc>
        <w:tc>
          <w:tcPr>
            <w:tcW w:w="760" w:type="dxa"/>
            <w:vAlign w:val="bottom"/>
          </w:tcPr>
          <w:p>
            <w:pPr>
              <w:ind w:left="520"/>
              <w:spacing w:after="0" w:line="153"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53"/>
              <w:spacing w:after="0" w:line="153" w:lineRule="exact"/>
              <w:rPr>
                <w:sz w:val="20"/>
                <w:szCs w:val="20"/>
                <w:color w:val="auto"/>
              </w:rPr>
            </w:pPr>
            <w:r>
              <w:rPr>
                <w:rFonts w:ascii="Arial" w:cs="Arial" w:eastAsia="Arial" w:hAnsi="Arial"/>
                <w:sz w:val="14"/>
                <w:szCs w:val="14"/>
                <w:color w:val="auto"/>
              </w:rPr>
              <w:t>5,397,367</w:t>
            </w:r>
          </w:p>
        </w:tc>
        <w:tc>
          <w:tcPr>
            <w:tcW w:w="960" w:type="dxa"/>
            <w:vAlign w:val="bottom"/>
          </w:tcPr>
          <w:p>
            <w:pPr>
              <w:jc w:val="right"/>
              <w:ind w:right="33"/>
              <w:spacing w:after="0" w:line="153" w:lineRule="exact"/>
              <w:rPr>
                <w:sz w:val="20"/>
                <w:szCs w:val="20"/>
                <w:color w:val="auto"/>
              </w:rPr>
            </w:pPr>
            <w:r>
              <w:rPr>
                <w:rFonts w:ascii="Arial" w:cs="Arial" w:eastAsia="Arial" w:hAnsi="Arial"/>
                <w:sz w:val="14"/>
                <w:szCs w:val="14"/>
                <w:color w:val="auto"/>
              </w:rPr>
              <w:t>1,300,002</w:t>
            </w:r>
          </w:p>
        </w:tc>
        <w:tc>
          <w:tcPr>
            <w:tcW w:w="880" w:type="dxa"/>
            <w:vAlign w:val="bottom"/>
          </w:tcPr>
          <w:p>
            <w:pPr>
              <w:jc w:val="right"/>
              <w:ind w:right="33"/>
              <w:spacing w:after="0" w:line="153" w:lineRule="exact"/>
              <w:rPr>
                <w:sz w:val="20"/>
                <w:szCs w:val="20"/>
                <w:color w:val="auto"/>
              </w:rPr>
            </w:pPr>
            <w:r>
              <w:rPr>
                <w:rFonts w:ascii="Arial" w:cs="Arial" w:eastAsia="Arial" w:hAnsi="Arial"/>
                <w:sz w:val="14"/>
                <w:szCs w:val="14"/>
                <w:color w:val="auto"/>
              </w:rPr>
              <w:t>2,000,778</w:t>
            </w:r>
          </w:p>
        </w:tc>
        <w:tc>
          <w:tcPr>
            <w:tcW w:w="920" w:type="dxa"/>
            <w:vAlign w:val="bottom"/>
          </w:tcPr>
          <w:p>
            <w:pPr>
              <w:jc w:val="right"/>
              <w:ind w:right="73"/>
              <w:spacing w:after="0" w:line="153" w:lineRule="exact"/>
              <w:rPr>
                <w:sz w:val="20"/>
                <w:szCs w:val="20"/>
                <w:color w:val="auto"/>
              </w:rPr>
            </w:pPr>
            <w:r>
              <w:rPr>
                <w:rFonts w:ascii="Arial" w:cs="Arial" w:eastAsia="Arial" w:hAnsi="Arial"/>
                <w:sz w:val="14"/>
                <w:szCs w:val="14"/>
                <w:color w:val="auto"/>
              </w:rPr>
              <w:t>13,750</w:t>
            </w:r>
          </w:p>
        </w:tc>
        <w:tc>
          <w:tcPr>
            <w:tcW w:w="860" w:type="dxa"/>
            <w:vAlign w:val="bottom"/>
          </w:tcPr>
          <w:p>
            <w:pPr>
              <w:jc w:val="right"/>
              <w:spacing w:after="0" w:line="153" w:lineRule="exact"/>
              <w:rPr>
                <w:sz w:val="20"/>
                <w:szCs w:val="20"/>
                <w:color w:val="auto"/>
              </w:rPr>
            </w:pPr>
            <w:r>
              <w:rPr>
                <w:rFonts w:ascii="Arial" w:cs="Arial" w:eastAsia="Arial" w:hAnsi="Arial"/>
                <w:sz w:val="14"/>
                <w:szCs w:val="14"/>
                <w:color w:val="auto"/>
              </w:rPr>
              <w:t>9,834,974</w:t>
            </w:r>
          </w:p>
        </w:tc>
      </w:tr>
      <w:tr>
        <w:trPr>
          <w:trHeight w:val="148"/>
        </w:trPr>
        <w:tc>
          <w:tcPr>
            <w:tcW w:w="3440" w:type="dxa"/>
            <w:vAlign w:val="bottom"/>
          </w:tcPr>
          <w:p>
            <w:pPr>
              <w:spacing w:after="0"/>
              <w:rPr>
                <w:sz w:val="12"/>
                <w:szCs w:val="12"/>
                <w:color w:val="auto"/>
              </w:rPr>
            </w:pPr>
          </w:p>
        </w:tc>
        <w:tc>
          <w:tcPr>
            <w:tcW w:w="740" w:type="dxa"/>
            <w:vAlign w:val="bottom"/>
          </w:tcPr>
          <w:p>
            <w:pPr>
              <w:jc w:val="right"/>
              <w:ind w:right="73"/>
              <w:spacing w:after="0" w:line="148" w:lineRule="exact"/>
              <w:rPr>
                <w:sz w:val="20"/>
                <w:szCs w:val="20"/>
                <w:color w:val="auto"/>
              </w:rPr>
            </w:pPr>
            <w:r>
              <w:rPr>
                <w:rFonts w:ascii="Arial" w:cs="Arial" w:eastAsia="Arial" w:hAnsi="Arial"/>
                <w:sz w:val="14"/>
                <w:szCs w:val="14"/>
                <w:color w:val="auto"/>
              </w:rPr>
              <w:t>2017</w:t>
            </w:r>
          </w:p>
        </w:tc>
        <w:tc>
          <w:tcPr>
            <w:tcW w:w="840" w:type="dxa"/>
            <w:vAlign w:val="bottom"/>
          </w:tcPr>
          <w:p>
            <w:pPr>
              <w:jc w:val="right"/>
              <w:ind w:right="52"/>
              <w:spacing w:after="0" w:line="148" w:lineRule="exact"/>
              <w:rPr>
                <w:sz w:val="20"/>
                <w:szCs w:val="20"/>
                <w:color w:val="auto"/>
              </w:rPr>
            </w:pPr>
            <w:r>
              <w:rPr>
                <w:rFonts w:ascii="Arial" w:cs="Arial" w:eastAsia="Arial" w:hAnsi="Arial"/>
                <w:sz w:val="14"/>
                <w:szCs w:val="14"/>
                <w:color w:val="auto"/>
              </w:rPr>
              <w:t>1,076,923</w:t>
            </w:r>
          </w:p>
        </w:tc>
        <w:tc>
          <w:tcPr>
            <w:tcW w:w="760" w:type="dxa"/>
            <w:vAlign w:val="bottom"/>
          </w:tcPr>
          <w:p>
            <w:pPr>
              <w:ind w:left="520"/>
              <w:spacing w:after="0" w:line="148"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53"/>
              <w:spacing w:after="0" w:line="148" w:lineRule="exact"/>
              <w:rPr>
                <w:sz w:val="20"/>
                <w:szCs w:val="20"/>
                <w:color w:val="auto"/>
              </w:rPr>
            </w:pPr>
            <w:r>
              <w:rPr>
                <w:rFonts w:ascii="Arial" w:cs="Arial" w:eastAsia="Arial" w:hAnsi="Arial"/>
                <w:sz w:val="14"/>
                <w:szCs w:val="14"/>
                <w:color w:val="auto"/>
              </w:rPr>
              <w:t>5,373,959</w:t>
            </w:r>
          </w:p>
        </w:tc>
        <w:tc>
          <w:tcPr>
            <w:tcW w:w="960" w:type="dxa"/>
            <w:vAlign w:val="bottom"/>
          </w:tcPr>
          <w:p>
            <w:pPr>
              <w:jc w:val="right"/>
              <w:ind w:right="33"/>
              <w:spacing w:after="0" w:line="148" w:lineRule="exact"/>
              <w:rPr>
                <w:sz w:val="20"/>
                <w:szCs w:val="20"/>
                <w:color w:val="auto"/>
              </w:rPr>
            </w:pPr>
            <w:r>
              <w:rPr>
                <w:rFonts w:ascii="Arial" w:cs="Arial" w:eastAsia="Arial" w:hAnsi="Arial"/>
                <w:sz w:val="14"/>
                <w:szCs w:val="14"/>
                <w:color w:val="auto"/>
              </w:rPr>
              <w:t>1,183,067</w:t>
            </w:r>
          </w:p>
        </w:tc>
        <w:tc>
          <w:tcPr>
            <w:tcW w:w="880" w:type="dxa"/>
            <w:vAlign w:val="bottom"/>
          </w:tcPr>
          <w:p>
            <w:pPr>
              <w:jc w:val="right"/>
              <w:ind w:right="33"/>
              <w:spacing w:after="0" w:line="148" w:lineRule="exact"/>
              <w:rPr>
                <w:sz w:val="20"/>
                <w:szCs w:val="20"/>
                <w:color w:val="auto"/>
              </w:rPr>
            </w:pPr>
            <w:r>
              <w:rPr>
                <w:rFonts w:ascii="Arial" w:cs="Arial" w:eastAsia="Arial" w:hAnsi="Arial"/>
                <w:sz w:val="14"/>
                <w:szCs w:val="14"/>
                <w:color w:val="auto"/>
              </w:rPr>
              <w:t>1,572,670</w:t>
            </w:r>
          </w:p>
        </w:tc>
        <w:tc>
          <w:tcPr>
            <w:tcW w:w="920" w:type="dxa"/>
            <w:vAlign w:val="bottom"/>
          </w:tcPr>
          <w:p>
            <w:pPr>
              <w:jc w:val="right"/>
              <w:ind w:right="73"/>
              <w:spacing w:after="0" w:line="148" w:lineRule="exact"/>
              <w:rPr>
                <w:sz w:val="20"/>
                <w:szCs w:val="20"/>
                <w:color w:val="auto"/>
              </w:rPr>
            </w:pPr>
            <w:r>
              <w:rPr>
                <w:rFonts w:ascii="Arial" w:cs="Arial" w:eastAsia="Arial" w:hAnsi="Arial"/>
                <w:sz w:val="14"/>
                <w:szCs w:val="14"/>
                <w:color w:val="auto"/>
              </w:rPr>
              <w:t>15,090</w:t>
            </w:r>
          </w:p>
        </w:tc>
        <w:tc>
          <w:tcPr>
            <w:tcW w:w="860" w:type="dxa"/>
            <w:vAlign w:val="bottom"/>
          </w:tcPr>
          <w:p>
            <w:pPr>
              <w:jc w:val="right"/>
              <w:spacing w:after="0" w:line="148" w:lineRule="exact"/>
              <w:rPr>
                <w:sz w:val="20"/>
                <w:szCs w:val="20"/>
                <w:color w:val="auto"/>
              </w:rPr>
            </w:pPr>
            <w:r>
              <w:rPr>
                <w:rFonts w:ascii="Arial" w:cs="Arial" w:eastAsia="Arial" w:hAnsi="Arial"/>
                <w:sz w:val="14"/>
                <w:szCs w:val="14"/>
                <w:color w:val="auto"/>
              </w:rPr>
              <w:t>9,221,709</w:t>
            </w:r>
          </w:p>
        </w:tc>
      </w:tr>
      <w:tr>
        <w:trPr>
          <w:trHeight w:val="152"/>
        </w:trPr>
        <w:tc>
          <w:tcPr>
            <w:tcW w:w="3440" w:type="dxa"/>
            <w:vAlign w:val="bottom"/>
            <w:shd w:val="clear" w:color="auto" w:fill="ACABA7"/>
          </w:tcPr>
          <w:p>
            <w:pPr>
              <w:ind w:left="80"/>
              <w:spacing w:after="0" w:line="153" w:lineRule="exact"/>
              <w:rPr>
                <w:sz w:val="20"/>
                <w:szCs w:val="20"/>
                <w:color w:val="auto"/>
              </w:rPr>
            </w:pPr>
            <w:r>
              <w:rPr>
                <w:rFonts w:ascii="Arial" w:cs="Arial" w:eastAsia="Arial" w:hAnsi="Arial"/>
                <w:sz w:val="14"/>
                <w:szCs w:val="14"/>
                <w:color w:val="auto"/>
              </w:rPr>
              <w:t>James C. Reagan</w:t>
            </w:r>
          </w:p>
        </w:tc>
        <w:tc>
          <w:tcPr>
            <w:tcW w:w="740" w:type="dxa"/>
            <w:vAlign w:val="bottom"/>
            <w:shd w:val="clear" w:color="auto" w:fill="ACABA7"/>
          </w:tcPr>
          <w:p>
            <w:pPr>
              <w:jc w:val="right"/>
              <w:ind w:right="73"/>
              <w:spacing w:after="0" w:line="153" w:lineRule="exact"/>
              <w:rPr>
                <w:sz w:val="20"/>
                <w:szCs w:val="20"/>
                <w:color w:val="auto"/>
              </w:rPr>
            </w:pPr>
            <w:r>
              <w:rPr>
                <w:rFonts w:ascii="Arial" w:cs="Arial" w:eastAsia="Arial" w:hAnsi="Arial"/>
                <w:sz w:val="14"/>
                <w:szCs w:val="14"/>
                <w:color w:val="auto"/>
              </w:rPr>
              <w:t>2019</w:t>
            </w:r>
          </w:p>
        </w:tc>
        <w:tc>
          <w:tcPr>
            <w:tcW w:w="840" w:type="dxa"/>
            <w:vAlign w:val="bottom"/>
            <w:shd w:val="clear" w:color="auto" w:fill="ACABA7"/>
          </w:tcPr>
          <w:p>
            <w:pPr>
              <w:jc w:val="right"/>
              <w:ind w:right="52"/>
              <w:spacing w:after="0" w:line="153" w:lineRule="exact"/>
              <w:rPr>
                <w:sz w:val="20"/>
                <w:szCs w:val="20"/>
                <w:color w:val="auto"/>
              </w:rPr>
            </w:pPr>
            <w:r>
              <w:rPr>
                <w:rFonts w:ascii="Arial" w:cs="Arial" w:eastAsia="Arial" w:hAnsi="Arial"/>
                <w:sz w:val="14"/>
                <w:szCs w:val="14"/>
                <w:color w:val="auto"/>
              </w:rPr>
              <w:t>646,538</w:t>
            </w:r>
          </w:p>
        </w:tc>
        <w:tc>
          <w:tcPr>
            <w:tcW w:w="760" w:type="dxa"/>
            <w:vAlign w:val="bottom"/>
            <w:shd w:val="clear" w:color="auto" w:fill="ACABA7"/>
          </w:tcPr>
          <w:p>
            <w:pPr>
              <w:ind w:left="520"/>
              <w:spacing w:after="0" w:line="153" w:lineRule="exact"/>
              <w:rPr>
                <w:sz w:val="20"/>
                <w:szCs w:val="20"/>
                <w:color w:val="auto"/>
              </w:rPr>
            </w:pPr>
            <w:r>
              <w:rPr>
                <w:rFonts w:ascii="Arial" w:cs="Arial" w:eastAsia="Arial" w:hAnsi="Arial"/>
                <w:sz w:val="14"/>
                <w:szCs w:val="14"/>
                <w:color w:val="auto"/>
              </w:rPr>
              <w:t>—</w:t>
            </w:r>
          </w:p>
        </w:tc>
        <w:tc>
          <w:tcPr>
            <w:tcW w:w="980" w:type="dxa"/>
            <w:vAlign w:val="bottom"/>
            <w:shd w:val="clear" w:color="auto" w:fill="ACABA7"/>
          </w:tcPr>
          <w:p>
            <w:pPr>
              <w:jc w:val="right"/>
              <w:ind w:right="53"/>
              <w:spacing w:after="0" w:line="153" w:lineRule="exact"/>
              <w:rPr>
                <w:sz w:val="20"/>
                <w:szCs w:val="20"/>
                <w:color w:val="auto"/>
              </w:rPr>
            </w:pPr>
            <w:r>
              <w:rPr>
                <w:rFonts w:ascii="Arial" w:cs="Arial" w:eastAsia="Arial" w:hAnsi="Arial"/>
                <w:sz w:val="14"/>
                <w:szCs w:val="14"/>
                <w:color w:val="auto"/>
              </w:rPr>
              <w:t>1,342,212</w:t>
            </w:r>
          </w:p>
        </w:tc>
        <w:tc>
          <w:tcPr>
            <w:tcW w:w="960" w:type="dxa"/>
            <w:vAlign w:val="bottom"/>
            <w:shd w:val="clear" w:color="auto" w:fill="ACABA7"/>
          </w:tcPr>
          <w:p>
            <w:pPr>
              <w:jc w:val="right"/>
              <w:ind w:right="33"/>
              <w:spacing w:after="0" w:line="153" w:lineRule="exact"/>
              <w:rPr>
                <w:sz w:val="20"/>
                <w:szCs w:val="20"/>
                <w:color w:val="auto"/>
              </w:rPr>
            </w:pPr>
            <w:r>
              <w:rPr>
                <w:rFonts w:ascii="Arial" w:cs="Arial" w:eastAsia="Arial" w:hAnsi="Arial"/>
                <w:sz w:val="14"/>
                <w:szCs w:val="14"/>
                <w:color w:val="auto"/>
              </w:rPr>
              <w:t>325,902</w:t>
            </w:r>
          </w:p>
        </w:tc>
        <w:tc>
          <w:tcPr>
            <w:tcW w:w="880" w:type="dxa"/>
            <w:vAlign w:val="bottom"/>
            <w:shd w:val="clear" w:color="auto" w:fill="ACABA7"/>
          </w:tcPr>
          <w:p>
            <w:pPr>
              <w:jc w:val="right"/>
              <w:ind w:right="33"/>
              <w:spacing w:after="0" w:line="153" w:lineRule="exact"/>
              <w:rPr>
                <w:sz w:val="20"/>
                <w:szCs w:val="20"/>
                <w:color w:val="auto"/>
              </w:rPr>
            </w:pPr>
            <w:r>
              <w:rPr>
                <w:rFonts w:ascii="Arial" w:cs="Arial" w:eastAsia="Arial" w:hAnsi="Arial"/>
                <w:sz w:val="14"/>
                <w:szCs w:val="14"/>
                <w:color w:val="auto"/>
              </w:rPr>
              <w:t>791,603</w:t>
            </w:r>
          </w:p>
        </w:tc>
        <w:tc>
          <w:tcPr>
            <w:tcW w:w="920" w:type="dxa"/>
            <w:vAlign w:val="bottom"/>
            <w:shd w:val="clear" w:color="auto" w:fill="ACABA7"/>
          </w:tcPr>
          <w:p>
            <w:pPr>
              <w:jc w:val="right"/>
              <w:ind w:right="73"/>
              <w:spacing w:after="0" w:line="153" w:lineRule="exact"/>
              <w:rPr>
                <w:sz w:val="20"/>
                <w:szCs w:val="20"/>
                <w:color w:val="auto"/>
              </w:rPr>
            </w:pPr>
            <w:r>
              <w:rPr>
                <w:rFonts w:ascii="Arial" w:cs="Arial" w:eastAsia="Arial" w:hAnsi="Arial"/>
                <w:sz w:val="14"/>
                <w:szCs w:val="14"/>
                <w:color w:val="auto"/>
              </w:rPr>
              <w:t>4,569</w:t>
            </w:r>
          </w:p>
        </w:tc>
        <w:tc>
          <w:tcPr>
            <w:tcW w:w="860" w:type="dxa"/>
            <w:vAlign w:val="bottom"/>
            <w:shd w:val="clear" w:color="auto" w:fill="ACABA7"/>
          </w:tcPr>
          <w:p>
            <w:pPr>
              <w:jc w:val="right"/>
              <w:spacing w:after="0" w:line="153" w:lineRule="exact"/>
              <w:rPr>
                <w:sz w:val="20"/>
                <w:szCs w:val="20"/>
                <w:color w:val="auto"/>
              </w:rPr>
            </w:pPr>
            <w:r>
              <w:rPr>
                <w:rFonts w:ascii="Arial" w:cs="Arial" w:eastAsia="Arial" w:hAnsi="Arial"/>
                <w:sz w:val="14"/>
                <w:szCs w:val="14"/>
                <w:color w:val="auto"/>
              </w:rPr>
              <w:t>3,110,824</w:t>
            </w:r>
          </w:p>
        </w:tc>
      </w:tr>
      <w:tr>
        <w:trPr>
          <w:trHeight w:val="157"/>
        </w:trPr>
        <w:tc>
          <w:tcPr>
            <w:tcW w:w="3440" w:type="dxa"/>
            <w:vAlign w:val="bottom"/>
            <w:shd w:val="clear" w:color="auto" w:fill="ACABA7"/>
          </w:tcPr>
          <w:p>
            <w:pPr>
              <w:ind w:left="220"/>
              <w:spacing w:after="0" w:line="157" w:lineRule="exact"/>
              <w:rPr>
                <w:sz w:val="20"/>
                <w:szCs w:val="20"/>
                <w:color w:val="auto"/>
              </w:rPr>
            </w:pPr>
            <w:r>
              <w:rPr>
                <w:rFonts w:ascii="Arial" w:cs="Arial" w:eastAsia="Arial" w:hAnsi="Arial"/>
                <w:sz w:val="14"/>
                <w:szCs w:val="14"/>
                <w:color w:val="auto"/>
              </w:rPr>
              <w:t>Executive Vice President,</w:t>
            </w:r>
          </w:p>
        </w:tc>
        <w:tc>
          <w:tcPr>
            <w:tcW w:w="740" w:type="dxa"/>
            <w:vAlign w:val="bottom"/>
            <w:shd w:val="clear" w:color="auto" w:fill="ACABA7"/>
          </w:tcPr>
          <w:p>
            <w:pPr>
              <w:spacing w:after="0"/>
              <w:rPr>
                <w:sz w:val="13"/>
                <w:szCs w:val="13"/>
                <w:color w:val="auto"/>
              </w:rPr>
            </w:pPr>
          </w:p>
        </w:tc>
        <w:tc>
          <w:tcPr>
            <w:tcW w:w="840" w:type="dxa"/>
            <w:vAlign w:val="bottom"/>
            <w:shd w:val="clear" w:color="auto" w:fill="ACABA7"/>
          </w:tcPr>
          <w:p>
            <w:pPr>
              <w:spacing w:after="0"/>
              <w:rPr>
                <w:sz w:val="13"/>
                <w:szCs w:val="13"/>
                <w:color w:val="auto"/>
              </w:rPr>
            </w:pPr>
          </w:p>
        </w:tc>
        <w:tc>
          <w:tcPr>
            <w:tcW w:w="760" w:type="dxa"/>
            <w:vAlign w:val="bottom"/>
            <w:shd w:val="clear" w:color="auto" w:fill="ACABA7"/>
          </w:tcPr>
          <w:p>
            <w:pPr>
              <w:spacing w:after="0"/>
              <w:rPr>
                <w:sz w:val="13"/>
                <w:szCs w:val="13"/>
                <w:color w:val="auto"/>
              </w:rPr>
            </w:pPr>
          </w:p>
        </w:tc>
        <w:tc>
          <w:tcPr>
            <w:tcW w:w="980" w:type="dxa"/>
            <w:vAlign w:val="bottom"/>
            <w:shd w:val="clear" w:color="auto" w:fill="ACABA7"/>
          </w:tcPr>
          <w:p>
            <w:pPr>
              <w:spacing w:after="0"/>
              <w:rPr>
                <w:sz w:val="13"/>
                <w:szCs w:val="13"/>
                <w:color w:val="auto"/>
              </w:rPr>
            </w:pPr>
          </w:p>
        </w:tc>
        <w:tc>
          <w:tcPr>
            <w:tcW w:w="960" w:type="dxa"/>
            <w:vAlign w:val="bottom"/>
            <w:shd w:val="clear" w:color="auto" w:fill="ACABA7"/>
          </w:tcPr>
          <w:p>
            <w:pPr>
              <w:spacing w:after="0"/>
              <w:rPr>
                <w:sz w:val="13"/>
                <w:szCs w:val="13"/>
                <w:color w:val="auto"/>
              </w:rPr>
            </w:pPr>
          </w:p>
        </w:tc>
        <w:tc>
          <w:tcPr>
            <w:tcW w:w="880" w:type="dxa"/>
            <w:vAlign w:val="bottom"/>
            <w:shd w:val="clear" w:color="auto" w:fill="ACABA7"/>
          </w:tcPr>
          <w:p>
            <w:pPr>
              <w:spacing w:after="0"/>
              <w:rPr>
                <w:sz w:val="13"/>
                <w:szCs w:val="13"/>
                <w:color w:val="auto"/>
              </w:rPr>
            </w:pPr>
          </w:p>
        </w:tc>
        <w:tc>
          <w:tcPr>
            <w:tcW w:w="920" w:type="dxa"/>
            <w:vAlign w:val="bottom"/>
            <w:shd w:val="clear" w:color="auto" w:fill="ACABA7"/>
          </w:tcPr>
          <w:p>
            <w:pPr>
              <w:spacing w:after="0"/>
              <w:rPr>
                <w:sz w:val="13"/>
                <w:szCs w:val="13"/>
                <w:color w:val="auto"/>
              </w:rPr>
            </w:pPr>
          </w:p>
        </w:tc>
        <w:tc>
          <w:tcPr>
            <w:tcW w:w="860" w:type="dxa"/>
            <w:vAlign w:val="bottom"/>
            <w:shd w:val="clear" w:color="auto" w:fill="ACABA7"/>
          </w:tcPr>
          <w:p>
            <w:pPr>
              <w:spacing w:after="0"/>
              <w:rPr>
                <w:sz w:val="13"/>
                <w:szCs w:val="13"/>
                <w:color w:val="auto"/>
              </w:rPr>
            </w:pPr>
          </w:p>
        </w:tc>
      </w:tr>
      <w:tr>
        <w:trPr>
          <w:trHeight w:val="161"/>
        </w:trPr>
        <w:tc>
          <w:tcPr>
            <w:tcW w:w="3440" w:type="dxa"/>
            <w:vAlign w:val="bottom"/>
            <w:shd w:val="clear" w:color="auto" w:fill="ACABA7"/>
          </w:tcPr>
          <w:p>
            <w:pPr>
              <w:ind w:left="220"/>
              <w:spacing w:after="0"/>
              <w:rPr>
                <w:sz w:val="20"/>
                <w:szCs w:val="20"/>
                <w:color w:val="auto"/>
              </w:rPr>
            </w:pPr>
            <w:r>
              <w:rPr>
                <w:rFonts w:ascii="Arial" w:cs="Arial" w:eastAsia="Arial" w:hAnsi="Arial"/>
                <w:sz w:val="14"/>
                <w:szCs w:val="14"/>
                <w:color w:val="auto"/>
              </w:rPr>
              <w:t>Chief Financial Officer</w:t>
            </w:r>
          </w:p>
        </w:tc>
        <w:tc>
          <w:tcPr>
            <w:tcW w:w="740" w:type="dxa"/>
            <w:vAlign w:val="bottom"/>
            <w:shd w:val="clear" w:color="auto" w:fill="ACABA7"/>
          </w:tcPr>
          <w:p>
            <w:pPr>
              <w:jc w:val="right"/>
              <w:ind w:right="73"/>
              <w:spacing w:after="0"/>
              <w:rPr>
                <w:sz w:val="20"/>
                <w:szCs w:val="20"/>
                <w:color w:val="auto"/>
              </w:rPr>
            </w:pPr>
            <w:r>
              <w:rPr>
                <w:rFonts w:ascii="Arial" w:cs="Arial" w:eastAsia="Arial" w:hAnsi="Arial"/>
                <w:sz w:val="14"/>
                <w:szCs w:val="14"/>
                <w:color w:val="auto"/>
              </w:rPr>
              <w:t>2018</w:t>
            </w:r>
          </w:p>
        </w:tc>
        <w:tc>
          <w:tcPr>
            <w:tcW w:w="840" w:type="dxa"/>
            <w:vAlign w:val="bottom"/>
            <w:shd w:val="clear" w:color="auto" w:fill="ACABA7"/>
          </w:tcPr>
          <w:p>
            <w:pPr>
              <w:jc w:val="right"/>
              <w:ind w:right="52"/>
              <w:spacing w:after="0"/>
              <w:rPr>
                <w:sz w:val="20"/>
                <w:szCs w:val="20"/>
                <w:color w:val="auto"/>
              </w:rPr>
            </w:pPr>
            <w:r>
              <w:rPr>
                <w:rFonts w:ascii="Arial" w:cs="Arial" w:eastAsia="Arial" w:hAnsi="Arial"/>
                <w:sz w:val="14"/>
                <w:szCs w:val="14"/>
                <w:color w:val="auto"/>
              </w:rPr>
              <w:t>608,077</w:t>
            </w:r>
          </w:p>
        </w:tc>
        <w:tc>
          <w:tcPr>
            <w:tcW w:w="760" w:type="dxa"/>
            <w:vAlign w:val="bottom"/>
            <w:shd w:val="clear" w:color="auto" w:fill="ACABA7"/>
          </w:tcPr>
          <w:p>
            <w:pPr>
              <w:ind w:left="520"/>
              <w:spacing w:after="0"/>
              <w:rPr>
                <w:sz w:val="20"/>
                <w:szCs w:val="20"/>
                <w:color w:val="auto"/>
              </w:rPr>
            </w:pPr>
            <w:r>
              <w:rPr>
                <w:rFonts w:ascii="Arial" w:cs="Arial" w:eastAsia="Arial" w:hAnsi="Arial"/>
                <w:sz w:val="14"/>
                <w:szCs w:val="14"/>
                <w:color w:val="auto"/>
              </w:rPr>
              <w:t>—</w:t>
            </w:r>
          </w:p>
        </w:tc>
        <w:tc>
          <w:tcPr>
            <w:tcW w:w="980" w:type="dxa"/>
            <w:vAlign w:val="bottom"/>
            <w:shd w:val="clear" w:color="auto" w:fill="ACABA7"/>
          </w:tcPr>
          <w:p>
            <w:pPr>
              <w:jc w:val="right"/>
              <w:ind w:right="53"/>
              <w:spacing w:after="0"/>
              <w:rPr>
                <w:sz w:val="20"/>
                <w:szCs w:val="20"/>
                <w:color w:val="auto"/>
              </w:rPr>
            </w:pPr>
            <w:r>
              <w:rPr>
                <w:rFonts w:ascii="Arial" w:cs="Arial" w:eastAsia="Arial" w:hAnsi="Arial"/>
                <w:sz w:val="14"/>
                <w:szCs w:val="14"/>
                <w:color w:val="auto"/>
              </w:rPr>
              <w:t>1,149,067</w:t>
            </w:r>
          </w:p>
        </w:tc>
        <w:tc>
          <w:tcPr>
            <w:tcW w:w="960" w:type="dxa"/>
            <w:vAlign w:val="bottom"/>
            <w:shd w:val="clear" w:color="auto" w:fill="ACABA7"/>
          </w:tcPr>
          <w:p>
            <w:pPr>
              <w:jc w:val="right"/>
              <w:ind w:right="33"/>
              <w:spacing w:after="0"/>
              <w:rPr>
                <w:sz w:val="20"/>
                <w:szCs w:val="20"/>
                <w:color w:val="auto"/>
              </w:rPr>
            </w:pPr>
            <w:r>
              <w:rPr>
                <w:rFonts w:ascii="Arial" w:cs="Arial" w:eastAsia="Arial" w:hAnsi="Arial"/>
                <w:sz w:val="14"/>
                <w:szCs w:val="14"/>
                <w:color w:val="auto"/>
              </w:rPr>
              <w:t>276,757</w:t>
            </w:r>
          </w:p>
        </w:tc>
        <w:tc>
          <w:tcPr>
            <w:tcW w:w="880" w:type="dxa"/>
            <w:vAlign w:val="bottom"/>
            <w:shd w:val="clear" w:color="auto" w:fill="ACABA7"/>
          </w:tcPr>
          <w:p>
            <w:pPr>
              <w:jc w:val="right"/>
              <w:ind w:right="33"/>
              <w:spacing w:after="0"/>
              <w:rPr>
                <w:sz w:val="20"/>
                <w:szCs w:val="20"/>
                <w:color w:val="auto"/>
              </w:rPr>
            </w:pPr>
            <w:r>
              <w:rPr>
                <w:rFonts w:ascii="Arial" w:cs="Arial" w:eastAsia="Arial" w:hAnsi="Arial"/>
                <w:sz w:val="14"/>
                <w:szCs w:val="14"/>
                <w:color w:val="auto"/>
              </w:rPr>
              <w:t>725,946</w:t>
            </w:r>
          </w:p>
        </w:tc>
        <w:tc>
          <w:tcPr>
            <w:tcW w:w="920" w:type="dxa"/>
            <w:vAlign w:val="bottom"/>
            <w:shd w:val="clear" w:color="auto" w:fill="ACABA7"/>
          </w:tcPr>
          <w:p>
            <w:pPr>
              <w:jc w:val="right"/>
              <w:ind w:right="73"/>
              <w:spacing w:after="0"/>
              <w:rPr>
                <w:sz w:val="20"/>
                <w:szCs w:val="20"/>
                <w:color w:val="auto"/>
              </w:rPr>
            </w:pPr>
            <w:r>
              <w:rPr>
                <w:rFonts w:ascii="Arial" w:cs="Arial" w:eastAsia="Arial" w:hAnsi="Arial"/>
                <w:sz w:val="14"/>
                <w:szCs w:val="14"/>
                <w:color w:val="auto"/>
              </w:rPr>
              <w:t>3,600</w:t>
            </w:r>
          </w:p>
        </w:tc>
        <w:tc>
          <w:tcPr>
            <w:tcW w:w="860" w:type="dxa"/>
            <w:vAlign w:val="bottom"/>
            <w:shd w:val="clear" w:color="auto" w:fill="ACABA7"/>
          </w:tcPr>
          <w:p>
            <w:pPr>
              <w:jc w:val="right"/>
              <w:spacing w:after="0"/>
              <w:rPr>
                <w:sz w:val="20"/>
                <w:szCs w:val="20"/>
                <w:color w:val="auto"/>
              </w:rPr>
            </w:pPr>
            <w:r>
              <w:rPr>
                <w:rFonts w:ascii="Arial" w:cs="Arial" w:eastAsia="Arial" w:hAnsi="Arial"/>
                <w:sz w:val="14"/>
                <w:szCs w:val="14"/>
                <w:color w:val="auto"/>
              </w:rPr>
              <w:t>2,763,447</w:t>
            </w:r>
          </w:p>
        </w:tc>
      </w:tr>
      <w:tr>
        <w:trPr>
          <w:trHeight w:val="152"/>
        </w:trPr>
        <w:tc>
          <w:tcPr>
            <w:tcW w:w="3440" w:type="dxa"/>
            <w:vAlign w:val="bottom"/>
            <w:shd w:val="clear" w:color="auto" w:fill="ACABA7"/>
          </w:tcPr>
          <w:p>
            <w:pPr>
              <w:spacing w:after="0"/>
              <w:rPr>
                <w:sz w:val="13"/>
                <w:szCs w:val="13"/>
                <w:color w:val="auto"/>
              </w:rPr>
            </w:pPr>
          </w:p>
        </w:tc>
        <w:tc>
          <w:tcPr>
            <w:tcW w:w="740" w:type="dxa"/>
            <w:vAlign w:val="bottom"/>
            <w:shd w:val="clear" w:color="auto" w:fill="ACABA7"/>
          </w:tcPr>
          <w:p>
            <w:pPr>
              <w:jc w:val="right"/>
              <w:ind w:right="73"/>
              <w:spacing w:after="0" w:line="153" w:lineRule="exact"/>
              <w:rPr>
                <w:sz w:val="20"/>
                <w:szCs w:val="20"/>
                <w:color w:val="auto"/>
              </w:rPr>
            </w:pPr>
            <w:r>
              <w:rPr>
                <w:rFonts w:ascii="Arial" w:cs="Arial" w:eastAsia="Arial" w:hAnsi="Arial"/>
                <w:sz w:val="14"/>
                <w:szCs w:val="14"/>
                <w:color w:val="auto"/>
              </w:rPr>
              <w:t>2017</w:t>
            </w:r>
          </w:p>
        </w:tc>
        <w:tc>
          <w:tcPr>
            <w:tcW w:w="840" w:type="dxa"/>
            <w:vAlign w:val="bottom"/>
            <w:shd w:val="clear" w:color="auto" w:fill="ACABA7"/>
          </w:tcPr>
          <w:p>
            <w:pPr>
              <w:jc w:val="right"/>
              <w:ind w:right="52"/>
              <w:spacing w:after="0" w:line="153" w:lineRule="exact"/>
              <w:rPr>
                <w:sz w:val="20"/>
                <w:szCs w:val="20"/>
                <w:color w:val="auto"/>
              </w:rPr>
            </w:pPr>
            <w:r>
              <w:rPr>
                <w:rFonts w:ascii="Arial" w:cs="Arial" w:eastAsia="Arial" w:hAnsi="Arial"/>
                <w:sz w:val="14"/>
                <w:szCs w:val="14"/>
                <w:color w:val="auto"/>
              </w:rPr>
              <w:t>580,385</w:t>
            </w:r>
          </w:p>
        </w:tc>
        <w:tc>
          <w:tcPr>
            <w:tcW w:w="760" w:type="dxa"/>
            <w:vAlign w:val="bottom"/>
            <w:shd w:val="clear" w:color="auto" w:fill="ACABA7"/>
          </w:tcPr>
          <w:p>
            <w:pPr>
              <w:ind w:left="520"/>
              <w:spacing w:after="0" w:line="153" w:lineRule="exact"/>
              <w:rPr>
                <w:sz w:val="20"/>
                <w:szCs w:val="20"/>
                <w:color w:val="auto"/>
              </w:rPr>
            </w:pPr>
            <w:r>
              <w:rPr>
                <w:rFonts w:ascii="Arial" w:cs="Arial" w:eastAsia="Arial" w:hAnsi="Arial"/>
                <w:sz w:val="14"/>
                <w:szCs w:val="14"/>
                <w:color w:val="auto"/>
              </w:rPr>
              <w:t>—</w:t>
            </w:r>
          </w:p>
        </w:tc>
        <w:tc>
          <w:tcPr>
            <w:tcW w:w="980" w:type="dxa"/>
            <w:vAlign w:val="bottom"/>
            <w:shd w:val="clear" w:color="auto" w:fill="ACABA7"/>
          </w:tcPr>
          <w:p>
            <w:pPr>
              <w:jc w:val="right"/>
              <w:ind w:right="53"/>
              <w:spacing w:after="0" w:line="153" w:lineRule="exact"/>
              <w:rPr>
                <w:sz w:val="20"/>
                <w:szCs w:val="20"/>
                <w:color w:val="auto"/>
              </w:rPr>
            </w:pPr>
            <w:r>
              <w:rPr>
                <w:rFonts w:ascii="Arial" w:cs="Arial" w:eastAsia="Arial" w:hAnsi="Arial"/>
                <w:sz w:val="14"/>
                <w:szCs w:val="14"/>
                <w:color w:val="auto"/>
              </w:rPr>
              <w:t>1,106,646</w:t>
            </w:r>
          </w:p>
        </w:tc>
        <w:tc>
          <w:tcPr>
            <w:tcW w:w="960" w:type="dxa"/>
            <w:vAlign w:val="bottom"/>
            <w:shd w:val="clear" w:color="auto" w:fill="ACABA7"/>
          </w:tcPr>
          <w:p>
            <w:pPr>
              <w:jc w:val="right"/>
              <w:ind w:right="33"/>
              <w:spacing w:after="0" w:line="153" w:lineRule="exact"/>
              <w:rPr>
                <w:sz w:val="20"/>
                <w:szCs w:val="20"/>
                <w:color w:val="auto"/>
              </w:rPr>
            </w:pPr>
            <w:r>
              <w:rPr>
                <w:rFonts w:ascii="Arial" w:cs="Arial" w:eastAsia="Arial" w:hAnsi="Arial"/>
                <w:sz w:val="14"/>
                <w:szCs w:val="14"/>
                <w:color w:val="auto"/>
              </w:rPr>
              <w:t>283,135</w:t>
            </w:r>
          </w:p>
        </w:tc>
        <w:tc>
          <w:tcPr>
            <w:tcW w:w="880" w:type="dxa"/>
            <w:vAlign w:val="bottom"/>
            <w:shd w:val="clear" w:color="auto" w:fill="ACABA7"/>
          </w:tcPr>
          <w:p>
            <w:pPr>
              <w:jc w:val="right"/>
              <w:ind w:right="33"/>
              <w:spacing w:after="0" w:line="153" w:lineRule="exact"/>
              <w:rPr>
                <w:sz w:val="20"/>
                <w:szCs w:val="20"/>
                <w:color w:val="auto"/>
              </w:rPr>
            </w:pPr>
            <w:r>
              <w:rPr>
                <w:rFonts w:ascii="Arial" w:cs="Arial" w:eastAsia="Arial" w:hAnsi="Arial"/>
                <w:sz w:val="14"/>
                <w:szCs w:val="14"/>
                <w:color w:val="auto"/>
              </w:rPr>
              <w:t>542,412</w:t>
            </w:r>
          </w:p>
        </w:tc>
        <w:tc>
          <w:tcPr>
            <w:tcW w:w="920" w:type="dxa"/>
            <w:vAlign w:val="bottom"/>
            <w:shd w:val="clear" w:color="auto" w:fill="ACABA7"/>
          </w:tcPr>
          <w:p>
            <w:pPr>
              <w:jc w:val="right"/>
              <w:ind w:right="73"/>
              <w:spacing w:after="0" w:line="153" w:lineRule="exact"/>
              <w:rPr>
                <w:sz w:val="20"/>
                <w:szCs w:val="20"/>
                <w:color w:val="auto"/>
              </w:rPr>
            </w:pPr>
            <w:r>
              <w:rPr>
                <w:rFonts w:ascii="Arial" w:cs="Arial" w:eastAsia="Arial" w:hAnsi="Arial"/>
                <w:sz w:val="14"/>
                <w:szCs w:val="14"/>
                <w:color w:val="auto"/>
              </w:rPr>
              <w:t>13,442</w:t>
            </w:r>
          </w:p>
        </w:tc>
        <w:tc>
          <w:tcPr>
            <w:tcW w:w="860" w:type="dxa"/>
            <w:vAlign w:val="bottom"/>
            <w:shd w:val="clear" w:color="auto" w:fill="ACABA7"/>
          </w:tcPr>
          <w:p>
            <w:pPr>
              <w:jc w:val="right"/>
              <w:spacing w:after="0" w:line="153" w:lineRule="exact"/>
              <w:rPr>
                <w:sz w:val="20"/>
                <w:szCs w:val="20"/>
                <w:color w:val="auto"/>
              </w:rPr>
            </w:pPr>
            <w:r>
              <w:rPr>
                <w:rFonts w:ascii="Arial" w:cs="Arial" w:eastAsia="Arial" w:hAnsi="Arial"/>
                <w:sz w:val="14"/>
                <w:szCs w:val="14"/>
                <w:color w:val="auto"/>
              </w:rPr>
              <w:t>2,526,020</w:t>
            </w:r>
          </w:p>
        </w:tc>
      </w:tr>
      <w:tr>
        <w:trPr>
          <w:trHeight w:val="157"/>
        </w:trPr>
        <w:tc>
          <w:tcPr>
            <w:tcW w:w="3440" w:type="dxa"/>
            <w:vAlign w:val="bottom"/>
          </w:tcPr>
          <w:p>
            <w:pPr>
              <w:ind w:left="80"/>
              <w:spacing w:after="0" w:line="157" w:lineRule="exact"/>
              <w:rPr>
                <w:sz w:val="20"/>
                <w:szCs w:val="20"/>
                <w:color w:val="auto"/>
              </w:rPr>
            </w:pPr>
            <w:r>
              <w:rPr>
                <w:rFonts w:ascii="Arial" w:cs="Arial" w:eastAsia="Arial" w:hAnsi="Arial"/>
                <w:sz w:val="14"/>
                <w:szCs w:val="14"/>
                <w:color w:val="auto"/>
              </w:rPr>
              <w:t>Jonathan Scholl</w:t>
            </w:r>
          </w:p>
        </w:tc>
        <w:tc>
          <w:tcPr>
            <w:tcW w:w="740" w:type="dxa"/>
            <w:vAlign w:val="bottom"/>
          </w:tcPr>
          <w:p>
            <w:pPr>
              <w:jc w:val="right"/>
              <w:ind w:right="73"/>
              <w:spacing w:after="0" w:line="157" w:lineRule="exact"/>
              <w:rPr>
                <w:sz w:val="20"/>
                <w:szCs w:val="20"/>
                <w:color w:val="auto"/>
              </w:rPr>
            </w:pPr>
            <w:r>
              <w:rPr>
                <w:rFonts w:ascii="Arial" w:cs="Arial" w:eastAsia="Arial" w:hAnsi="Arial"/>
                <w:sz w:val="14"/>
                <w:szCs w:val="14"/>
                <w:color w:val="auto"/>
              </w:rPr>
              <w:t>2019</w:t>
            </w:r>
          </w:p>
        </w:tc>
        <w:tc>
          <w:tcPr>
            <w:tcW w:w="840" w:type="dxa"/>
            <w:vAlign w:val="bottom"/>
          </w:tcPr>
          <w:p>
            <w:pPr>
              <w:jc w:val="right"/>
              <w:ind w:right="52"/>
              <w:spacing w:after="0" w:line="157" w:lineRule="exact"/>
              <w:rPr>
                <w:sz w:val="20"/>
                <w:szCs w:val="20"/>
                <w:color w:val="auto"/>
              </w:rPr>
            </w:pPr>
            <w:r>
              <w:rPr>
                <w:rFonts w:ascii="Arial" w:cs="Arial" w:eastAsia="Arial" w:hAnsi="Arial"/>
                <w:sz w:val="14"/>
                <w:szCs w:val="14"/>
                <w:color w:val="auto"/>
              </w:rPr>
              <w:t>576,346</w:t>
            </w:r>
          </w:p>
        </w:tc>
        <w:tc>
          <w:tcPr>
            <w:tcW w:w="760" w:type="dxa"/>
            <w:vAlign w:val="bottom"/>
          </w:tcPr>
          <w:p>
            <w:pPr>
              <w:ind w:left="520"/>
              <w:spacing w:after="0" w:line="157"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53"/>
              <w:spacing w:after="0" w:line="157" w:lineRule="exact"/>
              <w:rPr>
                <w:sz w:val="20"/>
                <w:szCs w:val="20"/>
                <w:color w:val="auto"/>
              </w:rPr>
            </w:pPr>
            <w:r>
              <w:rPr>
                <w:rFonts w:ascii="Arial" w:cs="Arial" w:eastAsia="Arial" w:hAnsi="Arial"/>
                <w:sz w:val="14"/>
                <w:szCs w:val="14"/>
                <w:color w:val="auto"/>
              </w:rPr>
              <w:t>956,383</w:t>
            </w:r>
          </w:p>
        </w:tc>
        <w:tc>
          <w:tcPr>
            <w:tcW w:w="960" w:type="dxa"/>
            <w:vAlign w:val="bottom"/>
          </w:tcPr>
          <w:p>
            <w:pPr>
              <w:jc w:val="right"/>
              <w:ind w:right="33"/>
              <w:spacing w:after="0" w:line="157" w:lineRule="exact"/>
              <w:rPr>
                <w:sz w:val="20"/>
                <w:szCs w:val="20"/>
                <w:color w:val="auto"/>
              </w:rPr>
            </w:pPr>
            <w:r>
              <w:rPr>
                <w:rFonts w:ascii="Arial" w:cs="Arial" w:eastAsia="Arial" w:hAnsi="Arial"/>
                <w:sz w:val="14"/>
                <w:szCs w:val="14"/>
                <w:color w:val="auto"/>
              </w:rPr>
              <w:t>232,209</w:t>
            </w:r>
          </w:p>
        </w:tc>
        <w:tc>
          <w:tcPr>
            <w:tcW w:w="880" w:type="dxa"/>
            <w:vAlign w:val="bottom"/>
          </w:tcPr>
          <w:p>
            <w:pPr>
              <w:jc w:val="right"/>
              <w:ind w:right="33"/>
              <w:spacing w:after="0" w:line="157" w:lineRule="exact"/>
              <w:rPr>
                <w:sz w:val="20"/>
                <w:szCs w:val="20"/>
                <w:color w:val="auto"/>
              </w:rPr>
            </w:pPr>
            <w:r>
              <w:rPr>
                <w:rFonts w:ascii="Arial" w:cs="Arial" w:eastAsia="Arial" w:hAnsi="Arial"/>
                <w:sz w:val="14"/>
                <w:szCs w:val="14"/>
                <w:color w:val="auto"/>
              </w:rPr>
              <w:t>557,542</w:t>
            </w:r>
          </w:p>
        </w:tc>
        <w:tc>
          <w:tcPr>
            <w:tcW w:w="920" w:type="dxa"/>
            <w:vAlign w:val="bottom"/>
          </w:tcPr>
          <w:p>
            <w:pPr>
              <w:jc w:val="right"/>
              <w:ind w:right="73"/>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2,322,480</w:t>
            </w:r>
          </w:p>
        </w:tc>
      </w:tr>
      <w:tr>
        <w:trPr>
          <w:trHeight w:val="152"/>
        </w:trPr>
        <w:tc>
          <w:tcPr>
            <w:tcW w:w="3440" w:type="dxa"/>
            <w:vAlign w:val="bottom"/>
          </w:tcPr>
          <w:p>
            <w:pPr>
              <w:ind w:left="220"/>
              <w:spacing w:after="0" w:line="153" w:lineRule="exact"/>
              <w:rPr>
                <w:sz w:val="20"/>
                <w:szCs w:val="20"/>
                <w:color w:val="auto"/>
              </w:rPr>
            </w:pPr>
            <w:r>
              <w:rPr>
                <w:rFonts w:ascii="Arial" w:cs="Arial" w:eastAsia="Arial" w:hAnsi="Arial"/>
                <w:sz w:val="14"/>
                <w:szCs w:val="14"/>
                <w:color w:val="auto"/>
              </w:rPr>
              <w:t>Group President, Health</w:t>
            </w:r>
          </w:p>
        </w:tc>
        <w:tc>
          <w:tcPr>
            <w:tcW w:w="740" w:type="dxa"/>
            <w:vAlign w:val="bottom"/>
          </w:tcPr>
          <w:p>
            <w:pPr>
              <w:jc w:val="right"/>
              <w:ind w:right="73"/>
              <w:spacing w:after="0" w:line="153" w:lineRule="exact"/>
              <w:rPr>
                <w:sz w:val="20"/>
                <w:szCs w:val="20"/>
                <w:color w:val="auto"/>
              </w:rPr>
            </w:pPr>
            <w:r>
              <w:rPr>
                <w:rFonts w:ascii="Arial" w:cs="Arial" w:eastAsia="Arial" w:hAnsi="Arial"/>
                <w:sz w:val="14"/>
                <w:szCs w:val="14"/>
                <w:color w:val="auto"/>
              </w:rPr>
              <w:t>2018</w:t>
            </w:r>
          </w:p>
        </w:tc>
        <w:tc>
          <w:tcPr>
            <w:tcW w:w="840" w:type="dxa"/>
            <w:vAlign w:val="bottom"/>
          </w:tcPr>
          <w:p>
            <w:pPr>
              <w:jc w:val="right"/>
              <w:ind w:right="52"/>
              <w:spacing w:after="0" w:line="153" w:lineRule="exact"/>
              <w:rPr>
                <w:sz w:val="20"/>
                <w:szCs w:val="20"/>
                <w:color w:val="auto"/>
              </w:rPr>
            </w:pPr>
            <w:r>
              <w:rPr>
                <w:rFonts w:ascii="Arial" w:cs="Arial" w:eastAsia="Arial" w:hAnsi="Arial"/>
                <w:sz w:val="14"/>
                <w:szCs w:val="14"/>
                <w:color w:val="auto"/>
              </w:rPr>
              <w:t>546,538</w:t>
            </w:r>
          </w:p>
        </w:tc>
        <w:tc>
          <w:tcPr>
            <w:tcW w:w="760" w:type="dxa"/>
            <w:vAlign w:val="bottom"/>
          </w:tcPr>
          <w:p>
            <w:pPr>
              <w:ind w:left="520"/>
              <w:spacing w:after="0" w:line="153"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53"/>
              <w:spacing w:after="0" w:line="153" w:lineRule="exact"/>
              <w:rPr>
                <w:sz w:val="20"/>
                <w:szCs w:val="20"/>
                <w:color w:val="auto"/>
              </w:rPr>
            </w:pPr>
            <w:r>
              <w:rPr>
                <w:rFonts w:ascii="Arial" w:cs="Arial" w:eastAsia="Arial" w:hAnsi="Arial"/>
                <w:sz w:val="14"/>
                <w:szCs w:val="14"/>
                <w:color w:val="auto"/>
              </w:rPr>
              <w:t>799,244</w:t>
            </w:r>
          </w:p>
        </w:tc>
        <w:tc>
          <w:tcPr>
            <w:tcW w:w="960" w:type="dxa"/>
            <w:vAlign w:val="bottom"/>
          </w:tcPr>
          <w:p>
            <w:pPr>
              <w:jc w:val="right"/>
              <w:ind w:right="33"/>
              <w:spacing w:after="0" w:line="153" w:lineRule="exact"/>
              <w:rPr>
                <w:sz w:val="20"/>
                <w:szCs w:val="20"/>
                <w:color w:val="auto"/>
              </w:rPr>
            </w:pPr>
            <w:r>
              <w:rPr>
                <w:rFonts w:ascii="Arial" w:cs="Arial" w:eastAsia="Arial" w:hAnsi="Arial"/>
                <w:sz w:val="14"/>
                <w:szCs w:val="14"/>
                <w:color w:val="auto"/>
              </w:rPr>
              <w:t>192,510</w:t>
            </w:r>
          </w:p>
        </w:tc>
        <w:tc>
          <w:tcPr>
            <w:tcW w:w="880" w:type="dxa"/>
            <w:vAlign w:val="bottom"/>
          </w:tcPr>
          <w:p>
            <w:pPr>
              <w:jc w:val="right"/>
              <w:ind w:right="33"/>
              <w:spacing w:after="0" w:line="153" w:lineRule="exact"/>
              <w:rPr>
                <w:sz w:val="20"/>
                <w:szCs w:val="20"/>
                <w:color w:val="auto"/>
              </w:rPr>
            </w:pPr>
            <w:r>
              <w:rPr>
                <w:rFonts w:ascii="Arial" w:cs="Arial" w:eastAsia="Arial" w:hAnsi="Arial"/>
                <w:sz w:val="14"/>
                <w:szCs w:val="14"/>
                <w:color w:val="auto"/>
              </w:rPr>
              <w:t>533,632</w:t>
            </w:r>
          </w:p>
        </w:tc>
        <w:tc>
          <w:tcPr>
            <w:tcW w:w="920" w:type="dxa"/>
            <w:vAlign w:val="bottom"/>
          </w:tcPr>
          <w:p>
            <w:pPr>
              <w:jc w:val="right"/>
              <w:ind w:right="73"/>
              <w:spacing w:after="0" w:line="153"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3" w:lineRule="exact"/>
              <w:rPr>
                <w:sz w:val="20"/>
                <w:szCs w:val="20"/>
                <w:color w:val="auto"/>
              </w:rPr>
            </w:pPr>
            <w:r>
              <w:rPr>
                <w:rFonts w:ascii="Arial" w:cs="Arial" w:eastAsia="Arial" w:hAnsi="Arial"/>
                <w:sz w:val="14"/>
                <w:szCs w:val="14"/>
                <w:color w:val="auto"/>
              </w:rPr>
              <w:t>2,071,924</w:t>
            </w:r>
          </w:p>
        </w:tc>
      </w:tr>
      <w:tr>
        <w:trPr>
          <w:trHeight w:val="148"/>
        </w:trPr>
        <w:tc>
          <w:tcPr>
            <w:tcW w:w="3440" w:type="dxa"/>
            <w:vAlign w:val="bottom"/>
          </w:tcPr>
          <w:p>
            <w:pPr>
              <w:spacing w:after="0"/>
              <w:rPr>
                <w:sz w:val="12"/>
                <w:szCs w:val="12"/>
                <w:color w:val="auto"/>
              </w:rPr>
            </w:pPr>
          </w:p>
        </w:tc>
        <w:tc>
          <w:tcPr>
            <w:tcW w:w="740" w:type="dxa"/>
            <w:vAlign w:val="bottom"/>
          </w:tcPr>
          <w:p>
            <w:pPr>
              <w:jc w:val="right"/>
              <w:ind w:right="73"/>
              <w:spacing w:after="0" w:line="148" w:lineRule="exact"/>
              <w:rPr>
                <w:sz w:val="20"/>
                <w:szCs w:val="20"/>
                <w:color w:val="auto"/>
              </w:rPr>
            </w:pPr>
            <w:r>
              <w:rPr>
                <w:rFonts w:ascii="Arial" w:cs="Arial" w:eastAsia="Arial" w:hAnsi="Arial"/>
                <w:sz w:val="14"/>
                <w:szCs w:val="14"/>
                <w:color w:val="auto"/>
              </w:rPr>
              <w:t>2017</w:t>
            </w:r>
          </w:p>
        </w:tc>
        <w:tc>
          <w:tcPr>
            <w:tcW w:w="840" w:type="dxa"/>
            <w:vAlign w:val="bottom"/>
          </w:tcPr>
          <w:p>
            <w:pPr>
              <w:jc w:val="right"/>
              <w:ind w:right="52"/>
              <w:spacing w:after="0" w:line="148" w:lineRule="exact"/>
              <w:rPr>
                <w:sz w:val="20"/>
                <w:szCs w:val="20"/>
                <w:color w:val="auto"/>
              </w:rPr>
            </w:pPr>
            <w:r>
              <w:rPr>
                <w:rFonts w:ascii="Arial" w:cs="Arial" w:eastAsia="Arial" w:hAnsi="Arial"/>
                <w:sz w:val="14"/>
                <w:szCs w:val="14"/>
                <w:color w:val="auto"/>
              </w:rPr>
              <w:t>535,000</w:t>
            </w:r>
          </w:p>
        </w:tc>
        <w:tc>
          <w:tcPr>
            <w:tcW w:w="760" w:type="dxa"/>
            <w:vAlign w:val="bottom"/>
          </w:tcPr>
          <w:p>
            <w:pPr>
              <w:spacing w:after="0"/>
              <w:rPr>
                <w:sz w:val="12"/>
                <w:szCs w:val="12"/>
                <w:color w:val="auto"/>
              </w:rPr>
            </w:pPr>
          </w:p>
        </w:tc>
        <w:tc>
          <w:tcPr>
            <w:tcW w:w="980" w:type="dxa"/>
            <w:vAlign w:val="bottom"/>
          </w:tcPr>
          <w:p>
            <w:pPr>
              <w:jc w:val="right"/>
              <w:ind w:right="53"/>
              <w:spacing w:after="0" w:line="148" w:lineRule="exact"/>
              <w:rPr>
                <w:sz w:val="20"/>
                <w:szCs w:val="20"/>
                <w:color w:val="auto"/>
              </w:rPr>
            </w:pPr>
            <w:r>
              <w:rPr>
                <w:rFonts w:ascii="Arial" w:cs="Arial" w:eastAsia="Arial" w:hAnsi="Arial"/>
                <w:sz w:val="14"/>
                <w:szCs w:val="14"/>
                <w:color w:val="auto"/>
              </w:rPr>
              <w:t>672,633</w:t>
            </w:r>
          </w:p>
        </w:tc>
        <w:tc>
          <w:tcPr>
            <w:tcW w:w="960" w:type="dxa"/>
            <w:vAlign w:val="bottom"/>
          </w:tcPr>
          <w:p>
            <w:pPr>
              <w:jc w:val="right"/>
              <w:ind w:right="33"/>
              <w:spacing w:after="0" w:line="148" w:lineRule="exact"/>
              <w:rPr>
                <w:sz w:val="20"/>
                <w:szCs w:val="20"/>
                <w:color w:val="auto"/>
              </w:rPr>
            </w:pPr>
            <w:r>
              <w:rPr>
                <w:rFonts w:ascii="Arial" w:cs="Arial" w:eastAsia="Arial" w:hAnsi="Arial"/>
                <w:sz w:val="14"/>
                <w:szCs w:val="14"/>
                <w:color w:val="auto"/>
              </w:rPr>
              <w:t>172,081</w:t>
            </w:r>
          </w:p>
        </w:tc>
        <w:tc>
          <w:tcPr>
            <w:tcW w:w="880" w:type="dxa"/>
            <w:vAlign w:val="bottom"/>
          </w:tcPr>
          <w:p>
            <w:pPr>
              <w:jc w:val="right"/>
              <w:ind w:right="33"/>
              <w:spacing w:after="0" w:line="148" w:lineRule="exact"/>
              <w:rPr>
                <w:sz w:val="20"/>
                <w:szCs w:val="20"/>
                <w:color w:val="auto"/>
              </w:rPr>
            </w:pPr>
            <w:r>
              <w:rPr>
                <w:rFonts w:ascii="Arial" w:cs="Arial" w:eastAsia="Arial" w:hAnsi="Arial"/>
                <w:sz w:val="14"/>
                <w:szCs w:val="14"/>
                <w:color w:val="auto"/>
              </w:rPr>
              <w:t>432,331</w:t>
            </w:r>
          </w:p>
        </w:tc>
        <w:tc>
          <w:tcPr>
            <w:tcW w:w="920" w:type="dxa"/>
            <w:vAlign w:val="bottom"/>
          </w:tcPr>
          <w:p>
            <w:pPr>
              <w:jc w:val="right"/>
              <w:ind w:right="73"/>
              <w:spacing w:after="0" w:line="148" w:lineRule="exact"/>
              <w:rPr>
                <w:sz w:val="20"/>
                <w:szCs w:val="20"/>
                <w:color w:val="auto"/>
              </w:rPr>
            </w:pPr>
            <w:r>
              <w:rPr>
                <w:rFonts w:ascii="Arial" w:cs="Arial" w:eastAsia="Arial" w:hAnsi="Arial"/>
                <w:sz w:val="14"/>
                <w:szCs w:val="14"/>
                <w:color w:val="auto"/>
              </w:rPr>
              <w:t>69,114</w:t>
            </w:r>
          </w:p>
        </w:tc>
        <w:tc>
          <w:tcPr>
            <w:tcW w:w="860" w:type="dxa"/>
            <w:vAlign w:val="bottom"/>
          </w:tcPr>
          <w:p>
            <w:pPr>
              <w:jc w:val="right"/>
              <w:spacing w:after="0" w:line="148" w:lineRule="exact"/>
              <w:rPr>
                <w:sz w:val="20"/>
                <w:szCs w:val="20"/>
                <w:color w:val="auto"/>
              </w:rPr>
            </w:pPr>
            <w:r>
              <w:rPr>
                <w:rFonts w:ascii="Arial" w:cs="Arial" w:eastAsia="Arial" w:hAnsi="Arial"/>
                <w:sz w:val="14"/>
                <w:szCs w:val="14"/>
                <w:color w:val="auto"/>
              </w:rPr>
              <w:t>1,881,159</w:t>
            </w:r>
          </w:p>
        </w:tc>
      </w:tr>
      <w:tr>
        <w:trPr>
          <w:trHeight w:val="152"/>
        </w:trPr>
        <w:tc>
          <w:tcPr>
            <w:tcW w:w="3440" w:type="dxa"/>
            <w:vAlign w:val="bottom"/>
            <w:shd w:val="clear" w:color="auto" w:fill="ACABA7"/>
          </w:tcPr>
          <w:p>
            <w:pPr>
              <w:ind w:left="80"/>
              <w:spacing w:after="0" w:line="153" w:lineRule="exact"/>
              <w:rPr>
                <w:sz w:val="20"/>
                <w:szCs w:val="20"/>
                <w:color w:val="auto"/>
              </w:rPr>
            </w:pPr>
            <w:r>
              <w:rPr>
                <w:rFonts w:ascii="Arial" w:cs="Arial" w:eastAsia="Arial" w:hAnsi="Arial"/>
                <w:sz w:val="14"/>
                <w:szCs w:val="14"/>
                <w:color w:val="auto"/>
              </w:rPr>
              <w:t>Jerald S. Howe, Jr.</w:t>
            </w:r>
          </w:p>
        </w:tc>
        <w:tc>
          <w:tcPr>
            <w:tcW w:w="740" w:type="dxa"/>
            <w:vAlign w:val="bottom"/>
            <w:shd w:val="clear" w:color="auto" w:fill="ACABA7"/>
          </w:tcPr>
          <w:p>
            <w:pPr>
              <w:jc w:val="right"/>
              <w:ind w:right="73"/>
              <w:spacing w:after="0" w:line="153" w:lineRule="exact"/>
              <w:rPr>
                <w:sz w:val="20"/>
                <w:szCs w:val="20"/>
                <w:color w:val="auto"/>
              </w:rPr>
            </w:pPr>
            <w:r>
              <w:rPr>
                <w:rFonts w:ascii="Arial" w:cs="Arial" w:eastAsia="Arial" w:hAnsi="Arial"/>
                <w:sz w:val="14"/>
                <w:szCs w:val="14"/>
                <w:color w:val="auto"/>
              </w:rPr>
              <w:t>2019</w:t>
            </w:r>
          </w:p>
        </w:tc>
        <w:tc>
          <w:tcPr>
            <w:tcW w:w="840" w:type="dxa"/>
            <w:vAlign w:val="bottom"/>
            <w:shd w:val="clear" w:color="auto" w:fill="ACABA7"/>
          </w:tcPr>
          <w:p>
            <w:pPr>
              <w:jc w:val="right"/>
              <w:ind w:right="52"/>
              <w:spacing w:after="0" w:line="153" w:lineRule="exact"/>
              <w:rPr>
                <w:sz w:val="20"/>
                <w:szCs w:val="20"/>
                <w:color w:val="auto"/>
              </w:rPr>
            </w:pPr>
            <w:r>
              <w:rPr>
                <w:rFonts w:ascii="Arial" w:cs="Arial" w:eastAsia="Arial" w:hAnsi="Arial"/>
                <w:sz w:val="14"/>
                <w:szCs w:val="14"/>
                <w:color w:val="auto"/>
              </w:rPr>
              <w:t>597,884</w:t>
            </w:r>
          </w:p>
        </w:tc>
        <w:tc>
          <w:tcPr>
            <w:tcW w:w="760" w:type="dxa"/>
            <w:vAlign w:val="bottom"/>
            <w:shd w:val="clear" w:color="auto" w:fill="ACABA7"/>
          </w:tcPr>
          <w:p>
            <w:pPr>
              <w:ind w:left="520"/>
              <w:spacing w:after="0" w:line="153" w:lineRule="exact"/>
              <w:rPr>
                <w:sz w:val="20"/>
                <w:szCs w:val="20"/>
                <w:color w:val="auto"/>
              </w:rPr>
            </w:pPr>
            <w:r>
              <w:rPr>
                <w:rFonts w:ascii="Arial" w:cs="Arial" w:eastAsia="Arial" w:hAnsi="Arial"/>
                <w:sz w:val="14"/>
                <w:szCs w:val="14"/>
                <w:color w:val="auto"/>
              </w:rPr>
              <w:t>—</w:t>
            </w:r>
          </w:p>
        </w:tc>
        <w:tc>
          <w:tcPr>
            <w:tcW w:w="980" w:type="dxa"/>
            <w:vAlign w:val="bottom"/>
            <w:shd w:val="clear" w:color="auto" w:fill="ACABA7"/>
          </w:tcPr>
          <w:p>
            <w:pPr>
              <w:jc w:val="right"/>
              <w:ind w:right="53"/>
              <w:spacing w:after="0" w:line="153" w:lineRule="exact"/>
              <w:rPr>
                <w:sz w:val="20"/>
                <w:szCs w:val="20"/>
                <w:color w:val="auto"/>
              </w:rPr>
            </w:pPr>
            <w:r>
              <w:rPr>
                <w:rFonts w:ascii="Arial" w:cs="Arial" w:eastAsia="Arial" w:hAnsi="Arial"/>
                <w:sz w:val="14"/>
                <w:szCs w:val="14"/>
                <w:color w:val="auto"/>
              </w:rPr>
              <w:t>866,184</w:t>
            </w:r>
          </w:p>
        </w:tc>
        <w:tc>
          <w:tcPr>
            <w:tcW w:w="960" w:type="dxa"/>
            <w:vAlign w:val="bottom"/>
            <w:shd w:val="clear" w:color="auto" w:fill="ACABA7"/>
          </w:tcPr>
          <w:p>
            <w:pPr>
              <w:jc w:val="right"/>
              <w:ind w:right="33"/>
              <w:spacing w:after="0" w:line="153" w:lineRule="exact"/>
              <w:rPr>
                <w:sz w:val="20"/>
                <w:szCs w:val="20"/>
                <w:color w:val="auto"/>
              </w:rPr>
            </w:pPr>
            <w:r>
              <w:rPr>
                <w:rFonts w:ascii="Arial" w:cs="Arial" w:eastAsia="Arial" w:hAnsi="Arial"/>
                <w:sz w:val="14"/>
                <w:szCs w:val="14"/>
                <w:color w:val="auto"/>
              </w:rPr>
              <w:t>210,308</w:t>
            </w:r>
          </w:p>
        </w:tc>
        <w:tc>
          <w:tcPr>
            <w:tcW w:w="880" w:type="dxa"/>
            <w:vAlign w:val="bottom"/>
            <w:shd w:val="clear" w:color="auto" w:fill="ACABA7"/>
          </w:tcPr>
          <w:p>
            <w:pPr>
              <w:jc w:val="right"/>
              <w:ind w:right="33"/>
              <w:spacing w:after="0" w:line="153" w:lineRule="exact"/>
              <w:rPr>
                <w:sz w:val="20"/>
                <w:szCs w:val="20"/>
                <w:color w:val="auto"/>
              </w:rPr>
            </w:pPr>
            <w:r>
              <w:rPr>
                <w:rFonts w:ascii="Arial" w:cs="Arial" w:eastAsia="Arial" w:hAnsi="Arial"/>
                <w:sz w:val="14"/>
                <w:szCs w:val="14"/>
                <w:color w:val="auto"/>
              </w:rPr>
              <w:t>579,087</w:t>
            </w:r>
          </w:p>
        </w:tc>
        <w:tc>
          <w:tcPr>
            <w:tcW w:w="920" w:type="dxa"/>
            <w:vAlign w:val="bottom"/>
            <w:shd w:val="clear" w:color="auto" w:fill="ACABA7"/>
          </w:tcPr>
          <w:p>
            <w:pPr>
              <w:jc w:val="right"/>
              <w:ind w:right="73"/>
              <w:spacing w:after="0" w:line="153" w:lineRule="exact"/>
              <w:rPr>
                <w:sz w:val="20"/>
                <w:szCs w:val="20"/>
                <w:color w:val="auto"/>
              </w:rPr>
            </w:pPr>
            <w:r>
              <w:rPr>
                <w:rFonts w:ascii="Arial" w:cs="Arial" w:eastAsia="Arial" w:hAnsi="Arial"/>
                <w:sz w:val="14"/>
                <w:szCs w:val="14"/>
                <w:color w:val="auto"/>
              </w:rPr>
              <w:t>15,367</w:t>
            </w:r>
          </w:p>
        </w:tc>
        <w:tc>
          <w:tcPr>
            <w:tcW w:w="860" w:type="dxa"/>
            <w:vAlign w:val="bottom"/>
            <w:shd w:val="clear" w:color="auto" w:fill="ACABA7"/>
          </w:tcPr>
          <w:p>
            <w:pPr>
              <w:jc w:val="right"/>
              <w:spacing w:after="0" w:line="153" w:lineRule="exact"/>
              <w:rPr>
                <w:sz w:val="20"/>
                <w:szCs w:val="20"/>
                <w:color w:val="auto"/>
              </w:rPr>
            </w:pPr>
            <w:r>
              <w:rPr>
                <w:rFonts w:ascii="Arial" w:cs="Arial" w:eastAsia="Arial" w:hAnsi="Arial"/>
                <w:sz w:val="14"/>
                <w:szCs w:val="14"/>
                <w:color w:val="auto"/>
              </w:rPr>
              <w:t>2,268,830</w:t>
            </w:r>
          </w:p>
        </w:tc>
      </w:tr>
      <w:tr>
        <w:trPr>
          <w:trHeight w:val="152"/>
        </w:trPr>
        <w:tc>
          <w:tcPr>
            <w:tcW w:w="3440" w:type="dxa"/>
            <w:vAlign w:val="bottom"/>
            <w:shd w:val="clear" w:color="auto" w:fill="ACABA7"/>
          </w:tcPr>
          <w:p>
            <w:pPr>
              <w:ind w:left="220"/>
              <w:spacing w:after="0" w:line="153" w:lineRule="exact"/>
              <w:rPr>
                <w:sz w:val="20"/>
                <w:szCs w:val="20"/>
                <w:color w:val="auto"/>
              </w:rPr>
            </w:pPr>
            <w:r>
              <w:rPr>
                <w:rFonts w:ascii="Arial" w:cs="Arial" w:eastAsia="Arial" w:hAnsi="Arial"/>
                <w:sz w:val="14"/>
                <w:szCs w:val="14"/>
                <w:color w:val="auto"/>
              </w:rPr>
              <w:t>Executive Vice President, General Counsel</w:t>
            </w:r>
          </w:p>
        </w:tc>
        <w:tc>
          <w:tcPr>
            <w:tcW w:w="740" w:type="dxa"/>
            <w:vAlign w:val="bottom"/>
            <w:shd w:val="clear" w:color="auto" w:fill="ACABA7"/>
          </w:tcPr>
          <w:p>
            <w:pPr>
              <w:jc w:val="right"/>
              <w:ind w:right="73"/>
              <w:spacing w:after="0" w:line="153" w:lineRule="exact"/>
              <w:rPr>
                <w:sz w:val="20"/>
                <w:szCs w:val="20"/>
                <w:color w:val="auto"/>
              </w:rPr>
            </w:pPr>
            <w:r>
              <w:rPr>
                <w:rFonts w:ascii="Arial" w:cs="Arial" w:eastAsia="Arial" w:hAnsi="Arial"/>
                <w:sz w:val="14"/>
                <w:szCs w:val="14"/>
                <w:color w:val="auto"/>
              </w:rPr>
              <w:t>2018</w:t>
            </w:r>
          </w:p>
        </w:tc>
        <w:tc>
          <w:tcPr>
            <w:tcW w:w="840" w:type="dxa"/>
            <w:vAlign w:val="bottom"/>
            <w:shd w:val="clear" w:color="auto" w:fill="ACABA7"/>
          </w:tcPr>
          <w:p>
            <w:pPr>
              <w:jc w:val="right"/>
              <w:ind w:right="52"/>
              <w:spacing w:after="0" w:line="153" w:lineRule="exact"/>
              <w:rPr>
                <w:sz w:val="20"/>
                <w:szCs w:val="20"/>
                <w:color w:val="auto"/>
              </w:rPr>
            </w:pPr>
            <w:r>
              <w:rPr>
                <w:rFonts w:ascii="Arial" w:cs="Arial" w:eastAsia="Arial" w:hAnsi="Arial"/>
                <w:sz w:val="14"/>
                <w:szCs w:val="14"/>
                <w:color w:val="auto"/>
              </w:rPr>
              <w:t>575,000</w:t>
            </w:r>
          </w:p>
        </w:tc>
        <w:tc>
          <w:tcPr>
            <w:tcW w:w="760" w:type="dxa"/>
            <w:vAlign w:val="bottom"/>
            <w:shd w:val="clear" w:color="auto" w:fill="ACABA7"/>
          </w:tcPr>
          <w:p>
            <w:pPr>
              <w:ind w:left="520"/>
              <w:spacing w:after="0" w:line="153" w:lineRule="exact"/>
              <w:rPr>
                <w:sz w:val="20"/>
                <w:szCs w:val="20"/>
                <w:color w:val="auto"/>
              </w:rPr>
            </w:pPr>
            <w:r>
              <w:rPr>
                <w:rFonts w:ascii="Arial" w:cs="Arial" w:eastAsia="Arial" w:hAnsi="Arial"/>
                <w:sz w:val="14"/>
                <w:szCs w:val="14"/>
                <w:color w:val="auto"/>
              </w:rPr>
              <w:t>—</w:t>
            </w:r>
          </w:p>
        </w:tc>
        <w:tc>
          <w:tcPr>
            <w:tcW w:w="980" w:type="dxa"/>
            <w:vAlign w:val="bottom"/>
            <w:shd w:val="clear" w:color="auto" w:fill="ACABA7"/>
          </w:tcPr>
          <w:p>
            <w:pPr>
              <w:jc w:val="right"/>
              <w:ind w:right="53"/>
              <w:spacing w:after="0" w:line="153" w:lineRule="exact"/>
              <w:rPr>
                <w:sz w:val="20"/>
                <w:szCs w:val="20"/>
                <w:color w:val="auto"/>
              </w:rPr>
            </w:pPr>
            <w:r>
              <w:rPr>
                <w:rFonts w:ascii="Arial" w:cs="Arial" w:eastAsia="Arial" w:hAnsi="Arial"/>
                <w:sz w:val="14"/>
                <w:szCs w:val="14"/>
                <w:color w:val="auto"/>
              </w:rPr>
              <w:t>716,254</w:t>
            </w:r>
          </w:p>
        </w:tc>
        <w:tc>
          <w:tcPr>
            <w:tcW w:w="960" w:type="dxa"/>
            <w:vAlign w:val="bottom"/>
            <w:shd w:val="clear" w:color="auto" w:fill="ACABA7"/>
          </w:tcPr>
          <w:p>
            <w:pPr>
              <w:jc w:val="right"/>
              <w:ind w:right="33"/>
              <w:spacing w:after="0" w:line="153" w:lineRule="exact"/>
              <w:rPr>
                <w:sz w:val="20"/>
                <w:szCs w:val="20"/>
                <w:color w:val="auto"/>
              </w:rPr>
            </w:pPr>
            <w:r>
              <w:rPr>
                <w:rFonts w:ascii="Arial" w:cs="Arial" w:eastAsia="Arial" w:hAnsi="Arial"/>
                <w:sz w:val="14"/>
                <w:szCs w:val="14"/>
                <w:color w:val="auto"/>
              </w:rPr>
              <w:t>172,502</w:t>
            </w:r>
          </w:p>
        </w:tc>
        <w:tc>
          <w:tcPr>
            <w:tcW w:w="880" w:type="dxa"/>
            <w:vAlign w:val="bottom"/>
            <w:shd w:val="clear" w:color="auto" w:fill="ACABA7"/>
          </w:tcPr>
          <w:p>
            <w:pPr>
              <w:jc w:val="right"/>
              <w:ind w:right="33"/>
              <w:spacing w:after="0" w:line="153" w:lineRule="exact"/>
              <w:rPr>
                <w:sz w:val="20"/>
                <w:szCs w:val="20"/>
                <w:color w:val="auto"/>
              </w:rPr>
            </w:pPr>
            <w:r>
              <w:rPr>
                <w:rFonts w:ascii="Arial" w:cs="Arial" w:eastAsia="Arial" w:hAnsi="Arial"/>
                <w:sz w:val="14"/>
                <w:szCs w:val="14"/>
                <w:color w:val="auto"/>
              </w:rPr>
              <w:t>538,384</w:t>
            </w:r>
          </w:p>
        </w:tc>
        <w:tc>
          <w:tcPr>
            <w:tcW w:w="920" w:type="dxa"/>
            <w:vAlign w:val="bottom"/>
            <w:shd w:val="clear" w:color="auto" w:fill="ACABA7"/>
          </w:tcPr>
          <w:p>
            <w:pPr>
              <w:jc w:val="right"/>
              <w:ind w:right="73"/>
              <w:spacing w:after="0" w:line="153" w:lineRule="exact"/>
              <w:rPr>
                <w:sz w:val="20"/>
                <w:szCs w:val="20"/>
                <w:color w:val="auto"/>
              </w:rPr>
            </w:pPr>
            <w:r>
              <w:rPr>
                <w:rFonts w:ascii="Arial" w:cs="Arial" w:eastAsia="Arial" w:hAnsi="Arial"/>
                <w:sz w:val="14"/>
                <w:szCs w:val="14"/>
                <w:color w:val="auto"/>
              </w:rPr>
              <w:t>11,231</w:t>
            </w:r>
          </w:p>
        </w:tc>
        <w:tc>
          <w:tcPr>
            <w:tcW w:w="860" w:type="dxa"/>
            <w:vAlign w:val="bottom"/>
            <w:shd w:val="clear" w:color="auto" w:fill="ACABA7"/>
          </w:tcPr>
          <w:p>
            <w:pPr>
              <w:jc w:val="right"/>
              <w:spacing w:after="0" w:line="153" w:lineRule="exact"/>
              <w:rPr>
                <w:sz w:val="20"/>
                <w:szCs w:val="20"/>
                <w:color w:val="auto"/>
              </w:rPr>
            </w:pPr>
            <w:r>
              <w:rPr>
                <w:rFonts w:ascii="Arial" w:cs="Arial" w:eastAsia="Arial" w:hAnsi="Arial"/>
                <w:sz w:val="14"/>
                <w:szCs w:val="14"/>
                <w:color w:val="auto"/>
              </w:rPr>
              <w:t>2,013,371</w:t>
            </w:r>
          </w:p>
        </w:tc>
      </w:tr>
      <w:tr>
        <w:trPr>
          <w:trHeight w:val="157"/>
        </w:trPr>
        <w:tc>
          <w:tcPr>
            <w:tcW w:w="3440" w:type="dxa"/>
            <w:vAlign w:val="bottom"/>
          </w:tcPr>
          <w:p>
            <w:pPr>
              <w:ind w:left="80"/>
              <w:spacing w:after="0" w:line="157" w:lineRule="exact"/>
              <w:rPr>
                <w:sz w:val="20"/>
                <w:szCs w:val="20"/>
                <w:color w:val="auto"/>
              </w:rPr>
            </w:pPr>
            <w:r>
              <w:rPr>
                <w:rFonts w:ascii="Arial" w:cs="Arial" w:eastAsia="Arial" w:hAnsi="Arial"/>
                <w:sz w:val="14"/>
                <w:szCs w:val="14"/>
                <w:color w:val="auto"/>
              </w:rPr>
              <w:t>Gerard A. Fasano</w:t>
            </w:r>
          </w:p>
        </w:tc>
        <w:tc>
          <w:tcPr>
            <w:tcW w:w="740" w:type="dxa"/>
            <w:vAlign w:val="bottom"/>
          </w:tcPr>
          <w:p>
            <w:pPr>
              <w:jc w:val="right"/>
              <w:ind w:right="73"/>
              <w:spacing w:after="0" w:line="157" w:lineRule="exact"/>
              <w:rPr>
                <w:sz w:val="20"/>
                <w:szCs w:val="20"/>
                <w:color w:val="auto"/>
              </w:rPr>
            </w:pPr>
            <w:r>
              <w:rPr>
                <w:rFonts w:ascii="Arial" w:cs="Arial" w:eastAsia="Arial" w:hAnsi="Arial"/>
                <w:sz w:val="14"/>
                <w:szCs w:val="14"/>
                <w:color w:val="auto"/>
              </w:rPr>
              <w:t>2019</w:t>
            </w:r>
          </w:p>
        </w:tc>
        <w:tc>
          <w:tcPr>
            <w:tcW w:w="840" w:type="dxa"/>
            <w:vAlign w:val="bottom"/>
          </w:tcPr>
          <w:p>
            <w:pPr>
              <w:jc w:val="right"/>
              <w:ind w:right="52"/>
              <w:spacing w:after="0" w:line="157" w:lineRule="exact"/>
              <w:rPr>
                <w:sz w:val="20"/>
                <w:szCs w:val="20"/>
                <w:color w:val="auto"/>
              </w:rPr>
            </w:pPr>
            <w:r>
              <w:rPr>
                <w:rFonts w:ascii="Arial" w:cs="Arial" w:eastAsia="Arial" w:hAnsi="Arial"/>
                <w:sz w:val="14"/>
                <w:szCs w:val="14"/>
                <w:color w:val="auto"/>
              </w:rPr>
              <w:t>525,865</w:t>
            </w:r>
          </w:p>
        </w:tc>
        <w:tc>
          <w:tcPr>
            <w:tcW w:w="760" w:type="dxa"/>
            <w:vAlign w:val="bottom"/>
          </w:tcPr>
          <w:p>
            <w:pPr>
              <w:ind w:left="520"/>
              <w:spacing w:after="0" w:line="157"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53"/>
              <w:spacing w:after="0" w:line="157" w:lineRule="exact"/>
              <w:rPr>
                <w:sz w:val="20"/>
                <w:szCs w:val="20"/>
                <w:color w:val="auto"/>
              </w:rPr>
            </w:pPr>
            <w:r>
              <w:rPr>
                <w:rFonts w:ascii="Arial" w:cs="Arial" w:eastAsia="Arial" w:hAnsi="Arial"/>
                <w:sz w:val="14"/>
                <w:szCs w:val="14"/>
                <w:color w:val="auto"/>
              </w:rPr>
              <w:t>880,847</w:t>
            </w:r>
          </w:p>
        </w:tc>
        <w:tc>
          <w:tcPr>
            <w:tcW w:w="960" w:type="dxa"/>
            <w:vAlign w:val="bottom"/>
          </w:tcPr>
          <w:p>
            <w:pPr>
              <w:jc w:val="right"/>
              <w:ind w:right="33"/>
              <w:spacing w:after="0" w:line="157" w:lineRule="exact"/>
              <w:rPr>
                <w:sz w:val="20"/>
                <w:szCs w:val="20"/>
                <w:color w:val="auto"/>
              </w:rPr>
            </w:pPr>
            <w:r>
              <w:rPr>
                <w:rFonts w:ascii="Arial" w:cs="Arial" w:eastAsia="Arial" w:hAnsi="Arial"/>
                <w:sz w:val="14"/>
                <w:szCs w:val="14"/>
                <w:color w:val="auto"/>
              </w:rPr>
              <w:t>213,881</w:t>
            </w:r>
          </w:p>
        </w:tc>
        <w:tc>
          <w:tcPr>
            <w:tcW w:w="880" w:type="dxa"/>
            <w:vAlign w:val="bottom"/>
          </w:tcPr>
          <w:p>
            <w:pPr>
              <w:jc w:val="right"/>
              <w:ind w:right="33"/>
              <w:spacing w:after="0" w:line="157" w:lineRule="exact"/>
              <w:rPr>
                <w:sz w:val="20"/>
                <w:szCs w:val="20"/>
                <w:color w:val="auto"/>
              </w:rPr>
            </w:pPr>
            <w:r>
              <w:rPr>
                <w:rFonts w:ascii="Arial" w:cs="Arial" w:eastAsia="Arial" w:hAnsi="Arial"/>
                <w:sz w:val="14"/>
                <w:szCs w:val="14"/>
                <w:color w:val="auto"/>
              </w:rPr>
              <w:t>508,738</w:t>
            </w:r>
          </w:p>
        </w:tc>
        <w:tc>
          <w:tcPr>
            <w:tcW w:w="920" w:type="dxa"/>
            <w:vAlign w:val="bottom"/>
          </w:tcPr>
          <w:p>
            <w:pPr>
              <w:jc w:val="right"/>
              <w:ind w:right="73"/>
              <w:spacing w:after="0" w:line="157" w:lineRule="exact"/>
              <w:rPr>
                <w:sz w:val="20"/>
                <w:szCs w:val="20"/>
                <w:color w:val="auto"/>
              </w:rPr>
            </w:pPr>
            <w:r>
              <w:rPr>
                <w:rFonts w:ascii="Arial" w:cs="Arial" w:eastAsia="Arial" w:hAnsi="Arial"/>
                <w:sz w:val="14"/>
                <w:szCs w:val="14"/>
                <w:color w:val="auto"/>
              </w:rPr>
              <w:t>64,358</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2,193,689</w:t>
            </w:r>
          </w:p>
        </w:tc>
      </w:tr>
      <w:tr>
        <w:trPr>
          <w:trHeight w:val="148"/>
        </w:trPr>
        <w:tc>
          <w:tcPr>
            <w:tcW w:w="3440" w:type="dxa"/>
            <w:vAlign w:val="bottom"/>
          </w:tcPr>
          <w:p>
            <w:pPr>
              <w:ind w:left="220"/>
              <w:spacing w:after="0" w:line="148" w:lineRule="exact"/>
              <w:rPr>
                <w:sz w:val="20"/>
                <w:szCs w:val="20"/>
                <w:color w:val="auto"/>
              </w:rPr>
            </w:pPr>
            <w:r>
              <w:rPr>
                <w:rFonts w:ascii="Arial" w:cs="Arial" w:eastAsia="Arial" w:hAnsi="Arial"/>
                <w:sz w:val="14"/>
                <w:szCs w:val="14"/>
                <w:color w:val="auto"/>
              </w:rPr>
              <w:t>Group President, Defense</w:t>
            </w: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2"/>
        </w:trPr>
        <w:tc>
          <w:tcPr>
            <w:tcW w:w="3440" w:type="dxa"/>
            <w:vAlign w:val="bottom"/>
            <w:shd w:val="clear" w:color="auto" w:fill="ACABA7"/>
          </w:tcPr>
          <w:p>
            <w:pPr>
              <w:ind w:left="60"/>
              <w:spacing w:after="0" w:line="153" w:lineRule="exact"/>
              <w:rPr>
                <w:sz w:val="20"/>
                <w:szCs w:val="20"/>
                <w:color w:val="auto"/>
              </w:rPr>
            </w:pPr>
            <w:r>
              <w:rPr>
                <w:rFonts w:ascii="Arial" w:cs="Arial" w:eastAsia="Arial" w:hAnsi="Arial"/>
                <w:sz w:val="14"/>
                <w:szCs w:val="14"/>
                <w:color w:val="auto"/>
              </w:rPr>
              <w:t>Angela L. Heise</w:t>
            </w:r>
          </w:p>
        </w:tc>
        <w:tc>
          <w:tcPr>
            <w:tcW w:w="740" w:type="dxa"/>
            <w:vAlign w:val="bottom"/>
            <w:shd w:val="clear" w:color="auto" w:fill="ACABA7"/>
          </w:tcPr>
          <w:p>
            <w:pPr>
              <w:jc w:val="right"/>
              <w:ind w:right="73"/>
              <w:spacing w:after="0" w:line="153" w:lineRule="exact"/>
              <w:rPr>
                <w:sz w:val="20"/>
                <w:szCs w:val="20"/>
                <w:color w:val="auto"/>
              </w:rPr>
            </w:pPr>
            <w:r>
              <w:rPr>
                <w:rFonts w:ascii="Arial" w:cs="Arial" w:eastAsia="Arial" w:hAnsi="Arial"/>
                <w:sz w:val="14"/>
                <w:szCs w:val="14"/>
                <w:color w:val="auto"/>
              </w:rPr>
              <w:t>2019</w:t>
            </w:r>
          </w:p>
        </w:tc>
        <w:tc>
          <w:tcPr>
            <w:tcW w:w="840" w:type="dxa"/>
            <w:vAlign w:val="bottom"/>
            <w:shd w:val="clear" w:color="auto" w:fill="ACABA7"/>
          </w:tcPr>
          <w:p>
            <w:pPr>
              <w:jc w:val="right"/>
              <w:ind w:right="52"/>
              <w:spacing w:after="0" w:line="153" w:lineRule="exact"/>
              <w:rPr>
                <w:sz w:val="20"/>
                <w:szCs w:val="20"/>
                <w:color w:val="auto"/>
              </w:rPr>
            </w:pPr>
            <w:r>
              <w:rPr>
                <w:rFonts w:ascii="Arial" w:cs="Arial" w:eastAsia="Arial" w:hAnsi="Arial"/>
                <w:sz w:val="14"/>
                <w:szCs w:val="14"/>
                <w:color w:val="auto"/>
              </w:rPr>
              <w:t>465,492</w:t>
            </w:r>
          </w:p>
        </w:tc>
        <w:tc>
          <w:tcPr>
            <w:tcW w:w="760" w:type="dxa"/>
            <w:vAlign w:val="bottom"/>
            <w:shd w:val="clear" w:color="auto" w:fill="ACABA7"/>
          </w:tcPr>
          <w:p>
            <w:pPr>
              <w:ind w:left="520"/>
              <w:spacing w:after="0" w:line="153" w:lineRule="exact"/>
              <w:rPr>
                <w:sz w:val="20"/>
                <w:szCs w:val="20"/>
                <w:color w:val="auto"/>
              </w:rPr>
            </w:pPr>
            <w:r>
              <w:rPr>
                <w:rFonts w:ascii="Arial" w:cs="Arial" w:eastAsia="Arial" w:hAnsi="Arial"/>
                <w:sz w:val="14"/>
                <w:szCs w:val="14"/>
                <w:color w:val="auto"/>
              </w:rPr>
              <w:t>—</w:t>
            </w:r>
          </w:p>
        </w:tc>
        <w:tc>
          <w:tcPr>
            <w:tcW w:w="980" w:type="dxa"/>
            <w:vAlign w:val="bottom"/>
            <w:shd w:val="clear" w:color="auto" w:fill="ACABA7"/>
          </w:tcPr>
          <w:p>
            <w:pPr>
              <w:jc w:val="right"/>
              <w:ind w:right="53"/>
              <w:spacing w:after="0" w:line="153" w:lineRule="exact"/>
              <w:rPr>
                <w:sz w:val="20"/>
                <w:szCs w:val="20"/>
                <w:color w:val="auto"/>
              </w:rPr>
            </w:pPr>
            <w:r>
              <w:rPr>
                <w:rFonts w:ascii="Arial" w:cs="Arial" w:eastAsia="Arial" w:hAnsi="Arial"/>
                <w:sz w:val="14"/>
                <w:szCs w:val="14"/>
                <w:color w:val="auto"/>
              </w:rPr>
              <w:t>1,153,487</w:t>
            </w:r>
          </w:p>
        </w:tc>
        <w:tc>
          <w:tcPr>
            <w:tcW w:w="960" w:type="dxa"/>
            <w:vAlign w:val="bottom"/>
            <w:shd w:val="clear" w:color="auto" w:fill="ACABA7"/>
          </w:tcPr>
          <w:p>
            <w:pPr>
              <w:jc w:val="right"/>
              <w:ind w:right="33"/>
              <w:spacing w:after="0" w:line="153" w:lineRule="exact"/>
              <w:rPr>
                <w:sz w:val="20"/>
                <w:szCs w:val="20"/>
                <w:color w:val="auto"/>
              </w:rPr>
            </w:pPr>
            <w:r>
              <w:rPr>
                <w:rFonts w:ascii="Arial" w:cs="Arial" w:eastAsia="Arial" w:hAnsi="Arial"/>
                <w:sz w:val="14"/>
                <w:szCs w:val="14"/>
                <w:color w:val="auto"/>
              </w:rPr>
              <w:t>280,070</w:t>
            </w:r>
          </w:p>
        </w:tc>
        <w:tc>
          <w:tcPr>
            <w:tcW w:w="880" w:type="dxa"/>
            <w:vAlign w:val="bottom"/>
            <w:shd w:val="clear" w:color="auto" w:fill="ACABA7"/>
          </w:tcPr>
          <w:p>
            <w:pPr>
              <w:jc w:val="right"/>
              <w:ind w:right="33"/>
              <w:spacing w:after="0" w:line="153" w:lineRule="exact"/>
              <w:rPr>
                <w:sz w:val="20"/>
                <w:szCs w:val="20"/>
                <w:color w:val="auto"/>
              </w:rPr>
            </w:pPr>
            <w:r>
              <w:rPr>
                <w:rFonts w:ascii="Arial" w:cs="Arial" w:eastAsia="Arial" w:hAnsi="Arial"/>
                <w:sz w:val="14"/>
                <w:szCs w:val="14"/>
                <w:color w:val="auto"/>
              </w:rPr>
              <w:t>466,520</w:t>
            </w:r>
          </w:p>
        </w:tc>
        <w:tc>
          <w:tcPr>
            <w:tcW w:w="920" w:type="dxa"/>
            <w:vAlign w:val="bottom"/>
            <w:shd w:val="clear" w:color="auto" w:fill="ACABA7"/>
          </w:tcPr>
          <w:p>
            <w:pPr>
              <w:jc w:val="right"/>
              <w:ind w:right="73"/>
              <w:spacing w:after="0" w:line="153" w:lineRule="exact"/>
              <w:rPr>
                <w:sz w:val="20"/>
                <w:szCs w:val="20"/>
                <w:color w:val="auto"/>
              </w:rPr>
            </w:pPr>
            <w:r>
              <w:rPr>
                <w:rFonts w:ascii="Arial" w:cs="Arial" w:eastAsia="Arial" w:hAnsi="Arial"/>
                <w:sz w:val="14"/>
                <w:szCs w:val="14"/>
                <w:color w:val="auto"/>
              </w:rPr>
              <w:t>583,807</w:t>
            </w:r>
          </w:p>
        </w:tc>
        <w:tc>
          <w:tcPr>
            <w:tcW w:w="860" w:type="dxa"/>
            <w:vAlign w:val="bottom"/>
            <w:shd w:val="clear" w:color="auto" w:fill="ACABA7"/>
          </w:tcPr>
          <w:p>
            <w:pPr>
              <w:jc w:val="right"/>
              <w:spacing w:after="0" w:line="153" w:lineRule="exact"/>
              <w:rPr>
                <w:sz w:val="20"/>
                <w:szCs w:val="20"/>
                <w:color w:val="auto"/>
              </w:rPr>
            </w:pPr>
            <w:r>
              <w:rPr>
                <w:rFonts w:ascii="Arial" w:cs="Arial" w:eastAsia="Arial" w:hAnsi="Arial"/>
                <w:sz w:val="14"/>
                <w:szCs w:val="14"/>
                <w:color w:val="auto"/>
              </w:rPr>
              <w:t>2,949,376</w:t>
            </w:r>
          </w:p>
        </w:tc>
      </w:tr>
      <w:tr>
        <w:trPr>
          <w:trHeight w:val="152"/>
        </w:trPr>
        <w:tc>
          <w:tcPr>
            <w:tcW w:w="3440" w:type="dxa"/>
            <w:vAlign w:val="bottom"/>
            <w:shd w:val="clear" w:color="auto" w:fill="ACABA7"/>
          </w:tcPr>
          <w:p>
            <w:pPr>
              <w:ind w:left="220"/>
              <w:spacing w:after="0" w:line="153" w:lineRule="exact"/>
              <w:rPr>
                <w:sz w:val="20"/>
                <w:szCs w:val="20"/>
                <w:color w:val="auto"/>
              </w:rPr>
            </w:pPr>
            <w:r>
              <w:rPr>
                <w:rFonts w:ascii="Arial" w:cs="Arial" w:eastAsia="Arial" w:hAnsi="Arial"/>
                <w:sz w:val="14"/>
                <w:szCs w:val="14"/>
                <w:color w:val="auto"/>
              </w:rPr>
              <w:t>Former Group President, Civil</w:t>
            </w:r>
          </w:p>
        </w:tc>
        <w:tc>
          <w:tcPr>
            <w:tcW w:w="740" w:type="dxa"/>
            <w:vAlign w:val="bottom"/>
            <w:shd w:val="clear" w:color="auto" w:fill="ACABA7"/>
          </w:tcPr>
          <w:p>
            <w:pPr>
              <w:jc w:val="right"/>
              <w:ind w:right="73"/>
              <w:spacing w:after="0" w:line="153" w:lineRule="exact"/>
              <w:rPr>
                <w:sz w:val="20"/>
                <w:szCs w:val="20"/>
                <w:color w:val="auto"/>
              </w:rPr>
            </w:pPr>
            <w:r>
              <w:rPr>
                <w:rFonts w:ascii="Arial" w:cs="Arial" w:eastAsia="Arial" w:hAnsi="Arial"/>
                <w:sz w:val="14"/>
                <w:szCs w:val="14"/>
                <w:color w:val="auto"/>
              </w:rPr>
              <w:t>2018</w:t>
            </w:r>
          </w:p>
        </w:tc>
        <w:tc>
          <w:tcPr>
            <w:tcW w:w="840" w:type="dxa"/>
            <w:vAlign w:val="bottom"/>
            <w:shd w:val="clear" w:color="auto" w:fill="ACABA7"/>
          </w:tcPr>
          <w:p>
            <w:pPr>
              <w:jc w:val="right"/>
              <w:ind w:right="52"/>
              <w:spacing w:after="0" w:line="153" w:lineRule="exact"/>
              <w:rPr>
                <w:sz w:val="20"/>
                <w:szCs w:val="20"/>
                <w:color w:val="auto"/>
              </w:rPr>
            </w:pPr>
            <w:r>
              <w:rPr>
                <w:rFonts w:ascii="Arial" w:cs="Arial" w:eastAsia="Arial" w:hAnsi="Arial"/>
                <w:sz w:val="14"/>
                <w:szCs w:val="14"/>
                <w:color w:val="auto"/>
              </w:rPr>
              <w:t>479,231</w:t>
            </w:r>
          </w:p>
        </w:tc>
        <w:tc>
          <w:tcPr>
            <w:tcW w:w="760" w:type="dxa"/>
            <w:vAlign w:val="bottom"/>
            <w:shd w:val="clear" w:color="auto" w:fill="ACABA7"/>
          </w:tcPr>
          <w:p>
            <w:pPr>
              <w:ind w:left="520"/>
              <w:spacing w:after="0" w:line="153" w:lineRule="exact"/>
              <w:rPr>
                <w:sz w:val="20"/>
                <w:szCs w:val="20"/>
                <w:color w:val="auto"/>
              </w:rPr>
            </w:pPr>
            <w:r>
              <w:rPr>
                <w:rFonts w:ascii="Arial" w:cs="Arial" w:eastAsia="Arial" w:hAnsi="Arial"/>
                <w:sz w:val="14"/>
                <w:szCs w:val="14"/>
                <w:color w:val="auto"/>
              </w:rPr>
              <w:t>—</w:t>
            </w:r>
          </w:p>
        </w:tc>
        <w:tc>
          <w:tcPr>
            <w:tcW w:w="980" w:type="dxa"/>
            <w:vAlign w:val="bottom"/>
            <w:shd w:val="clear" w:color="auto" w:fill="ACABA7"/>
          </w:tcPr>
          <w:p>
            <w:pPr>
              <w:jc w:val="right"/>
              <w:ind w:right="53"/>
              <w:spacing w:after="0" w:line="153" w:lineRule="exact"/>
              <w:rPr>
                <w:sz w:val="20"/>
                <w:szCs w:val="20"/>
                <w:color w:val="auto"/>
              </w:rPr>
            </w:pPr>
            <w:r>
              <w:rPr>
                <w:rFonts w:ascii="Arial" w:cs="Arial" w:eastAsia="Arial" w:hAnsi="Arial"/>
                <w:sz w:val="14"/>
                <w:szCs w:val="14"/>
                <w:color w:val="auto"/>
              </w:rPr>
              <w:t>830,413</w:t>
            </w:r>
          </w:p>
        </w:tc>
        <w:tc>
          <w:tcPr>
            <w:tcW w:w="960" w:type="dxa"/>
            <w:vAlign w:val="bottom"/>
            <w:shd w:val="clear" w:color="auto" w:fill="ACABA7"/>
          </w:tcPr>
          <w:p>
            <w:pPr>
              <w:jc w:val="right"/>
              <w:ind w:right="33"/>
              <w:spacing w:after="0" w:line="153" w:lineRule="exact"/>
              <w:rPr>
                <w:sz w:val="20"/>
                <w:szCs w:val="20"/>
                <w:color w:val="auto"/>
              </w:rPr>
            </w:pPr>
            <w:r>
              <w:rPr>
                <w:rFonts w:ascii="Arial" w:cs="Arial" w:eastAsia="Arial" w:hAnsi="Arial"/>
                <w:sz w:val="14"/>
                <w:szCs w:val="14"/>
                <w:color w:val="auto"/>
              </w:rPr>
              <w:t>200,004</w:t>
            </w:r>
          </w:p>
        </w:tc>
        <w:tc>
          <w:tcPr>
            <w:tcW w:w="880" w:type="dxa"/>
            <w:vAlign w:val="bottom"/>
            <w:shd w:val="clear" w:color="auto" w:fill="ACABA7"/>
          </w:tcPr>
          <w:p>
            <w:pPr>
              <w:jc w:val="right"/>
              <w:ind w:right="33"/>
              <w:spacing w:after="0" w:line="153" w:lineRule="exact"/>
              <w:rPr>
                <w:sz w:val="20"/>
                <w:szCs w:val="20"/>
                <w:color w:val="auto"/>
              </w:rPr>
            </w:pPr>
            <w:r>
              <w:rPr>
                <w:rFonts w:ascii="Arial" w:cs="Arial" w:eastAsia="Arial" w:hAnsi="Arial"/>
                <w:sz w:val="14"/>
                <w:szCs w:val="14"/>
                <w:color w:val="auto"/>
              </w:rPr>
              <w:t>515,430</w:t>
            </w:r>
          </w:p>
        </w:tc>
        <w:tc>
          <w:tcPr>
            <w:tcW w:w="920" w:type="dxa"/>
            <w:vAlign w:val="bottom"/>
            <w:shd w:val="clear" w:color="auto" w:fill="ACABA7"/>
          </w:tcPr>
          <w:p>
            <w:pPr>
              <w:jc w:val="right"/>
              <w:ind w:right="73"/>
              <w:spacing w:after="0" w:line="153" w:lineRule="exact"/>
              <w:rPr>
                <w:sz w:val="20"/>
                <w:szCs w:val="20"/>
                <w:color w:val="auto"/>
              </w:rPr>
            </w:pPr>
            <w:r>
              <w:rPr>
                <w:rFonts w:ascii="Arial" w:cs="Arial" w:eastAsia="Arial" w:hAnsi="Arial"/>
                <w:sz w:val="14"/>
                <w:szCs w:val="14"/>
                <w:color w:val="auto"/>
              </w:rPr>
              <w:t>13,750</w:t>
            </w:r>
          </w:p>
        </w:tc>
        <w:tc>
          <w:tcPr>
            <w:tcW w:w="860" w:type="dxa"/>
            <w:vAlign w:val="bottom"/>
            <w:shd w:val="clear" w:color="auto" w:fill="ACABA7"/>
          </w:tcPr>
          <w:p>
            <w:pPr>
              <w:jc w:val="right"/>
              <w:spacing w:after="0" w:line="153" w:lineRule="exact"/>
              <w:rPr>
                <w:sz w:val="20"/>
                <w:szCs w:val="20"/>
                <w:color w:val="auto"/>
              </w:rPr>
            </w:pPr>
            <w:r>
              <w:rPr>
                <w:rFonts w:ascii="Arial" w:cs="Arial" w:eastAsia="Arial" w:hAnsi="Arial"/>
                <w:sz w:val="14"/>
                <w:szCs w:val="14"/>
                <w:color w:val="auto"/>
              </w:rPr>
              <w:t>2,038,828</w:t>
            </w:r>
          </w:p>
        </w:tc>
      </w:tr>
      <w:tr>
        <w:trPr>
          <w:trHeight w:val="152"/>
        </w:trPr>
        <w:tc>
          <w:tcPr>
            <w:tcW w:w="3440" w:type="dxa"/>
            <w:vAlign w:val="bottom"/>
            <w:shd w:val="clear" w:color="auto" w:fill="ACABA7"/>
          </w:tcPr>
          <w:p>
            <w:pPr>
              <w:spacing w:after="0"/>
              <w:rPr>
                <w:sz w:val="13"/>
                <w:szCs w:val="13"/>
                <w:color w:val="auto"/>
              </w:rPr>
            </w:pPr>
          </w:p>
        </w:tc>
        <w:tc>
          <w:tcPr>
            <w:tcW w:w="740" w:type="dxa"/>
            <w:vAlign w:val="bottom"/>
            <w:shd w:val="clear" w:color="auto" w:fill="ACABA7"/>
          </w:tcPr>
          <w:p>
            <w:pPr>
              <w:jc w:val="right"/>
              <w:ind w:right="73"/>
              <w:spacing w:after="0" w:line="153" w:lineRule="exact"/>
              <w:rPr>
                <w:sz w:val="20"/>
                <w:szCs w:val="20"/>
                <w:color w:val="auto"/>
              </w:rPr>
            </w:pPr>
            <w:r>
              <w:rPr>
                <w:rFonts w:ascii="Arial" w:cs="Arial" w:eastAsia="Arial" w:hAnsi="Arial"/>
                <w:sz w:val="14"/>
                <w:szCs w:val="14"/>
                <w:color w:val="auto"/>
              </w:rPr>
              <w:t>2017</w:t>
            </w:r>
          </w:p>
        </w:tc>
        <w:tc>
          <w:tcPr>
            <w:tcW w:w="840" w:type="dxa"/>
            <w:vAlign w:val="bottom"/>
            <w:shd w:val="clear" w:color="auto" w:fill="ACABA7"/>
          </w:tcPr>
          <w:p>
            <w:pPr>
              <w:jc w:val="right"/>
              <w:ind w:right="52"/>
              <w:spacing w:after="0" w:line="153" w:lineRule="exact"/>
              <w:rPr>
                <w:sz w:val="20"/>
                <w:szCs w:val="20"/>
                <w:color w:val="auto"/>
              </w:rPr>
            </w:pPr>
            <w:r>
              <w:rPr>
                <w:rFonts w:ascii="Arial" w:cs="Arial" w:eastAsia="Arial" w:hAnsi="Arial"/>
                <w:sz w:val="14"/>
                <w:szCs w:val="14"/>
                <w:color w:val="auto"/>
              </w:rPr>
              <w:t>394,712</w:t>
            </w:r>
          </w:p>
        </w:tc>
        <w:tc>
          <w:tcPr>
            <w:tcW w:w="760" w:type="dxa"/>
            <w:vAlign w:val="bottom"/>
            <w:shd w:val="clear" w:color="auto" w:fill="ACABA7"/>
          </w:tcPr>
          <w:p>
            <w:pPr>
              <w:ind w:left="520"/>
              <w:spacing w:after="0" w:line="153" w:lineRule="exact"/>
              <w:rPr>
                <w:sz w:val="20"/>
                <w:szCs w:val="20"/>
                <w:color w:val="auto"/>
              </w:rPr>
            </w:pPr>
            <w:r>
              <w:rPr>
                <w:rFonts w:ascii="Arial" w:cs="Arial" w:eastAsia="Arial" w:hAnsi="Arial"/>
                <w:sz w:val="14"/>
                <w:szCs w:val="14"/>
                <w:color w:val="auto"/>
              </w:rPr>
              <w:t>—</w:t>
            </w:r>
          </w:p>
        </w:tc>
        <w:tc>
          <w:tcPr>
            <w:tcW w:w="980" w:type="dxa"/>
            <w:vAlign w:val="bottom"/>
            <w:shd w:val="clear" w:color="auto" w:fill="ACABA7"/>
          </w:tcPr>
          <w:p>
            <w:pPr>
              <w:jc w:val="right"/>
              <w:ind w:right="53"/>
              <w:spacing w:after="0" w:line="153" w:lineRule="exact"/>
              <w:rPr>
                <w:sz w:val="20"/>
                <w:szCs w:val="20"/>
                <w:color w:val="auto"/>
              </w:rPr>
            </w:pPr>
            <w:r>
              <w:rPr>
                <w:rFonts w:ascii="Arial" w:cs="Arial" w:eastAsia="Arial" w:hAnsi="Arial"/>
                <w:sz w:val="14"/>
                <w:szCs w:val="14"/>
                <w:color w:val="auto"/>
              </w:rPr>
              <w:t>689,398</w:t>
            </w:r>
          </w:p>
        </w:tc>
        <w:tc>
          <w:tcPr>
            <w:tcW w:w="960" w:type="dxa"/>
            <w:vAlign w:val="bottom"/>
            <w:shd w:val="clear" w:color="auto" w:fill="ACABA7"/>
          </w:tcPr>
          <w:p>
            <w:pPr>
              <w:jc w:val="right"/>
              <w:ind w:right="33"/>
              <w:spacing w:after="0" w:line="153" w:lineRule="exact"/>
              <w:rPr>
                <w:sz w:val="20"/>
                <w:szCs w:val="20"/>
                <w:color w:val="auto"/>
              </w:rPr>
            </w:pPr>
            <w:r>
              <w:rPr>
                <w:rFonts w:ascii="Arial" w:cs="Arial" w:eastAsia="Arial" w:hAnsi="Arial"/>
                <w:sz w:val="14"/>
                <w:szCs w:val="14"/>
                <w:color w:val="auto"/>
              </w:rPr>
              <w:t>176,391</w:t>
            </w:r>
          </w:p>
        </w:tc>
        <w:tc>
          <w:tcPr>
            <w:tcW w:w="880" w:type="dxa"/>
            <w:vAlign w:val="bottom"/>
            <w:shd w:val="clear" w:color="auto" w:fill="ACABA7"/>
          </w:tcPr>
          <w:p>
            <w:pPr>
              <w:jc w:val="right"/>
              <w:ind w:right="33"/>
              <w:spacing w:after="0" w:line="153" w:lineRule="exact"/>
              <w:rPr>
                <w:sz w:val="20"/>
                <w:szCs w:val="20"/>
                <w:color w:val="auto"/>
              </w:rPr>
            </w:pPr>
            <w:r>
              <w:rPr>
                <w:rFonts w:ascii="Arial" w:cs="Arial" w:eastAsia="Arial" w:hAnsi="Arial"/>
                <w:sz w:val="14"/>
                <w:szCs w:val="14"/>
                <w:color w:val="auto"/>
              </w:rPr>
              <w:t>322,234</w:t>
            </w:r>
          </w:p>
        </w:tc>
        <w:tc>
          <w:tcPr>
            <w:tcW w:w="920" w:type="dxa"/>
            <w:vAlign w:val="bottom"/>
            <w:shd w:val="clear" w:color="auto" w:fill="ACABA7"/>
          </w:tcPr>
          <w:p>
            <w:pPr>
              <w:jc w:val="right"/>
              <w:ind w:right="73"/>
              <w:spacing w:after="0" w:line="153" w:lineRule="exact"/>
              <w:rPr>
                <w:sz w:val="20"/>
                <w:szCs w:val="20"/>
                <w:color w:val="auto"/>
              </w:rPr>
            </w:pPr>
            <w:r>
              <w:rPr>
                <w:rFonts w:ascii="Arial" w:cs="Arial" w:eastAsia="Arial" w:hAnsi="Arial"/>
                <w:sz w:val="14"/>
                <w:szCs w:val="14"/>
                <w:color w:val="auto"/>
              </w:rPr>
              <w:t>18,779</w:t>
            </w:r>
          </w:p>
        </w:tc>
        <w:tc>
          <w:tcPr>
            <w:tcW w:w="860" w:type="dxa"/>
            <w:vAlign w:val="bottom"/>
            <w:shd w:val="clear" w:color="auto" w:fill="ACABA7"/>
          </w:tcPr>
          <w:p>
            <w:pPr>
              <w:jc w:val="right"/>
              <w:spacing w:after="0" w:line="153" w:lineRule="exact"/>
              <w:rPr>
                <w:sz w:val="20"/>
                <w:szCs w:val="20"/>
                <w:color w:val="auto"/>
              </w:rPr>
            </w:pPr>
            <w:r>
              <w:rPr>
                <w:rFonts w:ascii="Arial" w:cs="Arial" w:eastAsia="Arial" w:hAnsi="Arial"/>
                <w:sz w:val="14"/>
                <w:szCs w:val="14"/>
                <w:color w:val="auto"/>
              </w:rPr>
              <w:t>1,601,514</w:t>
            </w:r>
          </w:p>
        </w:tc>
      </w:tr>
    </w:tbl>
    <w:p>
      <w:pPr>
        <w:spacing w:after="0" w:line="228" w:lineRule="exact"/>
        <w:rPr>
          <w:sz w:val="20"/>
          <w:szCs w:val="20"/>
          <w:color w:val="auto"/>
        </w:rPr>
      </w:pPr>
    </w:p>
    <w:p>
      <w:pPr>
        <w:ind w:left="840" w:hanging="400"/>
        <w:spacing w:after="0"/>
        <w:tabs>
          <w:tab w:leader="none" w:pos="8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Compensation is provided only for fiscal years for which an individual qualified as a named executive officer.</w:t>
      </w:r>
    </w:p>
    <w:p>
      <w:pPr>
        <w:spacing w:after="0" w:line="109" w:lineRule="exact"/>
        <w:rPr>
          <w:rFonts w:ascii="Arial" w:cs="Arial" w:eastAsia="Arial" w:hAnsi="Arial"/>
          <w:sz w:val="17"/>
          <w:szCs w:val="17"/>
          <w:color w:val="auto"/>
        </w:rPr>
      </w:pPr>
    </w:p>
    <w:p>
      <w:pPr>
        <w:ind w:left="840" w:right="40" w:hanging="400"/>
        <w:spacing w:after="0" w:line="236" w:lineRule="auto"/>
        <w:tabs>
          <w:tab w:leader="none" w:pos="8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These columns reflect the grant date fair value of each award granted in the stated fiscal years computed in accordance with stock-based compensation accounting rules (FASB ASC Topic 718). The awards shown in the “Stock awards” column in the above table include restricted stock units and performance share awards. Values for all performance share awards are computed based upon the probable outcome of the performance conditions as of the grant date of the award. Assuming the highest level of the performance conditions is achieved, the value of the fiscal 2019 performance shares in the “Stock awards” column would be as follows: Mr. Krone, $7,757,891; Mr. Reagan, $1,773,307; Mr. Scholl, $1,263,547; Mr. Howe, $1,144,386; Mr. Fasano, $1,163,759 and Ms. Heise, $1,523,962. The awards shown in the “Option awards” column are not subject to performance conditions.</w:t>
      </w:r>
    </w:p>
    <w:p>
      <w:pPr>
        <w:spacing w:after="0" w:line="90" w:lineRule="exact"/>
        <w:rPr>
          <w:rFonts w:ascii="Arial" w:cs="Arial" w:eastAsia="Arial" w:hAnsi="Arial"/>
          <w:sz w:val="17"/>
          <w:szCs w:val="17"/>
          <w:color w:val="auto"/>
        </w:rPr>
      </w:pPr>
    </w:p>
    <w:p>
      <w:pPr>
        <w:jc w:val="both"/>
        <w:ind w:left="860" w:right="220"/>
        <w:spacing w:after="0" w:line="239" w:lineRule="auto"/>
        <w:rPr>
          <w:rFonts w:ascii="Arial" w:cs="Arial" w:eastAsia="Arial" w:hAnsi="Arial"/>
          <w:sz w:val="17"/>
          <w:szCs w:val="17"/>
          <w:color w:val="auto"/>
        </w:rPr>
      </w:pPr>
      <w:r>
        <w:rPr>
          <w:rFonts w:ascii="Arial" w:cs="Arial" w:eastAsia="Arial" w:hAnsi="Arial"/>
          <w:sz w:val="17"/>
          <w:szCs w:val="17"/>
          <w:color w:val="auto"/>
        </w:rPr>
        <w:t>For more information regarding our application of FASB ASC Topic 718, including the assumptions used in the calculation of these amounts, please refer to Note 20 of the Notes to Consolidated Financial Statements contained in our Annual Report on Form 10-K filed with the SEC on February 18, 2020.</w:t>
      </w:r>
    </w:p>
    <w:p>
      <w:pPr>
        <w:spacing w:after="0" w:line="102" w:lineRule="exact"/>
        <w:rPr>
          <w:rFonts w:ascii="Arial" w:cs="Arial" w:eastAsia="Arial" w:hAnsi="Arial"/>
          <w:sz w:val="17"/>
          <w:szCs w:val="17"/>
          <w:color w:val="auto"/>
        </w:rPr>
      </w:pPr>
    </w:p>
    <w:p>
      <w:pPr>
        <w:jc w:val="both"/>
        <w:ind w:left="840" w:right="240" w:hanging="400"/>
        <w:spacing w:after="0" w:line="239" w:lineRule="auto"/>
        <w:tabs>
          <w:tab w:leader="none" w:pos="8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Amounts shown in this column represent the actual amounts paid to the named executive officers under our cash incentive award programs for the stated fiscal years. The threshold, target and maximum payouts are shown in the “Grants of Plan-Based Awards” table under the column headed “Estimated future payouts under non-equity incentive plan awards.”</w:t>
      </w:r>
    </w:p>
    <w:p>
      <w:pPr>
        <w:spacing w:after="0" w:line="102" w:lineRule="exact"/>
        <w:rPr>
          <w:rFonts w:ascii="Arial" w:cs="Arial" w:eastAsia="Arial" w:hAnsi="Arial"/>
          <w:sz w:val="17"/>
          <w:szCs w:val="17"/>
          <w:color w:val="auto"/>
        </w:rPr>
      </w:pPr>
    </w:p>
    <w:p>
      <w:pPr>
        <w:jc w:val="both"/>
        <w:ind w:left="840" w:right="420" w:hanging="400"/>
        <w:spacing w:after="0" w:line="237" w:lineRule="auto"/>
        <w:tabs>
          <w:tab w:leader="none" w:pos="8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Amounts shown in this column for Fiscal 2019 represent company contributions that we made on behalf of the named executive officers under the Leidos Retirement Plan as follows: Mr. Krone, $15,008; Mr. Reagan, $4,069; Mr. Howe, $14,567; Mr. Fasano, $14,505, and Ms. Heise, $14,000. In addition, the amount includes $569,807 paid in October 2019 to Ms. Heise pursuant to our Executive Severance Plan and $49,854 paid to Mr. Fasano as a housing allowance.</w:t>
      </w:r>
    </w:p>
    <w:p>
      <w:pPr>
        <w:spacing w:after="0" w:line="115" w:lineRule="exact"/>
        <w:rPr>
          <w:sz w:val="20"/>
          <w:szCs w:val="20"/>
          <w:color w:val="auto"/>
        </w:rPr>
      </w:pPr>
    </w:p>
    <w:p>
      <w:pPr>
        <w:ind w:left="8680"/>
        <w:spacing w:after="0"/>
        <w:tabs>
          <w:tab w:leader="none" w:pos="10400" w:val="left"/>
          <w:tab w:leader="none" w:pos="1062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33</w:t>
      </w:r>
    </w:p>
    <w:p>
      <w:pPr>
        <w:sectPr>
          <w:pgSz w:w="11900" w:h="16838" w:orient="portrait"/>
          <w:cols w:equalWidth="0" w:num="1">
            <w:col w:w="10820"/>
          </w:cols>
          <w:pgMar w:left="320" w:top="441" w:right="75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Grants of Plan-Based Awards</w:t>
      </w:r>
    </w:p>
    <w:p>
      <w:pPr>
        <w:spacing w:after="0" w:line="218" w:lineRule="exact"/>
        <w:rPr>
          <w:sz w:val="20"/>
          <w:szCs w:val="20"/>
          <w:color w:val="auto"/>
        </w:rPr>
      </w:pPr>
    </w:p>
    <w:p>
      <w:pPr>
        <w:jc w:val="both"/>
        <w:ind w:left="440" w:right="200"/>
        <w:spacing w:after="0" w:line="239" w:lineRule="auto"/>
        <w:rPr>
          <w:sz w:val="20"/>
          <w:szCs w:val="20"/>
          <w:color w:val="auto"/>
        </w:rPr>
      </w:pPr>
      <w:r>
        <w:rPr>
          <w:rFonts w:ascii="Arial" w:cs="Arial" w:eastAsia="Arial" w:hAnsi="Arial"/>
          <w:sz w:val="17"/>
          <w:szCs w:val="17"/>
          <w:color w:val="auto"/>
        </w:rPr>
        <w:t>The following table sets forth information regarding the cash and equity incentive awards made to our named executive officers in fiscal 2019 pursuant to our 2017 Omnibus Incentive Plan, including any portion of such awards deferred into our Key Executive Stock Deferral Plan and Keystaff Deferral Plan.</w:t>
      </w:r>
    </w:p>
    <w:p>
      <w:pPr>
        <w:spacing w:after="0" w:line="207" w:lineRule="exact"/>
        <w:rPr>
          <w:sz w:val="20"/>
          <w:szCs w:val="20"/>
          <w:color w:val="auto"/>
        </w:rPr>
      </w:pPr>
    </w:p>
    <w:tbl>
      <w:tblPr>
        <w:tblLayout w:type="fixed"/>
        <w:tblInd w:w="440" w:type="dxa"/>
        <w:tblCellMar>
          <w:top w:w="0" w:type="dxa"/>
          <w:left w:w="0" w:type="dxa"/>
          <w:bottom w:w="0" w:type="dxa"/>
          <w:right w:w="0" w:type="dxa"/>
        </w:tblCellMar>
      </w:tblPr>
      <w:tr>
        <w:trPr>
          <w:trHeight w:val="149"/>
        </w:trPr>
        <w:tc>
          <w:tcPr>
            <w:tcW w:w="1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jc w:val="center"/>
              <w:ind w:left="16"/>
              <w:spacing w:after="0"/>
              <w:rPr>
                <w:sz w:val="20"/>
                <w:szCs w:val="20"/>
                <w:color w:val="auto"/>
              </w:rPr>
            </w:pPr>
            <w:r>
              <w:rPr>
                <w:rFonts w:ascii="Arial" w:cs="Arial" w:eastAsia="Arial" w:hAnsi="Arial"/>
                <w:sz w:val="13"/>
                <w:szCs w:val="13"/>
                <w:color w:val="483E65"/>
                <w:w w:val="96"/>
              </w:rPr>
              <w:t>All other</w:t>
            </w:r>
          </w:p>
        </w:tc>
        <w:tc>
          <w:tcPr>
            <w:tcW w:w="760" w:type="dxa"/>
            <w:vAlign w:val="bottom"/>
          </w:tcPr>
          <w:p>
            <w:pPr>
              <w:jc w:val="center"/>
              <w:spacing w:after="0"/>
              <w:rPr>
                <w:sz w:val="20"/>
                <w:szCs w:val="20"/>
                <w:color w:val="auto"/>
              </w:rPr>
            </w:pPr>
            <w:r>
              <w:rPr>
                <w:rFonts w:ascii="Arial" w:cs="Arial" w:eastAsia="Arial" w:hAnsi="Arial"/>
                <w:sz w:val="13"/>
                <w:szCs w:val="13"/>
                <w:color w:val="483E65"/>
                <w:w w:val="96"/>
              </w:rPr>
              <w:t>All other</w:t>
            </w: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180" w:type="dxa"/>
            <w:vAlign w:val="bottom"/>
            <w:gridSpan w:val="3"/>
            <w:vMerge w:val="restart"/>
          </w:tcPr>
          <w:p>
            <w:pPr>
              <w:jc w:val="center"/>
              <w:spacing w:after="0"/>
              <w:rPr>
                <w:sz w:val="20"/>
                <w:szCs w:val="20"/>
                <w:color w:val="auto"/>
              </w:rPr>
            </w:pPr>
            <w:r>
              <w:rPr>
                <w:rFonts w:ascii="Arial" w:cs="Arial" w:eastAsia="Arial" w:hAnsi="Arial"/>
                <w:sz w:val="13"/>
                <w:szCs w:val="13"/>
                <w:color w:val="483E65"/>
                <w:w w:val="97"/>
              </w:rPr>
              <w:t>Estimated future payouts under</w:t>
            </w:r>
          </w:p>
        </w:tc>
        <w:tc>
          <w:tcPr>
            <w:tcW w:w="180" w:type="dxa"/>
            <w:vAlign w:val="bottom"/>
          </w:tcPr>
          <w:p>
            <w:pPr>
              <w:spacing w:after="0"/>
              <w:rPr>
                <w:sz w:val="12"/>
                <w:szCs w:val="12"/>
                <w:color w:val="auto"/>
              </w:rPr>
            </w:pPr>
          </w:p>
        </w:tc>
        <w:tc>
          <w:tcPr>
            <w:tcW w:w="1920" w:type="dxa"/>
            <w:vAlign w:val="bottom"/>
            <w:gridSpan w:val="3"/>
            <w:vMerge w:val="restart"/>
          </w:tcPr>
          <w:p>
            <w:pPr>
              <w:jc w:val="center"/>
              <w:spacing w:after="0"/>
              <w:rPr>
                <w:sz w:val="20"/>
                <w:szCs w:val="20"/>
                <w:color w:val="auto"/>
              </w:rPr>
            </w:pPr>
            <w:r>
              <w:rPr>
                <w:rFonts w:ascii="Arial" w:cs="Arial" w:eastAsia="Arial" w:hAnsi="Arial"/>
                <w:sz w:val="13"/>
                <w:szCs w:val="13"/>
                <w:color w:val="483E65"/>
                <w:w w:val="98"/>
              </w:rPr>
              <w:t>Estimated future payouts</w:t>
            </w:r>
          </w:p>
        </w:tc>
        <w:tc>
          <w:tcPr>
            <w:tcW w:w="860" w:type="dxa"/>
            <w:vAlign w:val="bottom"/>
          </w:tcPr>
          <w:p>
            <w:pPr>
              <w:jc w:val="center"/>
              <w:ind w:left="16"/>
              <w:spacing w:after="0" w:line="140" w:lineRule="exact"/>
              <w:rPr>
                <w:sz w:val="20"/>
                <w:szCs w:val="20"/>
                <w:color w:val="auto"/>
              </w:rPr>
            </w:pPr>
            <w:r>
              <w:rPr>
                <w:rFonts w:ascii="Arial" w:cs="Arial" w:eastAsia="Arial" w:hAnsi="Arial"/>
                <w:sz w:val="13"/>
                <w:szCs w:val="13"/>
                <w:color w:val="483E65"/>
                <w:w w:val="95"/>
              </w:rPr>
              <w:t>option</w:t>
            </w:r>
          </w:p>
        </w:tc>
        <w:tc>
          <w:tcPr>
            <w:tcW w:w="760" w:type="dxa"/>
            <w:vAlign w:val="bottom"/>
          </w:tcPr>
          <w:p>
            <w:pPr>
              <w:jc w:val="center"/>
              <w:spacing w:after="0" w:line="140" w:lineRule="exact"/>
              <w:rPr>
                <w:sz w:val="20"/>
                <w:szCs w:val="20"/>
                <w:color w:val="auto"/>
              </w:rPr>
            </w:pPr>
            <w:r>
              <w:rPr>
                <w:rFonts w:ascii="Arial" w:cs="Arial" w:eastAsia="Arial" w:hAnsi="Arial"/>
                <w:sz w:val="13"/>
                <w:szCs w:val="13"/>
                <w:color w:val="483E65"/>
                <w:w w:val="98"/>
              </w:rPr>
              <w:t>stock</w:t>
            </w: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1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920" w:type="dxa"/>
            <w:vAlign w:val="bottom"/>
            <w:gridSpan w:val="3"/>
            <w:vMerge w:val="continue"/>
          </w:tcPr>
          <w:p>
            <w:pPr>
              <w:spacing w:after="0"/>
              <w:rPr>
                <w:sz w:val="7"/>
                <w:szCs w:val="7"/>
                <w:color w:val="auto"/>
              </w:rPr>
            </w:pPr>
          </w:p>
        </w:tc>
        <w:tc>
          <w:tcPr>
            <w:tcW w:w="860" w:type="dxa"/>
            <w:vAlign w:val="bottom"/>
            <w:vMerge w:val="restart"/>
          </w:tcPr>
          <w:p>
            <w:pPr>
              <w:jc w:val="center"/>
              <w:spacing w:after="0" w:line="140" w:lineRule="exact"/>
              <w:rPr>
                <w:sz w:val="20"/>
                <w:szCs w:val="20"/>
                <w:color w:val="auto"/>
              </w:rPr>
            </w:pPr>
            <w:r>
              <w:rPr>
                <w:rFonts w:ascii="Arial" w:cs="Arial" w:eastAsia="Arial" w:hAnsi="Arial"/>
                <w:sz w:val="13"/>
                <w:szCs w:val="13"/>
                <w:color w:val="483E65"/>
                <w:w w:val="96"/>
              </w:rPr>
              <w:t>awards;</w:t>
            </w:r>
          </w:p>
        </w:tc>
        <w:tc>
          <w:tcPr>
            <w:tcW w:w="760" w:type="dxa"/>
            <w:vAlign w:val="bottom"/>
            <w:vMerge w:val="restart"/>
          </w:tcPr>
          <w:p>
            <w:pPr>
              <w:jc w:val="center"/>
              <w:spacing w:after="0" w:line="140" w:lineRule="exact"/>
              <w:rPr>
                <w:sz w:val="20"/>
                <w:szCs w:val="20"/>
                <w:color w:val="auto"/>
              </w:rPr>
            </w:pPr>
            <w:r>
              <w:rPr>
                <w:rFonts w:ascii="Arial" w:cs="Arial" w:eastAsia="Arial" w:hAnsi="Arial"/>
                <w:sz w:val="13"/>
                <w:szCs w:val="13"/>
                <w:color w:val="483E65"/>
                <w:w w:val="96"/>
              </w:rPr>
              <w:t>awards;</w:t>
            </w:r>
          </w:p>
        </w:tc>
        <w:tc>
          <w:tcPr>
            <w:tcW w:w="720" w:type="dxa"/>
            <w:vAlign w:val="bottom"/>
            <w:vMerge w:val="restart"/>
          </w:tcPr>
          <w:p>
            <w:pPr>
              <w:jc w:val="center"/>
              <w:spacing w:after="0" w:line="140" w:lineRule="exact"/>
              <w:rPr>
                <w:sz w:val="20"/>
                <w:szCs w:val="20"/>
                <w:color w:val="auto"/>
              </w:rPr>
            </w:pPr>
            <w:r>
              <w:rPr>
                <w:rFonts w:ascii="Arial" w:cs="Arial" w:eastAsia="Arial" w:hAnsi="Arial"/>
                <w:sz w:val="13"/>
                <w:szCs w:val="13"/>
                <w:color w:val="483E65"/>
                <w:w w:val="96"/>
              </w:rPr>
              <w:t>Exercise</w:t>
            </w:r>
          </w:p>
        </w:tc>
        <w:tc>
          <w:tcPr>
            <w:tcW w:w="800" w:type="dxa"/>
            <w:vAlign w:val="bottom"/>
            <w:vMerge w:val="restart"/>
          </w:tcPr>
          <w:p>
            <w:pPr>
              <w:jc w:val="center"/>
              <w:spacing w:after="0" w:line="140" w:lineRule="exact"/>
              <w:rPr>
                <w:sz w:val="20"/>
                <w:szCs w:val="20"/>
                <w:color w:val="auto"/>
              </w:rPr>
            </w:pPr>
            <w:r>
              <w:rPr>
                <w:rFonts w:ascii="Arial" w:cs="Arial" w:eastAsia="Arial" w:hAnsi="Arial"/>
                <w:sz w:val="13"/>
                <w:szCs w:val="13"/>
                <w:color w:val="483E65"/>
                <w:w w:val="97"/>
              </w:rPr>
              <w:t>Grant date</w:t>
            </w:r>
          </w:p>
        </w:tc>
        <w:tc>
          <w:tcPr>
            <w:tcW w:w="0" w:type="dxa"/>
            <w:vAlign w:val="bottom"/>
          </w:tcPr>
          <w:p>
            <w:pPr>
              <w:spacing w:after="0"/>
              <w:rPr>
                <w:sz w:val="1"/>
                <w:szCs w:val="1"/>
                <w:color w:val="auto"/>
              </w:rPr>
            </w:pPr>
          </w:p>
        </w:tc>
      </w:tr>
      <w:tr>
        <w:trPr>
          <w:trHeight w:val="51"/>
        </w:trPr>
        <w:tc>
          <w:tcPr>
            <w:tcW w:w="1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180" w:type="dxa"/>
            <w:vAlign w:val="bottom"/>
            <w:gridSpan w:val="3"/>
            <w:vMerge w:val="restart"/>
          </w:tcPr>
          <w:p>
            <w:pPr>
              <w:jc w:val="center"/>
              <w:spacing w:after="0" w:line="140" w:lineRule="exact"/>
              <w:rPr>
                <w:sz w:val="20"/>
                <w:szCs w:val="20"/>
                <w:color w:val="auto"/>
              </w:rPr>
            </w:pPr>
            <w:r>
              <w:rPr>
                <w:rFonts w:ascii="Arial" w:cs="Arial" w:eastAsia="Arial" w:hAnsi="Arial"/>
                <w:sz w:val="13"/>
                <w:szCs w:val="13"/>
                <w:color w:val="483E65"/>
                <w:w w:val="97"/>
              </w:rPr>
              <w:t>non-equity incentive plan</w:t>
            </w:r>
          </w:p>
        </w:tc>
        <w:tc>
          <w:tcPr>
            <w:tcW w:w="180" w:type="dxa"/>
            <w:vAlign w:val="bottom"/>
          </w:tcPr>
          <w:p>
            <w:pPr>
              <w:spacing w:after="0"/>
              <w:rPr>
                <w:sz w:val="4"/>
                <w:szCs w:val="4"/>
                <w:color w:val="auto"/>
              </w:rPr>
            </w:pPr>
          </w:p>
        </w:tc>
        <w:tc>
          <w:tcPr>
            <w:tcW w:w="1920" w:type="dxa"/>
            <w:vAlign w:val="bottom"/>
            <w:gridSpan w:val="3"/>
            <w:vMerge w:val="restart"/>
          </w:tcPr>
          <w:p>
            <w:pPr>
              <w:jc w:val="center"/>
              <w:spacing w:after="0" w:line="140" w:lineRule="exact"/>
              <w:rPr>
                <w:sz w:val="20"/>
                <w:szCs w:val="20"/>
                <w:color w:val="auto"/>
              </w:rPr>
            </w:pPr>
            <w:r>
              <w:rPr>
                <w:rFonts w:ascii="Arial" w:cs="Arial" w:eastAsia="Arial" w:hAnsi="Arial"/>
                <w:sz w:val="13"/>
                <w:szCs w:val="13"/>
                <w:color w:val="483E65"/>
                <w:w w:val="96"/>
              </w:rPr>
              <w:t>under equity incentive plan</w:t>
            </w:r>
          </w:p>
        </w:tc>
        <w:tc>
          <w:tcPr>
            <w:tcW w:w="8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1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920" w:type="dxa"/>
            <w:vAlign w:val="bottom"/>
            <w:gridSpan w:val="3"/>
            <w:vMerge w:val="continue"/>
          </w:tcPr>
          <w:p>
            <w:pPr>
              <w:spacing w:after="0"/>
              <w:rPr>
                <w:sz w:val="7"/>
                <w:szCs w:val="7"/>
                <w:color w:val="auto"/>
              </w:rPr>
            </w:pPr>
          </w:p>
        </w:tc>
        <w:tc>
          <w:tcPr>
            <w:tcW w:w="860" w:type="dxa"/>
            <w:vAlign w:val="bottom"/>
            <w:vMerge w:val="restart"/>
          </w:tcPr>
          <w:p>
            <w:pPr>
              <w:jc w:val="center"/>
              <w:ind w:left="16"/>
              <w:spacing w:after="0" w:line="140" w:lineRule="exact"/>
              <w:rPr>
                <w:sz w:val="20"/>
                <w:szCs w:val="20"/>
                <w:color w:val="auto"/>
              </w:rPr>
            </w:pPr>
            <w:r>
              <w:rPr>
                <w:rFonts w:ascii="Arial" w:cs="Arial" w:eastAsia="Arial" w:hAnsi="Arial"/>
                <w:sz w:val="13"/>
                <w:szCs w:val="13"/>
                <w:color w:val="483E65"/>
                <w:w w:val="99"/>
              </w:rPr>
              <w:t>number of</w:t>
            </w:r>
          </w:p>
        </w:tc>
        <w:tc>
          <w:tcPr>
            <w:tcW w:w="760" w:type="dxa"/>
            <w:vAlign w:val="bottom"/>
            <w:vMerge w:val="restart"/>
          </w:tcPr>
          <w:p>
            <w:pPr>
              <w:jc w:val="right"/>
              <w:ind w:right="36"/>
              <w:spacing w:after="0" w:line="140" w:lineRule="exact"/>
              <w:rPr>
                <w:sz w:val="20"/>
                <w:szCs w:val="20"/>
                <w:color w:val="auto"/>
              </w:rPr>
            </w:pPr>
            <w:r>
              <w:rPr>
                <w:rFonts w:ascii="Arial" w:cs="Arial" w:eastAsia="Arial" w:hAnsi="Arial"/>
                <w:sz w:val="13"/>
                <w:szCs w:val="13"/>
                <w:color w:val="483E65"/>
              </w:rPr>
              <w:t>number of</w:t>
            </w:r>
          </w:p>
        </w:tc>
        <w:tc>
          <w:tcPr>
            <w:tcW w:w="720" w:type="dxa"/>
            <w:vAlign w:val="bottom"/>
            <w:vMerge w:val="restart"/>
          </w:tcPr>
          <w:p>
            <w:pPr>
              <w:jc w:val="center"/>
              <w:spacing w:after="0" w:line="140" w:lineRule="exact"/>
              <w:rPr>
                <w:sz w:val="20"/>
                <w:szCs w:val="20"/>
                <w:color w:val="auto"/>
              </w:rPr>
            </w:pPr>
            <w:r>
              <w:rPr>
                <w:rFonts w:ascii="Arial" w:cs="Arial" w:eastAsia="Arial" w:hAnsi="Arial"/>
                <w:sz w:val="13"/>
                <w:szCs w:val="13"/>
                <w:color w:val="483E65"/>
              </w:rPr>
              <w:t>or base</w:t>
            </w:r>
          </w:p>
        </w:tc>
        <w:tc>
          <w:tcPr>
            <w:tcW w:w="800" w:type="dxa"/>
            <w:vAlign w:val="bottom"/>
            <w:vMerge w:val="restart"/>
          </w:tcPr>
          <w:p>
            <w:pPr>
              <w:jc w:val="center"/>
              <w:spacing w:after="0" w:line="140" w:lineRule="exact"/>
              <w:rPr>
                <w:sz w:val="20"/>
                <w:szCs w:val="20"/>
                <w:color w:val="auto"/>
              </w:rPr>
            </w:pPr>
            <w:r>
              <w:rPr>
                <w:rFonts w:ascii="Arial" w:cs="Arial" w:eastAsia="Arial" w:hAnsi="Arial"/>
                <w:sz w:val="13"/>
                <w:szCs w:val="13"/>
                <w:color w:val="483E65"/>
                <w:w w:val="95"/>
              </w:rPr>
              <w:t>fair value of</w:t>
            </w:r>
          </w:p>
        </w:tc>
        <w:tc>
          <w:tcPr>
            <w:tcW w:w="0" w:type="dxa"/>
            <w:vAlign w:val="bottom"/>
          </w:tcPr>
          <w:p>
            <w:pPr>
              <w:spacing w:after="0"/>
              <w:rPr>
                <w:sz w:val="1"/>
                <w:szCs w:val="1"/>
                <w:color w:val="auto"/>
              </w:rPr>
            </w:pPr>
          </w:p>
        </w:tc>
      </w:tr>
      <w:tr>
        <w:trPr>
          <w:trHeight w:val="51"/>
        </w:trPr>
        <w:tc>
          <w:tcPr>
            <w:tcW w:w="1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vMerge w:val="restart"/>
          </w:tcPr>
          <w:p>
            <w:pPr>
              <w:jc w:val="center"/>
              <w:spacing w:after="0" w:line="141" w:lineRule="exact"/>
              <w:rPr>
                <w:sz w:val="20"/>
                <w:szCs w:val="20"/>
                <w:color w:val="auto"/>
              </w:rPr>
            </w:pPr>
            <w:r>
              <w:rPr>
                <w:rFonts w:ascii="Arial" w:cs="Arial" w:eastAsia="Arial" w:hAnsi="Arial"/>
                <w:sz w:val="13"/>
                <w:szCs w:val="13"/>
                <w:color w:val="483E65"/>
              </w:rPr>
              <w:t>awards</w:t>
            </w:r>
            <w:r>
              <w:rPr>
                <w:rFonts w:ascii="Arial" w:cs="Arial" w:eastAsia="Arial" w:hAnsi="Arial"/>
                <w:sz w:val="10"/>
                <w:szCs w:val="10"/>
                <w:color w:val="483E65"/>
              </w:rPr>
              <w:t>(1)</w:t>
            </w: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vMerge w:val="restart"/>
          </w:tcPr>
          <w:p>
            <w:pPr>
              <w:jc w:val="center"/>
              <w:spacing w:after="0" w:line="141" w:lineRule="exact"/>
              <w:rPr>
                <w:sz w:val="20"/>
                <w:szCs w:val="20"/>
                <w:color w:val="auto"/>
              </w:rPr>
            </w:pPr>
            <w:r>
              <w:rPr>
                <w:rFonts w:ascii="Arial" w:cs="Arial" w:eastAsia="Arial" w:hAnsi="Arial"/>
                <w:sz w:val="13"/>
                <w:szCs w:val="13"/>
                <w:color w:val="483E65"/>
                <w:w w:val="99"/>
              </w:rPr>
              <w:t>awards</w:t>
            </w:r>
            <w:r>
              <w:rPr>
                <w:rFonts w:ascii="Arial" w:cs="Arial" w:eastAsia="Arial" w:hAnsi="Arial"/>
                <w:sz w:val="10"/>
                <w:szCs w:val="10"/>
                <w:color w:val="483E65"/>
                <w:w w:val="99"/>
              </w:rPr>
              <w:t>(2)</w:t>
            </w:r>
          </w:p>
        </w:tc>
        <w:tc>
          <w:tcPr>
            <w:tcW w:w="64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Borders>
              <w:bottom w:val="single" w:sz="8" w:color="483E65"/>
            </w:tcBorders>
          </w:tcPr>
          <w:p>
            <w:pPr>
              <w:spacing w:after="0"/>
              <w:rPr>
                <w:sz w:val="7"/>
                <w:szCs w:val="7"/>
                <w:color w:val="auto"/>
              </w:rPr>
            </w:pPr>
          </w:p>
        </w:tc>
        <w:tc>
          <w:tcPr>
            <w:tcW w:w="780" w:type="dxa"/>
            <w:vAlign w:val="bottom"/>
            <w:tcBorders>
              <w:bottom w:val="single" w:sz="8" w:color="483E65"/>
            </w:tcBorders>
            <w:vMerge w:val="continue"/>
          </w:tcPr>
          <w:p>
            <w:pPr>
              <w:spacing w:after="0"/>
              <w:rPr>
                <w:sz w:val="7"/>
                <w:szCs w:val="7"/>
                <w:color w:val="auto"/>
              </w:rPr>
            </w:pPr>
          </w:p>
        </w:tc>
        <w:tc>
          <w:tcPr>
            <w:tcW w:w="700" w:type="dxa"/>
            <w:vAlign w:val="bottom"/>
            <w:tcBorders>
              <w:bottom w:val="single" w:sz="8" w:color="483E65"/>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bottom w:val="single" w:sz="8" w:color="483E65"/>
            </w:tcBorders>
          </w:tcPr>
          <w:p>
            <w:pPr>
              <w:spacing w:after="0"/>
              <w:rPr>
                <w:sz w:val="7"/>
                <w:szCs w:val="7"/>
                <w:color w:val="auto"/>
              </w:rPr>
            </w:pPr>
          </w:p>
        </w:tc>
        <w:tc>
          <w:tcPr>
            <w:tcW w:w="660" w:type="dxa"/>
            <w:vAlign w:val="bottom"/>
            <w:tcBorders>
              <w:bottom w:val="single" w:sz="8" w:color="483E65"/>
            </w:tcBorders>
            <w:vMerge w:val="continue"/>
          </w:tcPr>
          <w:p>
            <w:pPr>
              <w:spacing w:after="0"/>
              <w:rPr>
                <w:sz w:val="7"/>
                <w:szCs w:val="7"/>
                <w:color w:val="auto"/>
              </w:rPr>
            </w:pPr>
          </w:p>
        </w:tc>
        <w:tc>
          <w:tcPr>
            <w:tcW w:w="640" w:type="dxa"/>
            <w:vAlign w:val="bottom"/>
            <w:tcBorders>
              <w:bottom w:val="single" w:sz="8" w:color="483E65"/>
            </w:tcBorders>
          </w:tcPr>
          <w:p>
            <w:pPr>
              <w:spacing w:after="0"/>
              <w:rPr>
                <w:sz w:val="7"/>
                <w:szCs w:val="7"/>
                <w:color w:val="auto"/>
              </w:rPr>
            </w:pPr>
          </w:p>
        </w:tc>
        <w:tc>
          <w:tcPr>
            <w:tcW w:w="860" w:type="dxa"/>
            <w:vAlign w:val="bottom"/>
            <w:vMerge w:val="restart"/>
          </w:tcPr>
          <w:p>
            <w:pPr>
              <w:jc w:val="center"/>
              <w:ind w:left="16"/>
              <w:spacing w:after="0" w:line="140" w:lineRule="exact"/>
              <w:rPr>
                <w:sz w:val="20"/>
                <w:szCs w:val="20"/>
                <w:color w:val="auto"/>
              </w:rPr>
            </w:pPr>
            <w:r>
              <w:rPr>
                <w:rFonts w:ascii="Arial" w:cs="Arial" w:eastAsia="Arial" w:hAnsi="Arial"/>
                <w:sz w:val="13"/>
                <w:szCs w:val="13"/>
                <w:color w:val="483E65"/>
                <w:w w:val="98"/>
              </w:rPr>
              <w:t>securities</w:t>
            </w:r>
          </w:p>
        </w:tc>
        <w:tc>
          <w:tcPr>
            <w:tcW w:w="760" w:type="dxa"/>
            <w:vAlign w:val="bottom"/>
            <w:vMerge w:val="restart"/>
          </w:tcPr>
          <w:p>
            <w:pPr>
              <w:jc w:val="right"/>
              <w:ind w:right="56"/>
              <w:spacing w:after="0" w:line="140" w:lineRule="exact"/>
              <w:rPr>
                <w:sz w:val="20"/>
                <w:szCs w:val="20"/>
                <w:color w:val="auto"/>
              </w:rPr>
            </w:pPr>
            <w:r>
              <w:rPr>
                <w:rFonts w:ascii="Arial" w:cs="Arial" w:eastAsia="Arial" w:hAnsi="Arial"/>
                <w:sz w:val="13"/>
                <w:szCs w:val="13"/>
                <w:color w:val="483E65"/>
              </w:rPr>
              <w:t>shares of</w:t>
            </w:r>
          </w:p>
        </w:tc>
        <w:tc>
          <w:tcPr>
            <w:tcW w:w="720" w:type="dxa"/>
            <w:vAlign w:val="bottom"/>
            <w:vMerge w:val="restart"/>
          </w:tcPr>
          <w:p>
            <w:pPr>
              <w:jc w:val="center"/>
              <w:spacing w:after="0" w:line="140" w:lineRule="exact"/>
              <w:rPr>
                <w:sz w:val="20"/>
                <w:szCs w:val="20"/>
                <w:color w:val="auto"/>
              </w:rPr>
            </w:pPr>
            <w:r>
              <w:rPr>
                <w:rFonts w:ascii="Arial" w:cs="Arial" w:eastAsia="Arial" w:hAnsi="Arial"/>
                <w:sz w:val="13"/>
                <w:szCs w:val="13"/>
                <w:color w:val="483E65"/>
                <w:w w:val="98"/>
              </w:rPr>
              <w:t>price of</w:t>
            </w:r>
          </w:p>
        </w:tc>
        <w:tc>
          <w:tcPr>
            <w:tcW w:w="800" w:type="dxa"/>
            <w:vAlign w:val="bottom"/>
            <w:vMerge w:val="restart"/>
          </w:tcPr>
          <w:p>
            <w:pPr>
              <w:jc w:val="center"/>
              <w:spacing w:after="0" w:line="140" w:lineRule="exact"/>
              <w:rPr>
                <w:sz w:val="20"/>
                <w:szCs w:val="20"/>
                <w:color w:val="auto"/>
              </w:rPr>
            </w:pPr>
            <w:r>
              <w:rPr>
                <w:rFonts w:ascii="Arial" w:cs="Arial" w:eastAsia="Arial" w:hAnsi="Arial"/>
                <w:sz w:val="13"/>
                <w:szCs w:val="13"/>
                <w:color w:val="483E65"/>
              </w:rPr>
              <w:t>stock and</w:t>
            </w: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1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jc w:val="center"/>
              <w:ind w:left="16"/>
              <w:spacing w:after="0" w:line="140" w:lineRule="exact"/>
              <w:rPr>
                <w:sz w:val="20"/>
                <w:szCs w:val="20"/>
                <w:color w:val="auto"/>
              </w:rPr>
            </w:pPr>
            <w:r>
              <w:rPr>
                <w:rFonts w:ascii="Arial" w:cs="Arial" w:eastAsia="Arial" w:hAnsi="Arial"/>
                <w:sz w:val="13"/>
                <w:szCs w:val="13"/>
                <w:color w:val="483E65"/>
                <w:w w:val="96"/>
              </w:rPr>
              <w:t>underlying</w:t>
            </w:r>
          </w:p>
        </w:tc>
        <w:tc>
          <w:tcPr>
            <w:tcW w:w="760" w:type="dxa"/>
            <w:vAlign w:val="bottom"/>
          </w:tcPr>
          <w:p>
            <w:pPr>
              <w:jc w:val="center"/>
              <w:spacing w:after="0" w:line="140" w:lineRule="exact"/>
              <w:rPr>
                <w:sz w:val="20"/>
                <w:szCs w:val="20"/>
                <w:color w:val="auto"/>
              </w:rPr>
            </w:pPr>
            <w:r>
              <w:rPr>
                <w:rFonts w:ascii="Arial" w:cs="Arial" w:eastAsia="Arial" w:hAnsi="Arial"/>
                <w:sz w:val="13"/>
                <w:szCs w:val="13"/>
                <w:color w:val="483E65"/>
                <w:w w:val="96"/>
              </w:rPr>
              <w:t>stock or</w:t>
            </w:r>
          </w:p>
        </w:tc>
        <w:tc>
          <w:tcPr>
            <w:tcW w:w="720" w:type="dxa"/>
            <w:vAlign w:val="bottom"/>
          </w:tcPr>
          <w:p>
            <w:pPr>
              <w:jc w:val="center"/>
              <w:spacing w:after="0" w:line="140" w:lineRule="exact"/>
              <w:rPr>
                <w:sz w:val="20"/>
                <w:szCs w:val="20"/>
                <w:color w:val="auto"/>
              </w:rPr>
            </w:pPr>
            <w:r>
              <w:rPr>
                <w:rFonts w:ascii="Arial" w:cs="Arial" w:eastAsia="Arial" w:hAnsi="Arial"/>
                <w:sz w:val="13"/>
                <w:szCs w:val="13"/>
                <w:color w:val="483E65"/>
              </w:rPr>
              <w:t>option</w:t>
            </w:r>
          </w:p>
        </w:tc>
        <w:tc>
          <w:tcPr>
            <w:tcW w:w="800" w:type="dxa"/>
            <w:vAlign w:val="bottom"/>
          </w:tcPr>
          <w:p>
            <w:pPr>
              <w:jc w:val="center"/>
              <w:spacing w:after="0" w:line="140" w:lineRule="exact"/>
              <w:rPr>
                <w:sz w:val="20"/>
                <w:szCs w:val="20"/>
                <w:color w:val="auto"/>
              </w:rPr>
            </w:pPr>
            <w:r>
              <w:rPr>
                <w:rFonts w:ascii="Arial" w:cs="Arial" w:eastAsia="Arial" w:hAnsi="Arial"/>
                <w:sz w:val="13"/>
                <w:szCs w:val="13"/>
                <w:color w:val="483E65"/>
              </w:rPr>
              <w:t>option</w:t>
            </w:r>
          </w:p>
        </w:tc>
        <w:tc>
          <w:tcPr>
            <w:tcW w:w="0" w:type="dxa"/>
            <w:vAlign w:val="bottom"/>
          </w:tcPr>
          <w:p>
            <w:pPr>
              <w:spacing w:after="0"/>
              <w:rPr>
                <w:sz w:val="1"/>
                <w:szCs w:val="1"/>
                <w:color w:val="auto"/>
              </w:rPr>
            </w:pPr>
          </w:p>
        </w:tc>
      </w:tr>
      <w:tr>
        <w:trPr>
          <w:trHeight w:val="140"/>
        </w:trPr>
        <w:tc>
          <w:tcPr>
            <w:tcW w:w="1360" w:type="dxa"/>
            <w:vAlign w:val="bottom"/>
          </w:tcPr>
          <w:p>
            <w:pPr>
              <w:spacing w:after="0"/>
              <w:rPr>
                <w:sz w:val="12"/>
                <w:szCs w:val="12"/>
                <w:color w:val="auto"/>
              </w:rPr>
            </w:pPr>
          </w:p>
        </w:tc>
        <w:tc>
          <w:tcPr>
            <w:tcW w:w="660" w:type="dxa"/>
            <w:vAlign w:val="bottom"/>
          </w:tcPr>
          <w:p>
            <w:pPr>
              <w:jc w:val="right"/>
              <w:ind w:right="36"/>
              <w:spacing w:after="0" w:line="140" w:lineRule="exact"/>
              <w:rPr>
                <w:sz w:val="20"/>
                <w:szCs w:val="20"/>
                <w:color w:val="auto"/>
              </w:rPr>
            </w:pPr>
            <w:r>
              <w:rPr>
                <w:rFonts w:ascii="Arial" w:cs="Arial" w:eastAsia="Arial" w:hAnsi="Arial"/>
                <w:sz w:val="13"/>
                <w:szCs w:val="13"/>
                <w:color w:val="483E65"/>
              </w:rPr>
              <w:t>Award</w:t>
            </w:r>
          </w:p>
        </w:tc>
        <w:tc>
          <w:tcPr>
            <w:tcW w:w="940" w:type="dxa"/>
            <w:vAlign w:val="bottom"/>
          </w:tcPr>
          <w:p>
            <w:pPr>
              <w:jc w:val="right"/>
              <w:ind w:right="276"/>
              <w:spacing w:after="0" w:line="140" w:lineRule="exact"/>
              <w:rPr>
                <w:sz w:val="20"/>
                <w:szCs w:val="20"/>
                <w:color w:val="auto"/>
              </w:rPr>
            </w:pPr>
            <w:r>
              <w:rPr>
                <w:rFonts w:ascii="Arial" w:cs="Arial" w:eastAsia="Arial" w:hAnsi="Arial"/>
                <w:sz w:val="13"/>
                <w:szCs w:val="13"/>
                <w:color w:val="483E65"/>
              </w:rPr>
              <w:t>Grant</w:t>
            </w:r>
          </w:p>
        </w:tc>
        <w:tc>
          <w:tcPr>
            <w:tcW w:w="700" w:type="dxa"/>
            <w:vAlign w:val="bottom"/>
          </w:tcPr>
          <w:p>
            <w:pPr>
              <w:jc w:val="right"/>
              <w:ind w:right="56"/>
              <w:spacing w:after="0" w:line="140" w:lineRule="exact"/>
              <w:rPr>
                <w:sz w:val="20"/>
                <w:szCs w:val="20"/>
                <w:color w:val="auto"/>
              </w:rPr>
            </w:pPr>
            <w:r>
              <w:rPr>
                <w:rFonts w:ascii="Arial" w:cs="Arial" w:eastAsia="Arial" w:hAnsi="Arial"/>
                <w:sz w:val="13"/>
                <w:szCs w:val="13"/>
                <w:color w:val="483E65"/>
                <w:w w:val="96"/>
              </w:rPr>
              <w:t>Threshold</w:t>
            </w:r>
          </w:p>
        </w:tc>
        <w:tc>
          <w:tcPr>
            <w:tcW w:w="780" w:type="dxa"/>
            <w:vAlign w:val="bottom"/>
          </w:tcPr>
          <w:p>
            <w:pPr>
              <w:jc w:val="center"/>
              <w:spacing w:after="0" w:line="140" w:lineRule="exact"/>
              <w:rPr>
                <w:sz w:val="20"/>
                <w:szCs w:val="20"/>
                <w:color w:val="auto"/>
              </w:rPr>
            </w:pPr>
            <w:r>
              <w:rPr>
                <w:rFonts w:ascii="Arial" w:cs="Arial" w:eastAsia="Arial" w:hAnsi="Arial"/>
                <w:sz w:val="13"/>
                <w:szCs w:val="13"/>
                <w:color w:val="483E65"/>
                <w:w w:val="95"/>
              </w:rPr>
              <w:t>Target</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483E65"/>
              </w:rPr>
              <w:t>Maximum</w:t>
            </w:r>
          </w:p>
        </w:tc>
        <w:tc>
          <w:tcPr>
            <w:tcW w:w="800" w:type="dxa"/>
            <w:vAlign w:val="bottom"/>
            <w:gridSpan w:val="2"/>
          </w:tcPr>
          <w:p>
            <w:pPr>
              <w:jc w:val="right"/>
              <w:spacing w:after="0" w:line="140" w:lineRule="exact"/>
              <w:rPr>
                <w:sz w:val="20"/>
                <w:szCs w:val="20"/>
                <w:color w:val="auto"/>
              </w:rPr>
            </w:pPr>
            <w:r>
              <w:rPr>
                <w:rFonts w:ascii="Arial" w:cs="Arial" w:eastAsia="Arial" w:hAnsi="Arial"/>
                <w:sz w:val="13"/>
                <w:szCs w:val="13"/>
                <w:color w:val="483E65"/>
              </w:rPr>
              <w:t>Threshold</w:t>
            </w: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483E65"/>
                <w:w w:val="95"/>
              </w:rPr>
              <w:t>Target</w:t>
            </w:r>
          </w:p>
        </w:tc>
        <w:tc>
          <w:tcPr>
            <w:tcW w:w="640" w:type="dxa"/>
            <w:vAlign w:val="bottom"/>
          </w:tcPr>
          <w:p>
            <w:pPr>
              <w:jc w:val="right"/>
              <w:spacing w:after="0" w:line="140" w:lineRule="exact"/>
              <w:rPr>
                <w:sz w:val="20"/>
                <w:szCs w:val="20"/>
                <w:color w:val="auto"/>
              </w:rPr>
            </w:pPr>
            <w:r>
              <w:rPr>
                <w:rFonts w:ascii="Arial" w:cs="Arial" w:eastAsia="Arial" w:hAnsi="Arial"/>
                <w:sz w:val="13"/>
                <w:szCs w:val="13"/>
                <w:color w:val="483E65"/>
              </w:rPr>
              <w:t>Maximum</w:t>
            </w:r>
          </w:p>
        </w:tc>
        <w:tc>
          <w:tcPr>
            <w:tcW w:w="860" w:type="dxa"/>
            <w:vAlign w:val="bottom"/>
          </w:tcPr>
          <w:p>
            <w:pPr>
              <w:jc w:val="center"/>
              <w:ind w:left="16"/>
              <w:spacing w:after="0" w:line="140" w:lineRule="exact"/>
              <w:rPr>
                <w:sz w:val="20"/>
                <w:szCs w:val="20"/>
                <w:color w:val="auto"/>
              </w:rPr>
            </w:pPr>
            <w:r>
              <w:rPr>
                <w:rFonts w:ascii="Arial" w:cs="Arial" w:eastAsia="Arial" w:hAnsi="Arial"/>
                <w:sz w:val="13"/>
                <w:szCs w:val="13"/>
                <w:color w:val="483E65"/>
                <w:w w:val="99"/>
              </w:rPr>
              <w:t>options</w:t>
            </w:r>
            <w:r>
              <w:rPr>
                <w:rFonts w:ascii="Arial" w:cs="Arial" w:eastAsia="Arial" w:hAnsi="Arial"/>
                <w:sz w:val="10"/>
                <w:szCs w:val="10"/>
                <w:color w:val="483E65"/>
                <w:w w:val="99"/>
              </w:rPr>
              <w:t>(3)</w:t>
            </w:r>
          </w:p>
        </w:tc>
        <w:tc>
          <w:tcPr>
            <w:tcW w:w="760" w:type="dxa"/>
            <w:vAlign w:val="bottom"/>
          </w:tcPr>
          <w:p>
            <w:pPr>
              <w:jc w:val="center"/>
              <w:spacing w:after="0" w:line="140" w:lineRule="exact"/>
              <w:rPr>
                <w:sz w:val="20"/>
                <w:szCs w:val="20"/>
                <w:color w:val="auto"/>
              </w:rPr>
            </w:pPr>
            <w:r>
              <w:rPr>
                <w:rFonts w:ascii="Arial" w:cs="Arial" w:eastAsia="Arial" w:hAnsi="Arial"/>
                <w:sz w:val="13"/>
                <w:szCs w:val="13"/>
                <w:color w:val="483E65"/>
                <w:w w:val="94"/>
              </w:rPr>
              <w:t>units</w:t>
            </w:r>
          </w:p>
        </w:tc>
        <w:tc>
          <w:tcPr>
            <w:tcW w:w="720" w:type="dxa"/>
            <w:vAlign w:val="bottom"/>
          </w:tcPr>
          <w:p>
            <w:pPr>
              <w:jc w:val="center"/>
              <w:spacing w:after="0" w:line="140" w:lineRule="exact"/>
              <w:rPr>
                <w:sz w:val="20"/>
                <w:szCs w:val="20"/>
                <w:color w:val="auto"/>
              </w:rPr>
            </w:pPr>
            <w:r>
              <w:rPr>
                <w:rFonts w:ascii="Arial" w:cs="Arial" w:eastAsia="Arial" w:hAnsi="Arial"/>
                <w:sz w:val="13"/>
                <w:szCs w:val="13"/>
                <w:color w:val="483E65"/>
                <w:w w:val="99"/>
              </w:rPr>
              <w:t>awards</w:t>
            </w:r>
            <w:r>
              <w:rPr>
                <w:rFonts w:ascii="Arial" w:cs="Arial" w:eastAsia="Arial" w:hAnsi="Arial"/>
                <w:sz w:val="10"/>
                <w:szCs w:val="10"/>
                <w:color w:val="483E65"/>
                <w:w w:val="99"/>
              </w:rPr>
              <w:t>(4)</w:t>
            </w:r>
          </w:p>
        </w:tc>
        <w:tc>
          <w:tcPr>
            <w:tcW w:w="800" w:type="dxa"/>
            <w:vAlign w:val="bottom"/>
          </w:tcPr>
          <w:p>
            <w:pPr>
              <w:jc w:val="center"/>
              <w:spacing w:after="0" w:line="140" w:lineRule="exact"/>
              <w:rPr>
                <w:sz w:val="20"/>
                <w:szCs w:val="20"/>
                <w:color w:val="auto"/>
              </w:rPr>
            </w:pPr>
            <w:r>
              <w:rPr>
                <w:rFonts w:ascii="Arial" w:cs="Arial" w:eastAsia="Arial" w:hAnsi="Arial"/>
                <w:sz w:val="13"/>
                <w:szCs w:val="13"/>
                <w:color w:val="483E65"/>
              </w:rPr>
              <w:t>awards</w:t>
            </w:r>
            <w:r>
              <w:rPr>
                <w:rFonts w:ascii="Arial" w:cs="Arial" w:eastAsia="Arial" w:hAnsi="Arial"/>
                <w:sz w:val="10"/>
                <w:szCs w:val="10"/>
                <w:color w:val="483E65"/>
              </w:rPr>
              <w:t>(5)</w:t>
            </w:r>
          </w:p>
        </w:tc>
        <w:tc>
          <w:tcPr>
            <w:tcW w:w="0" w:type="dxa"/>
            <w:vAlign w:val="bottom"/>
          </w:tcPr>
          <w:p>
            <w:pPr>
              <w:spacing w:after="0"/>
              <w:rPr>
                <w:sz w:val="1"/>
                <w:szCs w:val="1"/>
                <w:color w:val="auto"/>
              </w:rPr>
            </w:pPr>
          </w:p>
        </w:tc>
      </w:tr>
      <w:tr>
        <w:trPr>
          <w:trHeight w:val="153"/>
        </w:trPr>
        <w:tc>
          <w:tcPr>
            <w:tcW w:w="1360" w:type="dxa"/>
            <w:vAlign w:val="bottom"/>
            <w:tcBorders>
              <w:bottom w:val="single" w:sz="8" w:color="483E65"/>
            </w:tcBorders>
          </w:tcPr>
          <w:p>
            <w:pPr>
              <w:spacing w:after="0"/>
              <w:rPr>
                <w:sz w:val="20"/>
                <w:szCs w:val="20"/>
                <w:color w:val="auto"/>
              </w:rPr>
            </w:pPr>
            <w:r>
              <w:rPr>
                <w:rFonts w:ascii="Arial" w:cs="Arial" w:eastAsia="Arial" w:hAnsi="Arial"/>
                <w:sz w:val="13"/>
                <w:szCs w:val="13"/>
                <w:color w:val="483E65"/>
              </w:rPr>
              <w:t>Name</w:t>
            </w:r>
          </w:p>
        </w:tc>
        <w:tc>
          <w:tcPr>
            <w:tcW w:w="660" w:type="dxa"/>
            <w:vAlign w:val="bottom"/>
            <w:tcBorders>
              <w:bottom w:val="single" w:sz="8" w:color="483E65"/>
            </w:tcBorders>
          </w:tcPr>
          <w:p>
            <w:pPr>
              <w:jc w:val="right"/>
              <w:ind w:right="96"/>
              <w:spacing w:after="0"/>
              <w:rPr>
                <w:sz w:val="20"/>
                <w:szCs w:val="20"/>
                <w:color w:val="auto"/>
              </w:rPr>
            </w:pPr>
            <w:r>
              <w:rPr>
                <w:rFonts w:ascii="Arial" w:cs="Arial" w:eastAsia="Arial" w:hAnsi="Arial"/>
                <w:sz w:val="13"/>
                <w:szCs w:val="13"/>
                <w:color w:val="483E65"/>
              </w:rPr>
              <w:t>type</w:t>
            </w:r>
          </w:p>
        </w:tc>
        <w:tc>
          <w:tcPr>
            <w:tcW w:w="940" w:type="dxa"/>
            <w:vAlign w:val="bottom"/>
            <w:tcBorders>
              <w:bottom w:val="single" w:sz="8" w:color="483E65"/>
            </w:tcBorders>
          </w:tcPr>
          <w:p>
            <w:pPr>
              <w:jc w:val="right"/>
              <w:ind w:right="316"/>
              <w:spacing w:after="0"/>
              <w:rPr>
                <w:sz w:val="20"/>
                <w:szCs w:val="20"/>
                <w:color w:val="auto"/>
              </w:rPr>
            </w:pPr>
            <w:r>
              <w:rPr>
                <w:rFonts w:ascii="Arial" w:cs="Arial" w:eastAsia="Arial" w:hAnsi="Arial"/>
                <w:sz w:val="13"/>
                <w:szCs w:val="13"/>
                <w:color w:val="483E65"/>
              </w:rPr>
              <w:t>date</w:t>
            </w:r>
          </w:p>
        </w:tc>
        <w:tc>
          <w:tcPr>
            <w:tcW w:w="700" w:type="dxa"/>
            <w:vAlign w:val="bottom"/>
            <w:tcBorders>
              <w:bottom w:val="single" w:sz="8" w:color="483E65"/>
            </w:tcBorders>
          </w:tcPr>
          <w:p>
            <w:pPr>
              <w:jc w:val="right"/>
              <w:ind w:right="256"/>
              <w:spacing w:after="0"/>
              <w:rPr>
                <w:sz w:val="20"/>
                <w:szCs w:val="20"/>
                <w:color w:val="auto"/>
              </w:rPr>
            </w:pPr>
            <w:r>
              <w:rPr>
                <w:rFonts w:ascii="Arial" w:cs="Arial" w:eastAsia="Arial" w:hAnsi="Arial"/>
                <w:sz w:val="13"/>
                <w:szCs w:val="13"/>
                <w:color w:val="483E65"/>
              </w:rPr>
              <w:t>($)</w:t>
            </w:r>
          </w:p>
        </w:tc>
        <w:tc>
          <w:tcPr>
            <w:tcW w:w="780" w:type="dxa"/>
            <w:vAlign w:val="bottom"/>
            <w:tcBorders>
              <w:bottom w:val="single" w:sz="8" w:color="483E65"/>
            </w:tcBorders>
          </w:tcPr>
          <w:p>
            <w:pPr>
              <w:jc w:val="center"/>
              <w:spacing w:after="0"/>
              <w:rPr>
                <w:sz w:val="20"/>
                <w:szCs w:val="20"/>
                <w:color w:val="auto"/>
              </w:rPr>
            </w:pPr>
            <w:r>
              <w:rPr>
                <w:rFonts w:ascii="Arial" w:cs="Arial" w:eastAsia="Arial" w:hAnsi="Arial"/>
                <w:sz w:val="13"/>
                <w:szCs w:val="13"/>
                <w:color w:val="483E65"/>
              </w:rPr>
              <w:t>($)</w:t>
            </w:r>
          </w:p>
        </w:tc>
        <w:tc>
          <w:tcPr>
            <w:tcW w:w="700" w:type="dxa"/>
            <w:vAlign w:val="bottom"/>
            <w:tcBorders>
              <w:bottom w:val="single" w:sz="8" w:color="483E65"/>
            </w:tcBorders>
          </w:tcPr>
          <w:p>
            <w:pPr>
              <w:jc w:val="right"/>
              <w:ind w:right="176"/>
              <w:spacing w:after="0"/>
              <w:rPr>
                <w:sz w:val="20"/>
                <w:szCs w:val="20"/>
                <w:color w:val="auto"/>
              </w:rPr>
            </w:pPr>
            <w:r>
              <w:rPr>
                <w:rFonts w:ascii="Arial" w:cs="Arial" w:eastAsia="Arial" w:hAnsi="Arial"/>
                <w:sz w:val="13"/>
                <w:szCs w:val="13"/>
                <w:color w:val="483E65"/>
              </w:rPr>
              <w:t>($)</w:t>
            </w:r>
          </w:p>
        </w:tc>
        <w:tc>
          <w:tcPr>
            <w:tcW w:w="800" w:type="dxa"/>
            <w:vAlign w:val="bottom"/>
            <w:tcBorders>
              <w:bottom w:val="single" w:sz="8" w:color="483E65"/>
            </w:tcBorders>
            <w:gridSpan w:val="2"/>
          </w:tcPr>
          <w:p>
            <w:pPr>
              <w:jc w:val="right"/>
              <w:ind w:right="196"/>
              <w:spacing w:after="0"/>
              <w:rPr>
                <w:sz w:val="20"/>
                <w:szCs w:val="20"/>
                <w:color w:val="auto"/>
              </w:rPr>
            </w:pPr>
            <w:r>
              <w:rPr>
                <w:rFonts w:ascii="Arial" w:cs="Arial" w:eastAsia="Arial" w:hAnsi="Arial"/>
                <w:sz w:val="13"/>
                <w:szCs w:val="13"/>
                <w:color w:val="483E65"/>
              </w:rPr>
              <w:t>(#)</w:t>
            </w:r>
          </w:p>
        </w:tc>
        <w:tc>
          <w:tcPr>
            <w:tcW w:w="660" w:type="dxa"/>
            <w:vAlign w:val="bottom"/>
            <w:tcBorders>
              <w:bottom w:val="single" w:sz="8" w:color="483E65"/>
            </w:tcBorders>
          </w:tcPr>
          <w:p>
            <w:pPr>
              <w:jc w:val="center"/>
              <w:spacing w:after="0"/>
              <w:rPr>
                <w:sz w:val="20"/>
                <w:szCs w:val="20"/>
                <w:color w:val="auto"/>
              </w:rPr>
            </w:pPr>
            <w:r>
              <w:rPr>
                <w:rFonts w:ascii="Arial" w:cs="Arial" w:eastAsia="Arial" w:hAnsi="Arial"/>
                <w:sz w:val="13"/>
                <w:szCs w:val="13"/>
                <w:color w:val="483E65"/>
              </w:rPr>
              <w:t>(#)</w:t>
            </w:r>
          </w:p>
        </w:tc>
        <w:tc>
          <w:tcPr>
            <w:tcW w:w="640" w:type="dxa"/>
            <w:vAlign w:val="bottom"/>
            <w:tcBorders>
              <w:bottom w:val="single" w:sz="8" w:color="483E65"/>
            </w:tcBorders>
          </w:tcPr>
          <w:p>
            <w:pPr>
              <w:jc w:val="right"/>
              <w:ind w:right="156"/>
              <w:spacing w:after="0"/>
              <w:rPr>
                <w:sz w:val="20"/>
                <w:szCs w:val="20"/>
                <w:color w:val="auto"/>
              </w:rPr>
            </w:pPr>
            <w:r>
              <w:rPr>
                <w:rFonts w:ascii="Arial" w:cs="Arial" w:eastAsia="Arial" w:hAnsi="Arial"/>
                <w:sz w:val="13"/>
                <w:szCs w:val="13"/>
                <w:color w:val="483E65"/>
              </w:rPr>
              <w:t>(#)</w:t>
            </w:r>
          </w:p>
        </w:tc>
        <w:tc>
          <w:tcPr>
            <w:tcW w:w="860" w:type="dxa"/>
            <w:vAlign w:val="bottom"/>
            <w:tcBorders>
              <w:bottom w:val="single" w:sz="8" w:color="483E65"/>
            </w:tcBorders>
          </w:tcPr>
          <w:p>
            <w:pPr>
              <w:jc w:val="center"/>
              <w:spacing w:after="0"/>
              <w:rPr>
                <w:sz w:val="20"/>
                <w:szCs w:val="20"/>
                <w:color w:val="auto"/>
              </w:rPr>
            </w:pPr>
            <w:r>
              <w:rPr>
                <w:rFonts w:ascii="Arial" w:cs="Arial" w:eastAsia="Arial" w:hAnsi="Arial"/>
                <w:sz w:val="13"/>
                <w:szCs w:val="13"/>
                <w:color w:val="483E65"/>
              </w:rPr>
              <w:t>(#)</w:t>
            </w:r>
          </w:p>
        </w:tc>
        <w:tc>
          <w:tcPr>
            <w:tcW w:w="760" w:type="dxa"/>
            <w:vAlign w:val="bottom"/>
            <w:tcBorders>
              <w:bottom w:val="single" w:sz="8" w:color="483E65"/>
            </w:tcBorders>
          </w:tcPr>
          <w:p>
            <w:pPr>
              <w:jc w:val="center"/>
              <w:spacing w:after="0"/>
              <w:rPr>
                <w:sz w:val="20"/>
                <w:szCs w:val="20"/>
                <w:color w:val="auto"/>
              </w:rPr>
            </w:pPr>
            <w:r>
              <w:rPr>
                <w:rFonts w:ascii="Arial" w:cs="Arial" w:eastAsia="Arial" w:hAnsi="Arial"/>
                <w:sz w:val="13"/>
                <w:szCs w:val="13"/>
                <w:color w:val="483E65"/>
              </w:rPr>
              <w:t>(#)</w:t>
            </w:r>
          </w:p>
        </w:tc>
        <w:tc>
          <w:tcPr>
            <w:tcW w:w="720" w:type="dxa"/>
            <w:vAlign w:val="bottom"/>
            <w:tcBorders>
              <w:bottom w:val="single" w:sz="8" w:color="483E65"/>
            </w:tcBorders>
          </w:tcPr>
          <w:p>
            <w:pPr>
              <w:jc w:val="center"/>
              <w:spacing w:after="0"/>
              <w:rPr>
                <w:sz w:val="20"/>
                <w:szCs w:val="20"/>
                <w:color w:val="auto"/>
              </w:rPr>
            </w:pPr>
            <w:r>
              <w:rPr>
                <w:rFonts w:ascii="Arial" w:cs="Arial" w:eastAsia="Arial" w:hAnsi="Arial"/>
                <w:sz w:val="13"/>
                <w:szCs w:val="13"/>
                <w:color w:val="483E65"/>
                <w:w w:val="99"/>
              </w:rPr>
              <w:t>($/share)</w:t>
            </w:r>
          </w:p>
        </w:tc>
        <w:tc>
          <w:tcPr>
            <w:tcW w:w="800" w:type="dxa"/>
            <w:vAlign w:val="bottom"/>
            <w:tcBorders>
              <w:bottom w:val="single" w:sz="8" w:color="483E65"/>
            </w:tcBorders>
          </w:tcPr>
          <w:p>
            <w:pPr>
              <w:jc w:val="center"/>
              <w:spacing w:after="0"/>
              <w:rPr>
                <w:sz w:val="20"/>
                <w:szCs w:val="20"/>
                <w:color w:val="auto"/>
              </w:rPr>
            </w:pPr>
            <w:r>
              <w:rPr>
                <w:rFonts w:ascii="Arial" w:cs="Arial" w:eastAsia="Arial" w:hAnsi="Arial"/>
                <w:sz w:val="13"/>
                <w:szCs w:val="13"/>
                <w:color w:val="483E65"/>
              </w:rPr>
              <w:t>($)</w:t>
            </w:r>
          </w:p>
        </w:tc>
        <w:tc>
          <w:tcPr>
            <w:tcW w:w="0" w:type="dxa"/>
            <w:vAlign w:val="bottom"/>
          </w:tcPr>
          <w:p>
            <w:pPr>
              <w:spacing w:after="0"/>
              <w:rPr>
                <w:sz w:val="1"/>
                <w:szCs w:val="1"/>
                <w:color w:val="auto"/>
              </w:rPr>
            </w:pPr>
          </w:p>
        </w:tc>
      </w:tr>
      <w:tr>
        <w:trPr>
          <w:trHeight w:val="158"/>
        </w:trPr>
        <w:tc>
          <w:tcPr>
            <w:tcW w:w="1360" w:type="dxa"/>
            <w:vAlign w:val="bottom"/>
          </w:tcPr>
          <w:p>
            <w:pPr>
              <w:spacing w:after="0"/>
              <w:rPr>
                <w:sz w:val="20"/>
                <w:szCs w:val="20"/>
                <w:color w:val="auto"/>
              </w:rPr>
            </w:pPr>
            <w:r>
              <w:rPr>
                <w:rFonts w:ascii="Arial" w:cs="Arial" w:eastAsia="Arial" w:hAnsi="Arial"/>
                <w:sz w:val="13"/>
                <w:szCs w:val="13"/>
                <w:color w:val="auto"/>
              </w:rPr>
              <w:t>Mr. Krone</w:t>
            </w:r>
          </w:p>
        </w:tc>
        <w:tc>
          <w:tcPr>
            <w:tcW w:w="660" w:type="dxa"/>
            <w:vAlign w:val="bottom"/>
          </w:tcPr>
          <w:p>
            <w:pPr>
              <w:jc w:val="right"/>
              <w:spacing w:after="0"/>
              <w:rPr>
                <w:sz w:val="20"/>
                <w:szCs w:val="20"/>
                <w:color w:val="auto"/>
              </w:rPr>
            </w:pPr>
            <w:r>
              <w:rPr>
                <w:rFonts w:ascii="Arial" w:cs="Arial" w:eastAsia="Arial" w:hAnsi="Arial"/>
                <w:sz w:val="13"/>
                <w:szCs w:val="13"/>
                <w:color w:val="auto"/>
              </w:rPr>
              <w:t>Cash</w:t>
            </w:r>
          </w:p>
        </w:tc>
        <w:tc>
          <w:tcPr>
            <w:tcW w:w="940" w:type="dxa"/>
            <w:vAlign w:val="bottom"/>
          </w:tcPr>
          <w:p>
            <w:pPr>
              <w:jc w:val="right"/>
              <w:ind w:right="136"/>
              <w:spacing w:after="0"/>
              <w:rPr>
                <w:sz w:val="20"/>
                <w:szCs w:val="20"/>
                <w:color w:val="auto"/>
              </w:rPr>
            </w:pPr>
            <w:r>
              <w:rPr>
                <w:rFonts w:ascii="Arial" w:cs="Arial" w:eastAsia="Arial" w:hAnsi="Arial"/>
                <w:sz w:val="13"/>
                <w:szCs w:val="13"/>
                <w:color w:val="auto"/>
              </w:rPr>
              <w:t>2/14/2019</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1,013,550</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1,747,500</w:t>
            </w:r>
          </w:p>
        </w:tc>
        <w:tc>
          <w:tcPr>
            <w:tcW w:w="700" w:type="dxa"/>
            <w:vAlign w:val="bottom"/>
          </w:tcPr>
          <w:p>
            <w:pPr>
              <w:jc w:val="right"/>
              <w:spacing w:after="0"/>
              <w:rPr>
                <w:sz w:val="20"/>
                <w:szCs w:val="20"/>
                <w:color w:val="auto"/>
              </w:rPr>
            </w:pPr>
            <w:r>
              <w:rPr>
                <w:rFonts w:ascii="Arial" w:cs="Arial" w:eastAsia="Arial" w:hAnsi="Arial"/>
                <w:sz w:val="13"/>
                <w:szCs w:val="13"/>
                <w:color w:val="auto"/>
              </w:rPr>
              <w:t>2,621,250</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Options</w:t>
            </w:r>
          </w:p>
        </w:tc>
        <w:tc>
          <w:tcPr>
            <w:tcW w:w="940" w:type="dxa"/>
            <w:vAlign w:val="bottom"/>
          </w:tcPr>
          <w:p>
            <w:pPr>
              <w:jc w:val="right"/>
              <w:ind w:right="136"/>
              <w:spacing w:after="0"/>
              <w:rPr>
                <w:sz w:val="20"/>
                <w:szCs w:val="20"/>
                <w:color w:val="auto"/>
              </w:rPr>
            </w:pPr>
            <w:r>
              <w:rPr>
                <w:rFonts w:ascii="Arial" w:cs="Arial" w:eastAsia="Arial" w:hAnsi="Arial"/>
                <w:sz w:val="13"/>
                <w:szCs w:val="13"/>
                <w:color w:val="auto"/>
              </w:rPr>
              <w:t>3/8/2019</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122,915</w:t>
            </w: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62.43</w:t>
            </w:r>
          </w:p>
        </w:tc>
        <w:tc>
          <w:tcPr>
            <w:tcW w:w="800" w:type="dxa"/>
            <w:vAlign w:val="bottom"/>
          </w:tcPr>
          <w:p>
            <w:pPr>
              <w:jc w:val="right"/>
              <w:spacing w:after="0"/>
              <w:rPr>
                <w:sz w:val="20"/>
                <w:szCs w:val="20"/>
                <w:color w:val="auto"/>
              </w:rPr>
            </w:pPr>
            <w:r>
              <w:rPr>
                <w:rFonts w:ascii="Arial" w:cs="Arial" w:eastAsia="Arial" w:hAnsi="Arial"/>
                <w:sz w:val="13"/>
                <w:szCs w:val="13"/>
                <w:color w:val="auto"/>
              </w:rPr>
              <w:t>1,425,814</w:t>
            </w: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PRSU</w:t>
            </w:r>
          </w:p>
        </w:tc>
        <w:tc>
          <w:tcPr>
            <w:tcW w:w="940" w:type="dxa"/>
            <w:vAlign w:val="bottom"/>
          </w:tcPr>
          <w:p>
            <w:pPr>
              <w:jc w:val="right"/>
              <w:ind w:right="136"/>
              <w:spacing w:after="0"/>
              <w:rPr>
                <w:sz w:val="20"/>
                <w:szCs w:val="20"/>
                <w:color w:val="auto"/>
              </w:rPr>
            </w:pPr>
            <w:r>
              <w:rPr>
                <w:rFonts w:ascii="Arial" w:cs="Arial" w:eastAsia="Arial" w:hAnsi="Arial"/>
                <w:sz w:val="13"/>
                <w:szCs w:val="13"/>
                <w:color w:val="auto"/>
              </w:rPr>
              <w:t>3/8/2019</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33,638</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2,100,020</w:t>
            </w:r>
          </w:p>
        </w:tc>
        <w:tc>
          <w:tcPr>
            <w:tcW w:w="0" w:type="dxa"/>
            <w:vAlign w:val="bottom"/>
          </w:tcPr>
          <w:p>
            <w:pPr>
              <w:spacing w:after="0"/>
              <w:rPr>
                <w:sz w:val="1"/>
                <w:szCs w:val="1"/>
                <w:color w:val="auto"/>
              </w:rPr>
            </w:pPr>
          </w:p>
        </w:tc>
      </w:tr>
      <w:tr>
        <w:trPr>
          <w:trHeight w:val="153"/>
        </w:trPr>
        <w:tc>
          <w:tcPr>
            <w:tcW w:w="13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PSA</w:t>
            </w:r>
          </w:p>
        </w:tc>
        <w:tc>
          <w:tcPr>
            <w:tcW w:w="940" w:type="dxa"/>
            <w:vAlign w:val="bottom"/>
          </w:tcPr>
          <w:p>
            <w:pPr>
              <w:jc w:val="right"/>
              <w:ind w:right="136"/>
              <w:spacing w:after="0"/>
              <w:rPr>
                <w:sz w:val="20"/>
                <w:szCs w:val="20"/>
                <w:color w:val="auto"/>
              </w:rPr>
            </w:pPr>
            <w:r>
              <w:rPr>
                <w:rFonts w:ascii="Arial" w:cs="Arial" w:eastAsia="Arial" w:hAnsi="Arial"/>
                <w:sz w:val="13"/>
                <w:szCs w:val="13"/>
                <w:color w:val="auto"/>
              </w:rPr>
              <w:t>3/8/2019</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28,032</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56,063</w:t>
            </w:r>
          </w:p>
        </w:tc>
        <w:tc>
          <w:tcPr>
            <w:tcW w:w="640" w:type="dxa"/>
            <w:vAlign w:val="bottom"/>
          </w:tcPr>
          <w:p>
            <w:pPr>
              <w:jc w:val="right"/>
              <w:spacing w:after="0"/>
              <w:rPr>
                <w:sz w:val="20"/>
                <w:szCs w:val="20"/>
                <w:color w:val="auto"/>
              </w:rPr>
            </w:pPr>
            <w:r>
              <w:rPr>
                <w:rFonts w:ascii="Arial" w:cs="Arial" w:eastAsia="Arial" w:hAnsi="Arial"/>
                <w:sz w:val="13"/>
                <w:szCs w:val="13"/>
                <w:color w:val="auto"/>
              </w:rPr>
              <w:t>84,095</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3,771,914</w:t>
            </w:r>
          </w:p>
        </w:tc>
        <w:tc>
          <w:tcPr>
            <w:tcW w:w="0" w:type="dxa"/>
            <w:vAlign w:val="bottom"/>
          </w:tcPr>
          <w:p>
            <w:pPr>
              <w:spacing w:after="0"/>
              <w:rPr>
                <w:sz w:val="1"/>
                <w:szCs w:val="1"/>
                <w:color w:val="auto"/>
              </w:rPr>
            </w:pPr>
          </w:p>
        </w:tc>
      </w:tr>
      <w:tr>
        <w:trPr>
          <w:trHeight w:val="165"/>
        </w:trPr>
        <w:tc>
          <w:tcPr>
            <w:tcW w:w="1360" w:type="dxa"/>
            <w:vAlign w:val="bottom"/>
            <w:shd w:val="clear" w:color="auto" w:fill="ACABA7"/>
          </w:tcPr>
          <w:p>
            <w:pPr>
              <w:spacing w:after="0"/>
              <w:rPr>
                <w:sz w:val="20"/>
                <w:szCs w:val="20"/>
                <w:color w:val="auto"/>
              </w:rPr>
            </w:pPr>
            <w:r>
              <w:rPr>
                <w:rFonts w:ascii="Arial" w:cs="Arial" w:eastAsia="Arial" w:hAnsi="Arial"/>
                <w:sz w:val="13"/>
                <w:szCs w:val="13"/>
                <w:color w:val="auto"/>
              </w:rPr>
              <w:t>Mr. Reagan</w:t>
            </w:r>
          </w:p>
        </w:tc>
        <w:tc>
          <w:tcPr>
            <w:tcW w:w="660" w:type="dxa"/>
            <w:vAlign w:val="bottom"/>
            <w:shd w:val="clear" w:color="auto" w:fill="ACABA7"/>
          </w:tcPr>
          <w:p>
            <w:pPr>
              <w:jc w:val="right"/>
              <w:spacing w:after="0"/>
              <w:rPr>
                <w:sz w:val="20"/>
                <w:szCs w:val="20"/>
                <w:color w:val="auto"/>
              </w:rPr>
            </w:pPr>
            <w:r>
              <w:rPr>
                <w:rFonts w:ascii="Arial" w:cs="Arial" w:eastAsia="Arial" w:hAnsi="Arial"/>
                <w:sz w:val="13"/>
                <w:szCs w:val="13"/>
                <w:color w:val="auto"/>
              </w:rPr>
              <w:t>Cash</w:t>
            </w:r>
          </w:p>
        </w:tc>
        <w:tc>
          <w:tcPr>
            <w:tcW w:w="940" w:type="dxa"/>
            <w:vAlign w:val="bottom"/>
            <w:shd w:val="clear" w:color="auto" w:fill="ACABA7"/>
          </w:tcPr>
          <w:p>
            <w:pPr>
              <w:jc w:val="right"/>
              <w:ind w:right="136"/>
              <w:spacing w:after="0"/>
              <w:rPr>
                <w:sz w:val="20"/>
                <w:szCs w:val="20"/>
                <w:color w:val="auto"/>
              </w:rPr>
            </w:pPr>
            <w:r>
              <w:rPr>
                <w:rFonts w:ascii="Arial" w:cs="Arial" w:eastAsia="Arial" w:hAnsi="Arial"/>
                <w:sz w:val="13"/>
                <w:szCs w:val="13"/>
                <w:color w:val="auto"/>
              </w:rPr>
              <w:t>2/14/2019</w:t>
            </w:r>
          </w:p>
        </w:tc>
        <w:tc>
          <w:tcPr>
            <w:tcW w:w="70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371,200</w:t>
            </w:r>
          </w:p>
        </w:tc>
        <w:tc>
          <w:tcPr>
            <w:tcW w:w="78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640,000</w:t>
            </w:r>
          </w:p>
        </w:tc>
        <w:tc>
          <w:tcPr>
            <w:tcW w:w="7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960,000</w:t>
            </w:r>
          </w:p>
        </w:tc>
        <w:tc>
          <w:tcPr>
            <w:tcW w:w="180" w:type="dxa"/>
            <w:vAlign w:val="bottom"/>
            <w:shd w:val="clear" w:color="auto" w:fill="ACABA7"/>
          </w:tcPr>
          <w:p>
            <w:pPr>
              <w:spacing w:after="0"/>
              <w:rPr>
                <w:sz w:val="14"/>
                <w:szCs w:val="14"/>
                <w:color w:val="auto"/>
              </w:rPr>
            </w:pPr>
          </w:p>
        </w:tc>
        <w:tc>
          <w:tcPr>
            <w:tcW w:w="62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ACABA7"/>
          </w:tcPr>
          <w:p>
            <w:pPr>
              <w:jc w:val="right"/>
              <w:ind w:right="16"/>
              <w:spacing w:after="0"/>
              <w:rPr>
                <w:sz w:val="20"/>
                <w:szCs w:val="20"/>
                <w:color w:val="auto"/>
              </w:rPr>
            </w:pPr>
            <w:r>
              <w:rPr>
                <w:rFonts w:ascii="Arial" w:cs="Arial" w:eastAsia="Arial" w:hAnsi="Arial"/>
                <w:sz w:val="13"/>
                <w:szCs w:val="13"/>
                <w:color w:val="auto"/>
              </w:rPr>
              <w:t>—</w:t>
            </w:r>
          </w:p>
        </w:tc>
        <w:tc>
          <w:tcPr>
            <w:tcW w:w="8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1360" w:type="dxa"/>
            <w:vAlign w:val="bottom"/>
            <w:shd w:val="clear" w:color="auto" w:fill="ACABA7"/>
          </w:tcPr>
          <w:p>
            <w:pPr>
              <w:spacing w:after="0"/>
              <w:rPr>
                <w:sz w:val="14"/>
                <w:szCs w:val="14"/>
                <w:color w:val="auto"/>
              </w:rPr>
            </w:pPr>
          </w:p>
        </w:tc>
        <w:tc>
          <w:tcPr>
            <w:tcW w:w="660" w:type="dxa"/>
            <w:vAlign w:val="bottom"/>
            <w:shd w:val="clear" w:color="auto" w:fill="ACABA7"/>
          </w:tcPr>
          <w:p>
            <w:pPr>
              <w:jc w:val="right"/>
              <w:spacing w:after="0"/>
              <w:rPr>
                <w:sz w:val="20"/>
                <w:szCs w:val="20"/>
                <w:color w:val="auto"/>
              </w:rPr>
            </w:pPr>
            <w:r>
              <w:rPr>
                <w:rFonts w:ascii="Arial" w:cs="Arial" w:eastAsia="Arial" w:hAnsi="Arial"/>
                <w:sz w:val="13"/>
                <w:szCs w:val="13"/>
                <w:color w:val="auto"/>
              </w:rPr>
              <w:t>Options</w:t>
            </w:r>
          </w:p>
        </w:tc>
        <w:tc>
          <w:tcPr>
            <w:tcW w:w="940" w:type="dxa"/>
            <w:vAlign w:val="bottom"/>
            <w:shd w:val="clear" w:color="auto" w:fill="ACABA7"/>
          </w:tcPr>
          <w:p>
            <w:pPr>
              <w:jc w:val="right"/>
              <w:ind w:right="136"/>
              <w:spacing w:after="0"/>
              <w:rPr>
                <w:sz w:val="20"/>
                <w:szCs w:val="20"/>
                <w:color w:val="auto"/>
              </w:rPr>
            </w:pPr>
            <w:r>
              <w:rPr>
                <w:rFonts w:ascii="Arial" w:cs="Arial" w:eastAsia="Arial" w:hAnsi="Arial"/>
                <w:sz w:val="13"/>
                <w:szCs w:val="13"/>
                <w:color w:val="auto"/>
              </w:rPr>
              <w:t>3/8/2019</w:t>
            </w:r>
          </w:p>
        </w:tc>
        <w:tc>
          <w:tcPr>
            <w:tcW w:w="70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ACABA7"/>
          </w:tcPr>
          <w:p>
            <w:pPr>
              <w:spacing w:after="0"/>
              <w:rPr>
                <w:sz w:val="14"/>
                <w:szCs w:val="14"/>
                <w:color w:val="auto"/>
              </w:rPr>
            </w:pPr>
          </w:p>
        </w:tc>
        <w:tc>
          <w:tcPr>
            <w:tcW w:w="62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28,095</w:t>
            </w:r>
          </w:p>
        </w:tc>
        <w:tc>
          <w:tcPr>
            <w:tcW w:w="7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ACABA7"/>
          </w:tcPr>
          <w:p>
            <w:pPr>
              <w:jc w:val="right"/>
              <w:ind w:right="16"/>
              <w:spacing w:after="0"/>
              <w:rPr>
                <w:sz w:val="20"/>
                <w:szCs w:val="20"/>
                <w:color w:val="auto"/>
              </w:rPr>
            </w:pPr>
            <w:r>
              <w:rPr>
                <w:rFonts w:ascii="Arial" w:cs="Arial" w:eastAsia="Arial" w:hAnsi="Arial"/>
                <w:sz w:val="13"/>
                <w:szCs w:val="13"/>
                <w:color w:val="auto"/>
              </w:rPr>
              <w:t>62.43</w:t>
            </w:r>
          </w:p>
        </w:tc>
        <w:tc>
          <w:tcPr>
            <w:tcW w:w="8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325,902</w:t>
            </w:r>
          </w:p>
        </w:tc>
        <w:tc>
          <w:tcPr>
            <w:tcW w:w="0" w:type="dxa"/>
            <w:vAlign w:val="bottom"/>
          </w:tcPr>
          <w:p>
            <w:pPr>
              <w:spacing w:after="0"/>
              <w:rPr>
                <w:sz w:val="1"/>
                <w:szCs w:val="1"/>
                <w:color w:val="auto"/>
              </w:rPr>
            </w:pPr>
          </w:p>
        </w:tc>
      </w:tr>
      <w:tr>
        <w:trPr>
          <w:trHeight w:val="165"/>
        </w:trPr>
        <w:tc>
          <w:tcPr>
            <w:tcW w:w="1360" w:type="dxa"/>
            <w:vAlign w:val="bottom"/>
            <w:shd w:val="clear" w:color="auto" w:fill="ACABA7"/>
          </w:tcPr>
          <w:p>
            <w:pPr>
              <w:spacing w:after="0"/>
              <w:rPr>
                <w:sz w:val="14"/>
                <w:szCs w:val="14"/>
                <w:color w:val="auto"/>
              </w:rPr>
            </w:pPr>
          </w:p>
        </w:tc>
        <w:tc>
          <w:tcPr>
            <w:tcW w:w="660" w:type="dxa"/>
            <w:vAlign w:val="bottom"/>
            <w:shd w:val="clear" w:color="auto" w:fill="ACABA7"/>
          </w:tcPr>
          <w:p>
            <w:pPr>
              <w:jc w:val="right"/>
              <w:spacing w:after="0"/>
              <w:rPr>
                <w:sz w:val="20"/>
                <w:szCs w:val="20"/>
                <w:color w:val="auto"/>
              </w:rPr>
            </w:pPr>
            <w:r>
              <w:rPr>
                <w:rFonts w:ascii="Arial" w:cs="Arial" w:eastAsia="Arial" w:hAnsi="Arial"/>
                <w:sz w:val="13"/>
                <w:szCs w:val="13"/>
                <w:color w:val="auto"/>
              </w:rPr>
              <w:t>PRSU</w:t>
            </w:r>
          </w:p>
        </w:tc>
        <w:tc>
          <w:tcPr>
            <w:tcW w:w="940" w:type="dxa"/>
            <w:vAlign w:val="bottom"/>
            <w:shd w:val="clear" w:color="auto" w:fill="ACABA7"/>
          </w:tcPr>
          <w:p>
            <w:pPr>
              <w:jc w:val="right"/>
              <w:ind w:right="136"/>
              <w:spacing w:after="0"/>
              <w:rPr>
                <w:sz w:val="20"/>
                <w:szCs w:val="20"/>
                <w:color w:val="auto"/>
              </w:rPr>
            </w:pPr>
            <w:r>
              <w:rPr>
                <w:rFonts w:ascii="Arial" w:cs="Arial" w:eastAsia="Arial" w:hAnsi="Arial"/>
                <w:sz w:val="13"/>
                <w:szCs w:val="13"/>
                <w:color w:val="auto"/>
              </w:rPr>
              <w:t>3/8/2019</w:t>
            </w:r>
          </w:p>
        </w:tc>
        <w:tc>
          <w:tcPr>
            <w:tcW w:w="70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ACABA7"/>
          </w:tcPr>
          <w:p>
            <w:pPr>
              <w:spacing w:after="0"/>
              <w:rPr>
                <w:sz w:val="14"/>
                <w:szCs w:val="14"/>
                <w:color w:val="auto"/>
              </w:rPr>
            </w:pPr>
          </w:p>
        </w:tc>
        <w:tc>
          <w:tcPr>
            <w:tcW w:w="62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7,689</w:t>
            </w:r>
          </w:p>
        </w:tc>
        <w:tc>
          <w:tcPr>
            <w:tcW w:w="64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ACABA7"/>
          </w:tcPr>
          <w:p>
            <w:pPr>
              <w:jc w:val="right"/>
              <w:ind w:right="16"/>
              <w:spacing w:after="0"/>
              <w:rPr>
                <w:sz w:val="20"/>
                <w:szCs w:val="20"/>
                <w:color w:val="auto"/>
              </w:rPr>
            </w:pPr>
            <w:r>
              <w:rPr>
                <w:rFonts w:ascii="Arial" w:cs="Arial" w:eastAsia="Arial" w:hAnsi="Arial"/>
                <w:sz w:val="13"/>
                <w:szCs w:val="13"/>
                <w:color w:val="auto"/>
              </w:rPr>
              <w:t>—</w:t>
            </w:r>
          </w:p>
        </w:tc>
        <w:tc>
          <w:tcPr>
            <w:tcW w:w="8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480,024</w:t>
            </w:r>
          </w:p>
        </w:tc>
        <w:tc>
          <w:tcPr>
            <w:tcW w:w="0" w:type="dxa"/>
            <w:vAlign w:val="bottom"/>
          </w:tcPr>
          <w:p>
            <w:pPr>
              <w:spacing w:after="0"/>
              <w:rPr>
                <w:sz w:val="1"/>
                <w:szCs w:val="1"/>
                <w:color w:val="auto"/>
              </w:rPr>
            </w:pPr>
          </w:p>
        </w:tc>
      </w:tr>
      <w:tr>
        <w:trPr>
          <w:trHeight w:val="165"/>
        </w:trPr>
        <w:tc>
          <w:tcPr>
            <w:tcW w:w="1360" w:type="dxa"/>
            <w:vAlign w:val="bottom"/>
            <w:shd w:val="clear" w:color="auto" w:fill="ACABA7"/>
          </w:tcPr>
          <w:p>
            <w:pPr>
              <w:spacing w:after="0"/>
              <w:rPr>
                <w:sz w:val="14"/>
                <w:szCs w:val="14"/>
                <w:color w:val="auto"/>
              </w:rPr>
            </w:pPr>
          </w:p>
        </w:tc>
        <w:tc>
          <w:tcPr>
            <w:tcW w:w="660" w:type="dxa"/>
            <w:vAlign w:val="bottom"/>
            <w:shd w:val="clear" w:color="auto" w:fill="ACABA7"/>
          </w:tcPr>
          <w:p>
            <w:pPr>
              <w:jc w:val="right"/>
              <w:spacing w:after="0"/>
              <w:rPr>
                <w:sz w:val="20"/>
                <w:szCs w:val="20"/>
                <w:color w:val="auto"/>
              </w:rPr>
            </w:pPr>
            <w:r>
              <w:rPr>
                <w:rFonts w:ascii="Arial" w:cs="Arial" w:eastAsia="Arial" w:hAnsi="Arial"/>
                <w:sz w:val="13"/>
                <w:szCs w:val="13"/>
                <w:color w:val="auto"/>
              </w:rPr>
              <w:t>PSA</w:t>
            </w:r>
          </w:p>
        </w:tc>
        <w:tc>
          <w:tcPr>
            <w:tcW w:w="940" w:type="dxa"/>
            <w:vAlign w:val="bottom"/>
            <w:shd w:val="clear" w:color="auto" w:fill="ACABA7"/>
          </w:tcPr>
          <w:p>
            <w:pPr>
              <w:jc w:val="right"/>
              <w:ind w:right="136"/>
              <w:spacing w:after="0"/>
              <w:rPr>
                <w:sz w:val="20"/>
                <w:szCs w:val="20"/>
                <w:color w:val="auto"/>
              </w:rPr>
            </w:pPr>
            <w:r>
              <w:rPr>
                <w:rFonts w:ascii="Arial" w:cs="Arial" w:eastAsia="Arial" w:hAnsi="Arial"/>
                <w:sz w:val="13"/>
                <w:szCs w:val="13"/>
                <w:color w:val="auto"/>
              </w:rPr>
              <w:t>3/8/2019</w:t>
            </w:r>
          </w:p>
        </w:tc>
        <w:tc>
          <w:tcPr>
            <w:tcW w:w="70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ACABA7"/>
          </w:tcPr>
          <w:p>
            <w:pPr>
              <w:jc w:val="right"/>
              <w:spacing w:after="0"/>
              <w:rPr>
                <w:sz w:val="20"/>
                <w:szCs w:val="20"/>
                <w:color w:val="auto"/>
              </w:rPr>
            </w:pPr>
            <w:r>
              <w:rPr>
                <w:rFonts w:ascii="Arial" w:cs="Arial" w:eastAsia="Arial" w:hAnsi="Arial"/>
                <w:sz w:val="13"/>
                <w:szCs w:val="13"/>
                <w:color w:val="auto"/>
              </w:rPr>
              <w:t>6,408</w:t>
            </w:r>
          </w:p>
        </w:tc>
        <w:tc>
          <w:tcPr>
            <w:tcW w:w="6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12,815</w:t>
            </w:r>
          </w:p>
        </w:tc>
        <w:tc>
          <w:tcPr>
            <w:tcW w:w="640" w:type="dxa"/>
            <w:vAlign w:val="bottom"/>
            <w:shd w:val="clear" w:color="auto" w:fill="ACABA7"/>
          </w:tcPr>
          <w:p>
            <w:pPr>
              <w:jc w:val="right"/>
              <w:spacing w:after="0"/>
              <w:rPr>
                <w:sz w:val="20"/>
                <w:szCs w:val="20"/>
                <w:color w:val="auto"/>
              </w:rPr>
            </w:pPr>
            <w:r>
              <w:rPr>
                <w:rFonts w:ascii="Arial" w:cs="Arial" w:eastAsia="Arial" w:hAnsi="Arial"/>
                <w:sz w:val="13"/>
                <w:szCs w:val="13"/>
                <w:color w:val="auto"/>
              </w:rPr>
              <w:t>19,223</w:t>
            </w:r>
          </w:p>
        </w:tc>
        <w:tc>
          <w:tcPr>
            <w:tcW w:w="8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ACABA7"/>
          </w:tcPr>
          <w:p>
            <w:pPr>
              <w:jc w:val="right"/>
              <w:ind w:right="16"/>
              <w:spacing w:after="0"/>
              <w:rPr>
                <w:sz w:val="20"/>
                <w:szCs w:val="20"/>
                <w:color w:val="auto"/>
              </w:rPr>
            </w:pPr>
            <w:r>
              <w:rPr>
                <w:rFonts w:ascii="Arial" w:cs="Arial" w:eastAsia="Arial" w:hAnsi="Arial"/>
                <w:sz w:val="13"/>
                <w:szCs w:val="13"/>
                <w:color w:val="auto"/>
              </w:rPr>
              <w:t>—</w:t>
            </w:r>
          </w:p>
        </w:tc>
        <w:tc>
          <w:tcPr>
            <w:tcW w:w="8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862,188</w:t>
            </w:r>
          </w:p>
        </w:tc>
        <w:tc>
          <w:tcPr>
            <w:tcW w:w="0" w:type="dxa"/>
            <w:vAlign w:val="bottom"/>
          </w:tcPr>
          <w:p>
            <w:pPr>
              <w:spacing w:after="0"/>
              <w:rPr>
                <w:sz w:val="1"/>
                <w:szCs w:val="1"/>
                <w:color w:val="auto"/>
              </w:rPr>
            </w:pPr>
          </w:p>
        </w:tc>
      </w:tr>
      <w:tr>
        <w:trPr>
          <w:trHeight w:val="178"/>
        </w:trPr>
        <w:tc>
          <w:tcPr>
            <w:tcW w:w="1360" w:type="dxa"/>
            <w:vAlign w:val="bottom"/>
          </w:tcPr>
          <w:p>
            <w:pPr>
              <w:spacing w:after="0"/>
              <w:rPr>
                <w:sz w:val="20"/>
                <w:szCs w:val="20"/>
                <w:color w:val="auto"/>
              </w:rPr>
            </w:pPr>
            <w:r>
              <w:rPr>
                <w:rFonts w:ascii="Arial" w:cs="Arial" w:eastAsia="Arial" w:hAnsi="Arial"/>
                <w:sz w:val="13"/>
                <w:szCs w:val="13"/>
                <w:color w:val="auto"/>
              </w:rPr>
              <w:t>Mr. Scholl</w:t>
            </w:r>
          </w:p>
        </w:tc>
        <w:tc>
          <w:tcPr>
            <w:tcW w:w="660" w:type="dxa"/>
            <w:vAlign w:val="bottom"/>
          </w:tcPr>
          <w:p>
            <w:pPr>
              <w:jc w:val="right"/>
              <w:spacing w:after="0"/>
              <w:rPr>
                <w:sz w:val="20"/>
                <w:szCs w:val="20"/>
                <w:color w:val="auto"/>
              </w:rPr>
            </w:pPr>
            <w:r>
              <w:rPr>
                <w:rFonts w:ascii="Arial" w:cs="Arial" w:eastAsia="Arial" w:hAnsi="Arial"/>
                <w:sz w:val="13"/>
                <w:szCs w:val="13"/>
                <w:color w:val="auto"/>
              </w:rPr>
              <w:t>Cash</w:t>
            </w:r>
          </w:p>
        </w:tc>
        <w:tc>
          <w:tcPr>
            <w:tcW w:w="940" w:type="dxa"/>
            <w:vAlign w:val="bottom"/>
          </w:tcPr>
          <w:p>
            <w:pPr>
              <w:jc w:val="right"/>
              <w:ind w:right="136"/>
              <w:spacing w:after="0"/>
              <w:rPr>
                <w:sz w:val="20"/>
                <w:szCs w:val="20"/>
                <w:color w:val="auto"/>
              </w:rPr>
            </w:pPr>
            <w:r>
              <w:rPr>
                <w:rFonts w:ascii="Arial" w:cs="Arial" w:eastAsia="Arial" w:hAnsi="Arial"/>
                <w:sz w:val="13"/>
                <w:szCs w:val="13"/>
                <w:color w:val="auto"/>
              </w:rPr>
              <w:t>2/14/2019</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264,480</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456,000</w:t>
            </w:r>
          </w:p>
        </w:tc>
        <w:tc>
          <w:tcPr>
            <w:tcW w:w="700" w:type="dxa"/>
            <w:vAlign w:val="bottom"/>
          </w:tcPr>
          <w:p>
            <w:pPr>
              <w:jc w:val="right"/>
              <w:spacing w:after="0"/>
              <w:rPr>
                <w:sz w:val="20"/>
                <w:szCs w:val="20"/>
                <w:color w:val="auto"/>
              </w:rPr>
            </w:pPr>
            <w:r>
              <w:rPr>
                <w:rFonts w:ascii="Arial" w:cs="Arial" w:eastAsia="Arial" w:hAnsi="Arial"/>
                <w:sz w:val="13"/>
                <w:szCs w:val="13"/>
                <w:color w:val="auto"/>
              </w:rPr>
              <w:t>684,000</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Options</w:t>
            </w:r>
          </w:p>
        </w:tc>
        <w:tc>
          <w:tcPr>
            <w:tcW w:w="940" w:type="dxa"/>
            <w:vAlign w:val="bottom"/>
          </w:tcPr>
          <w:p>
            <w:pPr>
              <w:jc w:val="right"/>
              <w:ind w:right="136"/>
              <w:spacing w:after="0"/>
              <w:rPr>
                <w:sz w:val="20"/>
                <w:szCs w:val="20"/>
                <w:color w:val="auto"/>
              </w:rPr>
            </w:pPr>
            <w:r>
              <w:rPr>
                <w:rFonts w:ascii="Arial" w:cs="Arial" w:eastAsia="Arial" w:hAnsi="Arial"/>
                <w:sz w:val="13"/>
                <w:szCs w:val="13"/>
                <w:color w:val="auto"/>
              </w:rPr>
              <w:t>3/8/2019</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20,018</w:t>
            </w: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62.43</w:t>
            </w:r>
          </w:p>
        </w:tc>
        <w:tc>
          <w:tcPr>
            <w:tcW w:w="800" w:type="dxa"/>
            <w:vAlign w:val="bottom"/>
          </w:tcPr>
          <w:p>
            <w:pPr>
              <w:jc w:val="right"/>
              <w:spacing w:after="0"/>
              <w:rPr>
                <w:sz w:val="20"/>
                <w:szCs w:val="20"/>
                <w:color w:val="auto"/>
              </w:rPr>
            </w:pPr>
            <w:r>
              <w:rPr>
                <w:rFonts w:ascii="Arial" w:cs="Arial" w:eastAsia="Arial" w:hAnsi="Arial"/>
                <w:sz w:val="13"/>
                <w:szCs w:val="13"/>
                <w:color w:val="auto"/>
              </w:rPr>
              <w:t>232,209</w:t>
            </w: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PRSU</w:t>
            </w:r>
          </w:p>
        </w:tc>
        <w:tc>
          <w:tcPr>
            <w:tcW w:w="940" w:type="dxa"/>
            <w:vAlign w:val="bottom"/>
          </w:tcPr>
          <w:p>
            <w:pPr>
              <w:jc w:val="right"/>
              <w:ind w:right="136"/>
              <w:spacing w:after="0"/>
              <w:rPr>
                <w:sz w:val="20"/>
                <w:szCs w:val="20"/>
                <w:color w:val="auto"/>
              </w:rPr>
            </w:pPr>
            <w:r>
              <w:rPr>
                <w:rFonts w:ascii="Arial" w:cs="Arial" w:eastAsia="Arial" w:hAnsi="Arial"/>
                <w:sz w:val="13"/>
                <w:szCs w:val="13"/>
                <w:color w:val="auto"/>
              </w:rPr>
              <w:t>3/8/2019</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5,479</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342,054</w:t>
            </w:r>
          </w:p>
        </w:tc>
        <w:tc>
          <w:tcPr>
            <w:tcW w:w="0" w:type="dxa"/>
            <w:vAlign w:val="bottom"/>
          </w:tcPr>
          <w:p>
            <w:pPr>
              <w:spacing w:after="0"/>
              <w:rPr>
                <w:sz w:val="1"/>
                <w:szCs w:val="1"/>
                <w:color w:val="auto"/>
              </w:rPr>
            </w:pPr>
          </w:p>
        </w:tc>
      </w:tr>
      <w:tr>
        <w:trPr>
          <w:trHeight w:val="153"/>
        </w:trPr>
        <w:tc>
          <w:tcPr>
            <w:tcW w:w="13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PSA</w:t>
            </w:r>
          </w:p>
        </w:tc>
        <w:tc>
          <w:tcPr>
            <w:tcW w:w="940" w:type="dxa"/>
            <w:vAlign w:val="bottom"/>
          </w:tcPr>
          <w:p>
            <w:pPr>
              <w:jc w:val="right"/>
              <w:ind w:right="136"/>
              <w:spacing w:after="0"/>
              <w:rPr>
                <w:sz w:val="20"/>
                <w:szCs w:val="20"/>
                <w:color w:val="auto"/>
              </w:rPr>
            </w:pPr>
            <w:r>
              <w:rPr>
                <w:rFonts w:ascii="Arial" w:cs="Arial" w:eastAsia="Arial" w:hAnsi="Arial"/>
                <w:sz w:val="13"/>
                <w:szCs w:val="13"/>
                <w:color w:val="auto"/>
              </w:rPr>
              <w:t>3/8/2019</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4,566</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9,131</w:t>
            </w:r>
          </w:p>
        </w:tc>
        <w:tc>
          <w:tcPr>
            <w:tcW w:w="640" w:type="dxa"/>
            <w:vAlign w:val="bottom"/>
          </w:tcPr>
          <w:p>
            <w:pPr>
              <w:jc w:val="right"/>
              <w:spacing w:after="0"/>
              <w:rPr>
                <w:sz w:val="20"/>
                <w:szCs w:val="20"/>
                <w:color w:val="auto"/>
              </w:rPr>
            </w:pPr>
            <w:r>
              <w:rPr>
                <w:rFonts w:ascii="Arial" w:cs="Arial" w:eastAsia="Arial" w:hAnsi="Arial"/>
                <w:sz w:val="13"/>
                <w:szCs w:val="13"/>
                <w:color w:val="auto"/>
              </w:rPr>
              <w:t>13,697</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614,329</w:t>
            </w:r>
          </w:p>
        </w:tc>
        <w:tc>
          <w:tcPr>
            <w:tcW w:w="0" w:type="dxa"/>
            <w:vAlign w:val="bottom"/>
          </w:tcPr>
          <w:p>
            <w:pPr>
              <w:spacing w:after="0"/>
              <w:rPr>
                <w:sz w:val="1"/>
                <w:szCs w:val="1"/>
                <w:color w:val="auto"/>
              </w:rPr>
            </w:pPr>
          </w:p>
        </w:tc>
      </w:tr>
      <w:tr>
        <w:trPr>
          <w:trHeight w:val="165"/>
        </w:trPr>
        <w:tc>
          <w:tcPr>
            <w:tcW w:w="1360" w:type="dxa"/>
            <w:vAlign w:val="bottom"/>
            <w:shd w:val="clear" w:color="auto" w:fill="ACABA7"/>
          </w:tcPr>
          <w:p>
            <w:pPr>
              <w:spacing w:after="0"/>
              <w:rPr>
                <w:sz w:val="20"/>
                <w:szCs w:val="20"/>
                <w:color w:val="auto"/>
              </w:rPr>
            </w:pPr>
            <w:r>
              <w:rPr>
                <w:rFonts w:ascii="Arial" w:cs="Arial" w:eastAsia="Arial" w:hAnsi="Arial"/>
                <w:sz w:val="13"/>
                <w:szCs w:val="13"/>
                <w:color w:val="auto"/>
              </w:rPr>
              <w:t>Mr. Howe</w:t>
            </w:r>
          </w:p>
        </w:tc>
        <w:tc>
          <w:tcPr>
            <w:tcW w:w="660" w:type="dxa"/>
            <w:vAlign w:val="bottom"/>
            <w:shd w:val="clear" w:color="auto" w:fill="ACABA7"/>
          </w:tcPr>
          <w:p>
            <w:pPr>
              <w:jc w:val="right"/>
              <w:spacing w:after="0"/>
              <w:rPr>
                <w:sz w:val="20"/>
                <w:szCs w:val="20"/>
                <w:color w:val="auto"/>
              </w:rPr>
            </w:pPr>
            <w:r>
              <w:rPr>
                <w:rFonts w:ascii="Arial" w:cs="Arial" w:eastAsia="Arial" w:hAnsi="Arial"/>
                <w:sz w:val="13"/>
                <w:szCs w:val="13"/>
                <w:color w:val="auto"/>
              </w:rPr>
              <w:t>Cash</w:t>
            </w:r>
          </w:p>
        </w:tc>
        <w:tc>
          <w:tcPr>
            <w:tcW w:w="940" w:type="dxa"/>
            <w:vAlign w:val="bottom"/>
            <w:shd w:val="clear" w:color="auto" w:fill="ACABA7"/>
          </w:tcPr>
          <w:p>
            <w:pPr>
              <w:jc w:val="right"/>
              <w:ind w:right="136"/>
              <w:spacing w:after="0"/>
              <w:rPr>
                <w:sz w:val="20"/>
                <w:szCs w:val="20"/>
                <w:color w:val="auto"/>
              </w:rPr>
            </w:pPr>
            <w:r>
              <w:rPr>
                <w:rFonts w:ascii="Arial" w:cs="Arial" w:eastAsia="Arial" w:hAnsi="Arial"/>
                <w:sz w:val="13"/>
                <w:szCs w:val="13"/>
                <w:color w:val="auto"/>
              </w:rPr>
              <w:t>2/14/2019</w:t>
            </w:r>
          </w:p>
        </w:tc>
        <w:tc>
          <w:tcPr>
            <w:tcW w:w="70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273,760</w:t>
            </w:r>
          </w:p>
        </w:tc>
        <w:tc>
          <w:tcPr>
            <w:tcW w:w="78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472,000</w:t>
            </w:r>
          </w:p>
        </w:tc>
        <w:tc>
          <w:tcPr>
            <w:tcW w:w="7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708,000</w:t>
            </w:r>
          </w:p>
        </w:tc>
        <w:tc>
          <w:tcPr>
            <w:tcW w:w="180" w:type="dxa"/>
            <w:vAlign w:val="bottom"/>
            <w:shd w:val="clear" w:color="auto" w:fill="ACABA7"/>
          </w:tcPr>
          <w:p>
            <w:pPr>
              <w:spacing w:after="0"/>
              <w:rPr>
                <w:sz w:val="14"/>
                <w:szCs w:val="14"/>
                <w:color w:val="auto"/>
              </w:rPr>
            </w:pPr>
          </w:p>
        </w:tc>
        <w:tc>
          <w:tcPr>
            <w:tcW w:w="62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ACABA7"/>
          </w:tcPr>
          <w:p>
            <w:pPr>
              <w:jc w:val="right"/>
              <w:ind w:right="16"/>
              <w:spacing w:after="0"/>
              <w:rPr>
                <w:sz w:val="20"/>
                <w:szCs w:val="20"/>
                <w:color w:val="auto"/>
              </w:rPr>
            </w:pPr>
            <w:r>
              <w:rPr>
                <w:rFonts w:ascii="Arial" w:cs="Arial" w:eastAsia="Arial" w:hAnsi="Arial"/>
                <w:sz w:val="13"/>
                <w:szCs w:val="13"/>
                <w:color w:val="auto"/>
              </w:rPr>
              <w:t>—</w:t>
            </w:r>
          </w:p>
        </w:tc>
        <w:tc>
          <w:tcPr>
            <w:tcW w:w="8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1360" w:type="dxa"/>
            <w:vAlign w:val="bottom"/>
            <w:shd w:val="clear" w:color="auto" w:fill="ACABA7"/>
          </w:tcPr>
          <w:p>
            <w:pPr>
              <w:spacing w:after="0"/>
              <w:rPr>
                <w:sz w:val="14"/>
                <w:szCs w:val="14"/>
                <w:color w:val="auto"/>
              </w:rPr>
            </w:pPr>
          </w:p>
        </w:tc>
        <w:tc>
          <w:tcPr>
            <w:tcW w:w="660" w:type="dxa"/>
            <w:vAlign w:val="bottom"/>
            <w:shd w:val="clear" w:color="auto" w:fill="ACABA7"/>
          </w:tcPr>
          <w:p>
            <w:pPr>
              <w:jc w:val="right"/>
              <w:spacing w:after="0"/>
              <w:rPr>
                <w:sz w:val="20"/>
                <w:szCs w:val="20"/>
                <w:color w:val="auto"/>
              </w:rPr>
            </w:pPr>
            <w:r>
              <w:rPr>
                <w:rFonts w:ascii="Arial" w:cs="Arial" w:eastAsia="Arial" w:hAnsi="Arial"/>
                <w:sz w:val="13"/>
                <w:szCs w:val="13"/>
                <w:color w:val="auto"/>
              </w:rPr>
              <w:t>Options</w:t>
            </w:r>
          </w:p>
        </w:tc>
        <w:tc>
          <w:tcPr>
            <w:tcW w:w="940" w:type="dxa"/>
            <w:vAlign w:val="bottom"/>
            <w:shd w:val="clear" w:color="auto" w:fill="ACABA7"/>
          </w:tcPr>
          <w:p>
            <w:pPr>
              <w:jc w:val="right"/>
              <w:ind w:right="136"/>
              <w:spacing w:after="0"/>
              <w:rPr>
                <w:sz w:val="20"/>
                <w:szCs w:val="20"/>
                <w:color w:val="auto"/>
              </w:rPr>
            </w:pPr>
            <w:r>
              <w:rPr>
                <w:rFonts w:ascii="Arial" w:cs="Arial" w:eastAsia="Arial" w:hAnsi="Arial"/>
                <w:sz w:val="13"/>
                <w:szCs w:val="13"/>
                <w:color w:val="auto"/>
              </w:rPr>
              <w:t>3/8/2019</w:t>
            </w:r>
          </w:p>
        </w:tc>
        <w:tc>
          <w:tcPr>
            <w:tcW w:w="70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ACABA7"/>
          </w:tcPr>
          <w:p>
            <w:pPr>
              <w:spacing w:after="0"/>
              <w:rPr>
                <w:sz w:val="14"/>
                <w:szCs w:val="14"/>
                <w:color w:val="auto"/>
              </w:rPr>
            </w:pPr>
          </w:p>
        </w:tc>
        <w:tc>
          <w:tcPr>
            <w:tcW w:w="62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18,130</w:t>
            </w:r>
          </w:p>
        </w:tc>
        <w:tc>
          <w:tcPr>
            <w:tcW w:w="7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ACABA7"/>
          </w:tcPr>
          <w:p>
            <w:pPr>
              <w:jc w:val="right"/>
              <w:ind w:right="16"/>
              <w:spacing w:after="0"/>
              <w:rPr>
                <w:sz w:val="20"/>
                <w:szCs w:val="20"/>
                <w:color w:val="auto"/>
              </w:rPr>
            </w:pPr>
            <w:r>
              <w:rPr>
                <w:rFonts w:ascii="Arial" w:cs="Arial" w:eastAsia="Arial" w:hAnsi="Arial"/>
                <w:sz w:val="13"/>
                <w:szCs w:val="13"/>
                <w:color w:val="auto"/>
              </w:rPr>
              <w:t>62.43</w:t>
            </w:r>
          </w:p>
        </w:tc>
        <w:tc>
          <w:tcPr>
            <w:tcW w:w="8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210,308</w:t>
            </w:r>
          </w:p>
        </w:tc>
        <w:tc>
          <w:tcPr>
            <w:tcW w:w="0" w:type="dxa"/>
            <w:vAlign w:val="bottom"/>
          </w:tcPr>
          <w:p>
            <w:pPr>
              <w:spacing w:after="0"/>
              <w:rPr>
                <w:sz w:val="1"/>
                <w:szCs w:val="1"/>
                <w:color w:val="auto"/>
              </w:rPr>
            </w:pPr>
          </w:p>
        </w:tc>
      </w:tr>
      <w:tr>
        <w:trPr>
          <w:trHeight w:val="165"/>
        </w:trPr>
        <w:tc>
          <w:tcPr>
            <w:tcW w:w="1360" w:type="dxa"/>
            <w:vAlign w:val="bottom"/>
            <w:shd w:val="clear" w:color="auto" w:fill="ACABA7"/>
          </w:tcPr>
          <w:p>
            <w:pPr>
              <w:spacing w:after="0"/>
              <w:rPr>
                <w:sz w:val="14"/>
                <w:szCs w:val="14"/>
                <w:color w:val="auto"/>
              </w:rPr>
            </w:pPr>
          </w:p>
        </w:tc>
        <w:tc>
          <w:tcPr>
            <w:tcW w:w="660" w:type="dxa"/>
            <w:vAlign w:val="bottom"/>
            <w:shd w:val="clear" w:color="auto" w:fill="ACABA7"/>
          </w:tcPr>
          <w:p>
            <w:pPr>
              <w:jc w:val="right"/>
              <w:spacing w:after="0"/>
              <w:rPr>
                <w:sz w:val="20"/>
                <w:szCs w:val="20"/>
                <w:color w:val="auto"/>
              </w:rPr>
            </w:pPr>
            <w:r>
              <w:rPr>
                <w:rFonts w:ascii="Arial" w:cs="Arial" w:eastAsia="Arial" w:hAnsi="Arial"/>
                <w:sz w:val="13"/>
                <w:szCs w:val="13"/>
                <w:color w:val="auto"/>
              </w:rPr>
              <w:t>PRSU</w:t>
            </w:r>
          </w:p>
        </w:tc>
        <w:tc>
          <w:tcPr>
            <w:tcW w:w="940" w:type="dxa"/>
            <w:vAlign w:val="bottom"/>
            <w:shd w:val="clear" w:color="auto" w:fill="ACABA7"/>
          </w:tcPr>
          <w:p>
            <w:pPr>
              <w:jc w:val="right"/>
              <w:ind w:right="136"/>
              <w:spacing w:after="0"/>
              <w:rPr>
                <w:sz w:val="20"/>
                <w:szCs w:val="20"/>
                <w:color w:val="auto"/>
              </w:rPr>
            </w:pPr>
            <w:r>
              <w:rPr>
                <w:rFonts w:ascii="Arial" w:cs="Arial" w:eastAsia="Arial" w:hAnsi="Arial"/>
                <w:sz w:val="13"/>
                <w:szCs w:val="13"/>
                <w:color w:val="auto"/>
              </w:rPr>
              <w:t>3/8/2019</w:t>
            </w:r>
          </w:p>
        </w:tc>
        <w:tc>
          <w:tcPr>
            <w:tcW w:w="70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ACABA7"/>
          </w:tcPr>
          <w:p>
            <w:pPr>
              <w:spacing w:after="0"/>
              <w:rPr>
                <w:sz w:val="14"/>
                <w:szCs w:val="14"/>
                <w:color w:val="auto"/>
              </w:rPr>
            </w:pPr>
          </w:p>
        </w:tc>
        <w:tc>
          <w:tcPr>
            <w:tcW w:w="62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4,962</w:t>
            </w:r>
          </w:p>
        </w:tc>
        <w:tc>
          <w:tcPr>
            <w:tcW w:w="64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ACABA7"/>
          </w:tcPr>
          <w:p>
            <w:pPr>
              <w:jc w:val="right"/>
              <w:ind w:right="16"/>
              <w:spacing w:after="0"/>
              <w:rPr>
                <w:sz w:val="20"/>
                <w:szCs w:val="20"/>
                <w:color w:val="auto"/>
              </w:rPr>
            </w:pPr>
            <w:r>
              <w:rPr>
                <w:rFonts w:ascii="Arial" w:cs="Arial" w:eastAsia="Arial" w:hAnsi="Arial"/>
                <w:sz w:val="13"/>
                <w:szCs w:val="13"/>
                <w:color w:val="auto"/>
              </w:rPr>
              <w:t>—</w:t>
            </w:r>
          </w:p>
        </w:tc>
        <w:tc>
          <w:tcPr>
            <w:tcW w:w="8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309,778</w:t>
            </w:r>
          </w:p>
        </w:tc>
        <w:tc>
          <w:tcPr>
            <w:tcW w:w="0" w:type="dxa"/>
            <w:vAlign w:val="bottom"/>
          </w:tcPr>
          <w:p>
            <w:pPr>
              <w:spacing w:after="0"/>
              <w:rPr>
                <w:sz w:val="1"/>
                <w:szCs w:val="1"/>
                <w:color w:val="auto"/>
              </w:rPr>
            </w:pPr>
          </w:p>
        </w:tc>
      </w:tr>
      <w:tr>
        <w:trPr>
          <w:trHeight w:val="165"/>
        </w:trPr>
        <w:tc>
          <w:tcPr>
            <w:tcW w:w="1360" w:type="dxa"/>
            <w:vAlign w:val="bottom"/>
            <w:shd w:val="clear" w:color="auto" w:fill="ACABA7"/>
          </w:tcPr>
          <w:p>
            <w:pPr>
              <w:spacing w:after="0"/>
              <w:rPr>
                <w:sz w:val="14"/>
                <w:szCs w:val="14"/>
                <w:color w:val="auto"/>
              </w:rPr>
            </w:pPr>
          </w:p>
        </w:tc>
        <w:tc>
          <w:tcPr>
            <w:tcW w:w="660" w:type="dxa"/>
            <w:vAlign w:val="bottom"/>
            <w:shd w:val="clear" w:color="auto" w:fill="ACABA7"/>
          </w:tcPr>
          <w:p>
            <w:pPr>
              <w:jc w:val="right"/>
              <w:spacing w:after="0"/>
              <w:rPr>
                <w:sz w:val="20"/>
                <w:szCs w:val="20"/>
                <w:color w:val="auto"/>
              </w:rPr>
            </w:pPr>
            <w:r>
              <w:rPr>
                <w:rFonts w:ascii="Arial" w:cs="Arial" w:eastAsia="Arial" w:hAnsi="Arial"/>
                <w:sz w:val="13"/>
                <w:szCs w:val="13"/>
                <w:color w:val="auto"/>
              </w:rPr>
              <w:t>PSA</w:t>
            </w:r>
          </w:p>
        </w:tc>
        <w:tc>
          <w:tcPr>
            <w:tcW w:w="940" w:type="dxa"/>
            <w:vAlign w:val="bottom"/>
            <w:shd w:val="clear" w:color="auto" w:fill="ACABA7"/>
          </w:tcPr>
          <w:p>
            <w:pPr>
              <w:jc w:val="right"/>
              <w:ind w:right="136"/>
              <w:spacing w:after="0"/>
              <w:rPr>
                <w:sz w:val="20"/>
                <w:szCs w:val="20"/>
                <w:color w:val="auto"/>
              </w:rPr>
            </w:pPr>
            <w:r>
              <w:rPr>
                <w:rFonts w:ascii="Arial" w:cs="Arial" w:eastAsia="Arial" w:hAnsi="Arial"/>
                <w:sz w:val="13"/>
                <w:szCs w:val="13"/>
                <w:color w:val="auto"/>
              </w:rPr>
              <w:t>3/8/2019</w:t>
            </w:r>
          </w:p>
        </w:tc>
        <w:tc>
          <w:tcPr>
            <w:tcW w:w="70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ACABA7"/>
          </w:tcPr>
          <w:p>
            <w:pPr>
              <w:jc w:val="right"/>
              <w:spacing w:after="0"/>
              <w:rPr>
                <w:sz w:val="20"/>
                <w:szCs w:val="20"/>
                <w:color w:val="auto"/>
              </w:rPr>
            </w:pPr>
            <w:r>
              <w:rPr>
                <w:rFonts w:ascii="Arial" w:cs="Arial" w:eastAsia="Arial" w:hAnsi="Arial"/>
                <w:sz w:val="13"/>
                <w:szCs w:val="13"/>
                <w:color w:val="auto"/>
              </w:rPr>
              <w:t>4,135</w:t>
            </w:r>
          </w:p>
        </w:tc>
        <w:tc>
          <w:tcPr>
            <w:tcW w:w="6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8,270</w:t>
            </w:r>
          </w:p>
        </w:tc>
        <w:tc>
          <w:tcPr>
            <w:tcW w:w="640" w:type="dxa"/>
            <w:vAlign w:val="bottom"/>
            <w:shd w:val="clear" w:color="auto" w:fill="ACABA7"/>
          </w:tcPr>
          <w:p>
            <w:pPr>
              <w:jc w:val="right"/>
              <w:spacing w:after="0"/>
              <w:rPr>
                <w:sz w:val="20"/>
                <w:szCs w:val="20"/>
                <w:color w:val="auto"/>
              </w:rPr>
            </w:pPr>
            <w:r>
              <w:rPr>
                <w:rFonts w:ascii="Arial" w:cs="Arial" w:eastAsia="Arial" w:hAnsi="Arial"/>
                <w:sz w:val="13"/>
                <w:szCs w:val="13"/>
                <w:color w:val="auto"/>
              </w:rPr>
              <w:t>12,405</w:t>
            </w:r>
          </w:p>
        </w:tc>
        <w:tc>
          <w:tcPr>
            <w:tcW w:w="8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ACABA7"/>
          </w:tcPr>
          <w:p>
            <w:pPr>
              <w:jc w:val="right"/>
              <w:ind w:right="16"/>
              <w:spacing w:after="0"/>
              <w:rPr>
                <w:sz w:val="20"/>
                <w:szCs w:val="20"/>
                <w:color w:val="auto"/>
              </w:rPr>
            </w:pPr>
            <w:r>
              <w:rPr>
                <w:rFonts w:ascii="Arial" w:cs="Arial" w:eastAsia="Arial" w:hAnsi="Arial"/>
                <w:sz w:val="13"/>
                <w:szCs w:val="13"/>
                <w:color w:val="auto"/>
              </w:rPr>
              <w:t>—</w:t>
            </w:r>
          </w:p>
        </w:tc>
        <w:tc>
          <w:tcPr>
            <w:tcW w:w="8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556,406</w:t>
            </w:r>
          </w:p>
        </w:tc>
        <w:tc>
          <w:tcPr>
            <w:tcW w:w="0" w:type="dxa"/>
            <w:vAlign w:val="bottom"/>
          </w:tcPr>
          <w:p>
            <w:pPr>
              <w:spacing w:after="0"/>
              <w:rPr>
                <w:sz w:val="1"/>
                <w:szCs w:val="1"/>
                <w:color w:val="auto"/>
              </w:rPr>
            </w:pPr>
          </w:p>
        </w:tc>
      </w:tr>
      <w:tr>
        <w:trPr>
          <w:trHeight w:val="178"/>
        </w:trPr>
        <w:tc>
          <w:tcPr>
            <w:tcW w:w="1360" w:type="dxa"/>
            <w:vAlign w:val="bottom"/>
          </w:tcPr>
          <w:p>
            <w:pPr>
              <w:spacing w:after="0"/>
              <w:rPr>
                <w:sz w:val="20"/>
                <w:szCs w:val="20"/>
                <w:color w:val="auto"/>
              </w:rPr>
            </w:pPr>
            <w:r>
              <w:rPr>
                <w:rFonts w:ascii="Arial" w:cs="Arial" w:eastAsia="Arial" w:hAnsi="Arial"/>
                <w:sz w:val="13"/>
                <w:szCs w:val="13"/>
                <w:color w:val="auto"/>
              </w:rPr>
              <w:t>Mr. Fasano</w:t>
            </w:r>
          </w:p>
        </w:tc>
        <w:tc>
          <w:tcPr>
            <w:tcW w:w="660" w:type="dxa"/>
            <w:vAlign w:val="bottom"/>
          </w:tcPr>
          <w:p>
            <w:pPr>
              <w:jc w:val="right"/>
              <w:spacing w:after="0"/>
              <w:rPr>
                <w:sz w:val="20"/>
                <w:szCs w:val="20"/>
                <w:color w:val="auto"/>
              </w:rPr>
            </w:pPr>
            <w:r>
              <w:rPr>
                <w:rFonts w:ascii="Arial" w:cs="Arial" w:eastAsia="Arial" w:hAnsi="Arial"/>
                <w:sz w:val="13"/>
                <w:szCs w:val="13"/>
                <w:color w:val="auto"/>
              </w:rPr>
              <w:t>Cash</w:t>
            </w:r>
          </w:p>
        </w:tc>
        <w:tc>
          <w:tcPr>
            <w:tcW w:w="940" w:type="dxa"/>
            <w:vAlign w:val="bottom"/>
          </w:tcPr>
          <w:p>
            <w:pPr>
              <w:jc w:val="right"/>
              <w:ind w:right="136"/>
              <w:spacing w:after="0"/>
              <w:rPr>
                <w:sz w:val="20"/>
                <w:szCs w:val="20"/>
                <w:color w:val="auto"/>
              </w:rPr>
            </w:pPr>
            <w:r>
              <w:rPr>
                <w:rFonts w:ascii="Arial" w:cs="Arial" w:eastAsia="Arial" w:hAnsi="Arial"/>
                <w:sz w:val="13"/>
                <w:szCs w:val="13"/>
                <w:color w:val="auto"/>
              </w:rPr>
              <w:t>2/14/2019</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243,600</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420,000</w:t>
            </w:r>
          </w:p>
        </w:tc>
        <w:tc>
          <w:tcPr>
            <w:tcW w:w="700" w:type="dxa"/>
            <w:vAlign w:val="bottom"/>
          </w:tcPr>
          <w:p>
            <w:pPr>
              <w:jc w:val="right"/>
              <w:spacing w:after="0"/>
              <w:rPr>
                <w:sz w:val="20"/>
                <w:szCs w:val="20"/>
                <w:color w:val="auto"/>
              </w:rPr>
            </w:pPr>
            <w:r>
              <w:rPr>
                <w:rFonts w:ascii="Arial" w:cs="Arial" w:eastAsia="Arial" w:hAnsi="Arial"/>
                <w:sz w:val="13"/>
                <w:szCs w:val="13"/>
                <w:color w:val="auto"/>
              </w:rPr>
              <w:t>630,000</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Options</w:t>
            </w:r>
          </w:p>
        </w:tc>
        <w:tc>
          <w:tcPr>
            <w:tcW w:w="940" w:type="dxa"/>
            <w:vAlign w:val="bottom"/>
          </w:tcPr>
          <w:p>
            <w:pPr>
              <w:jc w:val="right"/>
              <w:ind w:right="136"/>
              <w:spacing w:after="0"/>
              <w:rPr>
                <w:sz w:val="20"/>
                <w:szCs w:val="20"/>
                <w:color w:val="auto"/>
              </w:rPr>
            </w:pPr>
            <w:r>
              <w:rPr>
                <w:rFonts w:ascii="Arial" w:cs="Arial" w:eastAsia="Arial" w:hAnsi="Arial"/>
                <w:sz w:val="13"/>
                <w:szCs w:val="13"/>
                <w:color w:val="auto"/>
              </w:rPr>
              <w:t>3/8/2019</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18,438</w:t>
            </w: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62.43</w:t>
            </w:r>
          </w:p>
        </w:tc>
        <w:tc>
          <w:tcPr>
            <w:tcW w:w="800" w:type="dxa"/>
            <w:vAlign w:val="bottom"/>
          </w:tcPr>
          <w:p>
            <w:pPr>
              <w:jc w:val="right"/>
              <w:spacing w:after="0"/>
              <w:rPr>
                <w:sz w:val="20"/>
                <w:szCs w:val="20"/>
                <w:color w:val="auto"/>
              </w:rPr>
            </w:pPr>
            <w:r>
              <w:rPr>
                <w:rFonts w:ascii="Arial" w:cs="Arial" w:eastAsia="Arial" w:hAnsi="Arial"/>
                <w:sz w:val="13"/>
                <w:szCs w:val="13"/>
                <w:color w:val="auto"/>
              </w:rPr>
              <w:t>213,881</w:t>
            </w: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PRSU</w:t>
            </w:r>
          </w:p>
        </w:tc>
        <w:tc>
          <w:tcPr>
            <w:tcW w:w="940" w:type="dxa"/>
            <w:vAlign w:val="bottom"/>
          </w:tcPr>
          <w:p>
            <w:pPr>
              <w:jc w:val="right"/>
              <w:ind w:right="136"/>
              <w:spacing w:after="0"/>
              <w:rPr>
                <w:sz w:val="20"/>
                <w:szCs w:val="20"/>
                <w:color w:val="auto"/>
              </w:rPr>
            </w:pPr>
            <w:r>
              <w:rPr>
                <w:rFonts w:ascii="Arial" w:cs="Arial" w:eastAsia="Arial" w:hAnsi="Arial"/>
                <w:sz w:val="13"/>
                <w:szCs w:val="13"/>
                <w:color w:val="auto"/>
              </w:rPr>
              <w:t>3/8/2019</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5,046</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315,022</w:t>
            </w:r>
          </w:p>
        </w:tc>
        <w:tc>
          <w:tcPr>
            <w:tcW w:w="0" w:type="dxa"/>
            <w:vAlign w:val="bottom"/>
          </w:tcPr>
          <w:p>
            <w:pPr>
              <w:spacing w:after="0"/>
              <w:rPr>
                <w:sz w:val="1"/>
                <w:szCs w:val="1"/>
                <w:color w:val="auto"/>
              </w:rPr>
            </w:pPr>
          </w:p>
        </w:tc>
      </w:tr>
      <w:tr>
        <w:trPr>
          <w:trHeight w:val="153"/>
        </w:trPr>
        <w:tc>
          <w:tcPr>
            <w:tcW w:w="13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PSA</w:t>
            </w:r>
          </w:p>
        </w:tc>
        <w:tc>
          <w:tcPr>
            <w:tcW w:w="940" w:type="dxa"/>
            <w:vAlign w:val="bottom"/>
          </w:tcPr>
          <w:p>
            <w:pPr>
              <w:jc w:val="right"/>
              <w:ind w:right="136"/>
              <w:spacing w:after="0"/>
              <w:rPr>
                <w:sz w:val="20"/>
                <w:szCs w:val="20"/>
                <w:color w:val="auto"/>
              </w:rPr>
            </w:pPr>
            <w:r>
              <w:rPr>
                <w:rFonts w:ascii="Arial" w:cs="Arial" w:eastAsia="Arial" w:hAnsi="Arial"/>
                <w:sz w:val="13"/>
                <w:szCs w:val="13"/>
                <w:color w:val="auto"/>
              </w:rPr>
              <w:t>3/8/2019</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4,205</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8,410</w:t>
            </w:r>
          </w:p>
        </w:tc>
        <w:tc>
          <w:tcPr>
            <w:tcW w:w="640" w:type="dxa"/>
            <w:vAlign w:val="bottom"/>
          </w:tcPr>
          <w:p>
            <w:pPr>
              <w:jc w:val="right"/>
              <w:spacing w:after="0"/>
              <w:rPr>
                <w:sz w:val="20"/>
                <w:szCs w:val="20"/>
                <w:color w:val="auto"/>
              </w:rPr>
            </w:pPr>
            <w:r>
              <w:rPr>
                <w:rFonts w:ascii="Arial" w:cs="Arial" w:eastAsia="Arial" w:hAnsi="Arial"/>
                <w:sz w:val="13"/>
                <w:szCs w:val="13"/>
                <w:color w:val="auto"/>
              </w:rPr>
              <w:t>12,615</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565,825</w:t>
            </w:r>
          </w:p>
        </w:tc>
        <w:tc>
          <w:tcPr>
            <w:tcW w:w="0" w:type="dxa"/>
            <w:vAlign w:val="bottom"/>
          </w:tcPr>
          <w:p>
            <w:pPr>
              <w:spacing w:after="0"/>
              <w:rPr>
                <w:sz w:val="1"/>
                <w:szCs w:val="1"/>
                <w:color w:val="auto"/>
              </w:rPr>
            </w:pPr>
          </w:p>
        </w:tc>
      </w:tr>
      <w:tr>
        <w:trPr>
          <w:trHeight w:val="165"/>
        </w:trPr>
        <w:tc>
          <w:tcPr>
            <w:tcW w:w="1360" w:type="dxa"/>
            <w:vAlign w:val="bottom"/>
            <w:shd w:val="clear" w:color="auto" w:fill="ACABA7"/>
          </w:tcPr>
          <w:p>
            <w:pPr>
              <w:spacing w:after="0"/>
              <w:rPr>
                <w:sz w:val="20"/>
                <w:szCs w:val="20"/>
                <w:color w:val="auto"/>
              </w:rPr>
            </w:pPr>
            <w:r>
              <w:rPr>
                <w:rFonts w:ascii="Arial" w:cs="Arial" w:eastAsia="Arial" w:hAnsi="Arial"/>
                <w:sz w:val="13"/>
                <w:szCs w:val="13"/>
                <w:color w:val="auto"/>
              </w:rPr>
              <w:t>Ms. Heise</w:t>
            </w:r>
          </w:p>
        </w:tc>
        <w:tc>
          <w:tcPr>
            <w:tcW w:w="660" w:type="dxa"/>
            <w:vAlign w:val="bottom"/>
            <w:shd w:val="clear" w:color="auto" w:fill="ACABA7"/>
          </w:tcPr>
          <w:p>
            <w:pPr>
              <w:jc w:val="right"/>
              <w:spacing w:after="0"/>
              <w:rPr>
                <w:sz w:val="20"/>
                <w:szCs w:val="20"/>
                <w:color w:val="auto"/>
              </w:rPr>
            </w:pPr>
            <w:r>
              <w:rPr>
                <w:rFonts w:ascii="Arial" w:cs="Arial" w:eastAsia="Arial" w:hAnsi="Arial"/>
                <w:sz w:val="13"/>
                <w:szCs w:val="13"/>
                <w:color w:val="auto"/>
              </w:rPr>
              <w:t>Cash</w:t>
            </w:r>
          </w:p>
        </w:tc>
        <w:tc>
          <w:tcPr>
            <w:tcW w:w="940" w:type="dxa"/>
            <w:vAlign w:val="bottom"/>
            <w:shd w:val="clear" w:color="auto" w:fill="ACABA7"/>
          </w:tcPr>
          <w:p>
            <w:pPr>
              <w:jc w:val="right"/>
              <w:ind w:right="136"/>
              <w:spacing w:after="0"/>
              <w:rPr>
                <w:sz w:val="20"/>
                <w:szCs w:val="20"/>
                <w:color w:val="auto"/>
              </w:rPr>
            </w:pPr>
            <w:r>
              <w:rPr>
                <w:rFonts w:ascii="Arial" w:cs="Arial" w:eastAsia="Arial" w:hAnsi="Arial"/>
                <w:sz w:val="13"/>
                <w:szCs w:val="13"/>
                <w:color w:val="auto"/>
              </w:rPr>
              <w:t>2/14/2019</w:t>
            </w:r>
          </w:p>
        </w:tc>
        <w:tc>
          <w:tcPr>
            <w:tcW w:w="70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287,100</w:t>
            </w:r>
          </w:p>
        </w:tc>
        <w:tc>
          <w:tcPr>
            <w:tcW w:w="78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495,000</w:t>
            </w:r>
          </w:p>
        </w:tc>
        <w:tc>
          <w:tcPr>
            <w:tcW w:w="7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742,500</w:t>
            </w:r>
          </w:p>
        </w:tc>
        <w:tc>
          <w:tcPr>
            <w:tcW w:w="180" w:type="dxa"/>
            <w:vAlign w:val="bottom"/>
            <w:shd w:val="clear" w:color="auto" w:fill="ACABA7"/>
          </w:tcPr>
          <w:p>
            <w:pPr>
              <w:spacing w:after="0"/>
              <w:rPr>
                <w:sz w:val="14"/>
                <w:szCs w:val="14"/>
                <w:color w:val="auto"/>
              </w:rPr>
            </w:pPr>
          </w:p>
        </w:tc>
        <w:tc>
          <w:tcPr>
            <w:tcW w:w="62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ACABA7"/>
          </w:tcPr>
          <w:p>
            <w:pPr>
              <w:jc w:val="right"/>
              <w:ind w:right="16"/>
              <w:spacing w:after="0"/>
              <w:rPr>
                <w:sz w:val="20"/>
                <w:szCs w:val="20"/>
                <w:color w:val="auto"/>
              </w:rPr>
            </w:pPr>
            <w:r>
              <w:rPr>
                <w:rFonts w:ascii="Arial" w:cs="Arial" w:eastAsia="Arial" w:hAnsi="Arial"/>
                <w:sz w:val="13"/>
                <w:szCs w:val="13"/>
                <w:color w:val="auto"/>
              </w:rPr>
              <w:t>—</w:t>
            </w:r>
          </w:p>
        </w:tc>
        <w:tc>
          <w:tcPr>
            <w:tcW w:w="8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1360" w:type="dxa"/>
            <w:vAlign w:val="bottom"/>
            <w:shd w:val="clear" w:color="auto" w:fill="ACABA7"/>
          </w:tcPr>
          <w:p>
            <w:pPr>
              <w:spacing w:after="0"/>
              <w:rPr>
                <w:sz w:val="14"/>
                <w:szCs w:val="14"/>
                <w:color w:val="auto"/>
              </w:rPr>
            </w:pPr>
          </w:p>
        </w:tc>
        <w:tc>
          <w:tcPr>
            <w:tcW w:w="660" w:type="dxa"/>
            <w:vAlign w:val="bottom"/>
            <w:shd w:val="clear" w:color="auto" w:fill="ACABA7"/>
          </w:tcPr>
          <w:p>
            <w:pPr>
              <w:jc w:val="right"/>
              <w:spacing w:after="0"/>
              <w:rPr>
                <w:sz w:val="20"/>
                <w:szCs w:val="20"/>
                <w:color w:val="auto"/>
              </w:rPr>
            </w:pPr>
            <w:r>
              <w:rPr>
                <w:rFonts w:ascii="Arial" w:cs="Arial" w:eastAsia="Arial" w:hAnsi="Arial"/>
                <w:sz w:val="13"/>
                <w:szCs w:val="13"/>
                <w:color w:val="auto"/>
              </w:rPr>
              <w:t>Options</w:t>
            </w:r>
          </w:p>
        </w:tc>
        <w:tc>
          <w:tcPr>
            <w:tcW w:w="940" w:type="dxa"/>
            <w:vAlign w:val="bottom"/>
            <w:shd w:val="clear" w:color="auto" w:fill="ACABA7"/>
          </w:tcPr>
          <w:p>
            <w:pPr>
              <w:jc w:val="right"/>
              <w:ind w:right="136"/>
              <w:spacing w:after="0"/>
              <w:rPr>
                <w:sz w:val="20"/>
                <w:szCs w:val="20"/>
                <w:color w:val="auto"/>
              </w:rPr>
            </w:pPr>
            <w:r>
              <w:rPr>
                <w:rFonts w:ascii="Arial" w:cs="Arial" w:eastAsia="Arial" w:hAnsi="Arial"/>
                <w:sz w:val="13"/>
                <w:szCs w:val="13"/>
                <w:color w:val="auto"/>
              </w:rPr>
              <w:t>3/8/2019</w:t>
            </w:r>
          </w:p>
        </w:tc>
        <w:tc>
          <w:tcPr>
            <w:tcW w:w="70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ACABA7"/>
          </w:tcPr>
          <w:p>
            <w:pPr>
              <w:spacing w:after="0"/>
              <w:rPr>
                <w:sz w:val="14"/>
                <w:szCs w:val="14"/>
                <w:color w:val="auto"/>
              </w:rPr>
            </w:pPr>
          </w:p>
        </w:tc>
        <w:tc>
          <w:tcPr>
            <w:tcW w:w="62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24,144</w:t>
            </w:r>
          </w:p>
        </w:tc>
        <w:tc>
          <w:tcPr>
            <w:tcW w:w="7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ACABA7"/>
          </w:tcPr>
          <w:p>
            <w:pPr>
              <w:jc w:val="right"/>
              <w:ind w:right="16"/>
              <w:spacing w:after="0"/>
              <w:rPr>
                <w:sz w:val="20"/>
                <w:szCs w:val="20"/>
                <w:color w:val="auto"/>
              </w:rPr>
            </w:pPr>
            <w:r>
              <w:rPr>
                <w:rFonts w:ascii="Arial" w:cs="Arial" w:eastAsia="Arial" w:hAnsi="Arial"/>
                <w:sz w:val="13"/>
                <w:szCs w:val="13"/>
                <w:color w:val="auto"/>
              </w:rPr>
              <w:t>62.43</w:t>
            </w:r>
          </w:p>
        </w:tc>
        <w:tc>
          <w:tcPr>
            <w:tcW w:w="8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280,070</w:t>
            </w:r>
          </w:p>
        </w:tc>
        <w:tc>
          <w:tcPr>
            <w:tcW w:w="0" w:type="dxa"/>
            <w:vAlign w:val="bottom"/>
          </w:tcPr>
          <w:p>
            <w:pPr>
              <w:spacing w:after="0"/>
              <w:rPr>
                <w:sz w:val="1"/>
                <w:szCs w:val="1"/>
                <w:color w:val="auto"/>
              </w:rPr>
            </w:pPr>
          </w:p>
        </w:tc>
      </w:tr>
      <w:tr>
        <w:trPr>
          <w:trHeight w:val="165"/>
        </w:trPr>
        <w:tc>
          <w:tcPr>
            <w:tcW w:w="1360" w:type="dxa"/>
            <w:vAlign w:val="bottom"/>
            <w:shd w:val="clear" w:color="auto" w:fill="ACABA7"/>
          </w:tcPr>
          <w:p>
            <w:pPr>
              <w:spacing w:after="0"/>
              <w:rPr>
                <w:sz w:val="14"/>
                <w:szCs w:val="14"/>
                <w:color w:val="auto"/>
              </w:rPr>
            </w:pPr>
          </w:p>
        </w:tc>
        <w:tc>
          <w:tcPr>
            <w:tcW w:w="660" w:type="dxa"/>
            <w:vAlign w:val="bottom"/>
            <w:shd w:val="clear" w:color="auto" w:fill="ACABA7"/>
          </w:tcPr>
          <w:p>
            <w:pPr>
              <w:jc w:val="right"/>
              <w:spacing w:after="0"/>
              <w:rPr>
                <w:sz w:val="20"/>
                <w:szCs w:val="20"/>
                <w:color w:val="auto"/>
              </w:rPr>
            </w:pPr>
            <w:r>
              <w:rPr>
                <w:rFonts w:ascii="Arial" w:cs="Arial" w:eastAsia="Arial" w:hAnsi="Arial"/>
                <w:sz w:val="13"/>
                <w:szCs w:val="13"/>
                <w:color w:val="auto"/>
              </w:rPr>
              <w:t>PRSU</w:t>
            </w:r>
          </w:p>
        </w:tc>
        <w:tc>
          <w:tcPr>
            <w:tcW w:w="940" w:type="dxa"/>
            <w:vAlign w:val="bottom"/>
            <w:shd w:val="clear" w:color="auto" w:fill="ACABA7"/>
          </w:tcPr>
          <w:p>
            <w:pPr>
              <w:jc w:val="right"/>
              <w:ind w:right="136"/>
              <w:spacing w:after="0"/>
              <w:rPr>
                <w:sz w:val="20"/>
                <w:szCs w:val="20"/>
                <w:color w:val="auto"/>
              </w:rPr>
            </w:pPr>
            <w:r>
              <w:rPr>
                <w:rFonts w:ascii="Arial" w:cs="Arial" w:eastAsia="Arial" w:hAnsi="Arial"/>
                <w:sz w:val="13"/>
                <w:szCs w:val="13"/>
                <w:color w:val="auto"/>
              </w:rPr>
              <w:t>3/8/2019</w:t>
            </w:r>
          </w:p>
        </w:tc>
        <w:tc>
          <w:tcPr>
            <w:tcW w:w="70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ACABA7"/>
          </w:tcPr>
          <w:p>
            <w:pPr>
              <w:spacing w:after="0"/>
              <w:rPr>
                <w:sz w:val="14"/>
                <w:szCs w:val="14"/>
                <w:color w:val="auto"/>
              </w:rPr>
            </w:pPr>
          </w:p>
        </w:tc>
        <w:tc>
          <w:tcPr>
            <w:tcW w:w="62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6,608</w:t>
            </w:r>
          </w:p>
        </w:tc>
        <w:tc>
          <w:tcPr>
            <w:tcW w:w="64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ACABA7"/>
          </w:tcPr>
          <w:p>
            <w:pPr>
              <w:jc w:val="right"/>
              <w:ind w:right="16"/>
              <w:spacing w:after="0"/>
              <w:rPr>
                <w:sz w:val="20"/>
                <w:szCs w:val="20"/>
                <w:color w:val="auto"/>
              </w:rPr>
            </w:pPr>
            <w:r>
              <w:rPr>
                <w:rFonts w:ascii="Arial" w:cs="Arial" w:eastAsia="Arial" w:hAnsi="Arial"/>
                <w:sz w:val="13"/>
                <w:szCs w:val="13"/>
                <w:color w:val="auto"/>
              </w:rPr>
              <w:t>—</w:t>
            </w:r>
          </w:p>
        </w:tc>
        <w:tc>
          <w:tcPr>
            <w:tcW w:w="8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412,537</w:t>
            </w:r>
          </w:p>
        </w:tc>
        <w:tc>
          <w:tcPr>
            <w:tcW w:w="0" w:type="dxa"/>
            <w:vAlign w:val="bottom"/>
          </w:tcPr>
          <w:p>
            <w:pPr>
              <w:spacing w:after="0"/>
              <w:rPr>
                <w:sz w:val="1"/>
                <w:szCs w:val="1"/>
                <w:color w:val="auto"/>
              </w:rPr>
            </w:pPr>
          </w:p>
        </w:tc>
      </w:tr>
      <w:tr>
        <w:trPr>
          <w:trHeight w:val="165"/>
        </w:trPr>
        <w:tc>
          <w:tcPr>
            <w:tcW w:w="1360" w:type="dxa"/>
            <w:vAlign w:val="bottom"/>
            <w:shd w:val="clear" w:color="auto" w:fill="ACABA7"/>
          </w:tcPr>
          <w:p>
            <w:pPr>
              <w:spacing w:after="0"/>
              <w:rPr>
                <w:sz w:val="14"/>
                <w:szCs w:val="14"/>
                <w:color w:val="auto"/>
              </w:rPr>
            </w:pPr>
          </w:p>
        </w:tc>
        <w:tc>
          <w:tcPr>
            <w:tcW w:w="660" w:type="dxa"/>
            <w:vAlign w:val="bottom"/>
            <w:shd w:val="clear" w:color="auto" w:fill="ACABA7"/>
          </w:tcPr>
          <w:p>
            <w:pPr>
              <w:jc w:val="right"/>
              <w:spacing w:after="0"/>
              <w:rPr>
                <w:sz w:val="20"/>
                <w:szCs w:val="20"/>
                <w:color w:val="auto"/>
              </w:rPr>
            </w:pPr>
            <w:r>
              <w:rPr>
                <w:rFonts w:ascii="Arial" w:cs="Arial" w:eastAsia="Arial" w:hAnsi="Arial"/>
                <w:sz w:val="13"/>
                <w:szCs w:val="13"/>
                <w:color w:val="auto"/>
              </w:rPr>
              <w:t>PSA</w:t>
            </w:r>
          </w:p>
        </w:tc>
        <w:tc>
          <w:tcPr>
            <w:tcW w:w="940" w:type="dxa"/>
            <w:vAlign w:val="bottom"/>
            <w:shd w:val="clear" w:color="auto" w:fill="ACABA7"/>
          </w:tcPr>
          <w:p>
            <w:pPr>
              <w:jc w:val="right"/>
              <w:ind w:right="136"/>
              <w:spacing w:after="0"/>
              <w:rPr>
                <w:sz w:val="20"/>
                <w:szCs w:val="20"/>
                <w:color w:val="auto"/>
              </w:rPr>
            </w:pPr>
            <w:r>
              <w:rPr>
                <w:rFonts w:ascii="Arial" w:cs="Arial" w:eastAsia="Arial" w:hAnsi="Arial"/>
                <w:sz w:val="13"/>
                <w:szCs w:val="13"/>
                <w:color w:val="auto"/>
              </w:rPr>
              <w:t>3/8/2019</w:t>
            </w:r>
          </w:p>
        </w:tc>
        <w:tc>
          <w:tcPr>
            <w:tcW w:w="70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ACABA7"/>
          </w:tcPr>
          <w:p>
            <w:pPr>
              <w:jc w:val="right"/>
              <w:spacing w:after="0"/>
              <w:rPr>
                <w:sz w:val="20"/>
                <w:szCs w:val="20"/>
                <w:color w:val="auto"/>
              </w:rPr>
            </w:pPr>
            <w:r>
              <w:rPr>
                <w:rFonts w:ascii="Arial" w:cs="Arial" w:eastAsia="Arial" w:hAnsi="Arial"/>
                <w:sz w:val="13"/>
                <w:szCs w:val="13"/>
                <w:color w:val="auto"/>
              </w:rPr>
              <w:t>5,507</w:t>
            </w:r>
          </w:p>
        </w:tc>
        <w:tc>
          <w:tcPr>
            <w:tcW w:w="6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11,013</w:t>
            </w:r>
          </w:p>
        </w:tc>
        <w:tc>
          <w:tcPr>
            <w:tcW w:w="640" w:type="dxa"/>
            <w:vAlign w:val="bottom"/>
            <w:shd w:val="clear" w:color="auto" w:fill="ACABA7"/>
          </w:tcPr>
          <w:p>
            <w:pPr>
              <w:jc w:val="right"/>
              <w:spacing w:after="0"/>
              <w:rPr>
                <w:sz w:val="20"/>
                <w:szCs w:val="20"/>
                <w:color w:val="auto"/>
              </w:rPr>
            </w:pPr>
            <w:r>
              <w:rPr>
                <w:rFonts w:ascii="Arial" w:cs="Arial" w:eastAsia="Arial" w:hAnsi="Arial"/>
                <w:sz w:val="13"/>
                <w:szCs w:val="13"/>
                <w:color w:val="auto"/>
              </w:rPr>
              <w:t>16,520</w:t>
            </w:r>
          </w:p>
        </w:tc>
        <w:tc>
          <w:tcPr>
            <w:tcW w:w="8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shd w:val="clear" w:color="auto" w:fill="ACABA7"/>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ACABA7"/>
          </w:tcPr>
          <w:p>
            <w:pPr>
              <w:jc w:val="right"/>
              <w:ind w:right="16"/>
              <w:spacing w:after="0"/>
              <w:rPr>
                <w:sz w:val="20"/>
                <w:szCs w:val="20"/>
                <w:color w:val="auto"/>
              </w:rPr>
            </w:pPr>
            <w:r>
              <w:rPr>
                <w:rFonts w:ascii="Arial" w:cs="Arial" w:eastAsia="Arial" w:hAnsi="Arial"/>
                <w:sz w:val="13"/>
                <w:szCs w:val="13"/>
                <w:color w:val="auto"/>
              </w:rPr>
              <w:t>—</w:t>
            </w:r>
          </w:p>
        </w:tc>
        <w:tc>
          <w:tcPr>
            <w:tcW w:w="800" w:type="dxa"/>
            <w:vAlign w:val="bottom"/>
            <w:shd w:val="clear" w:color="auto" w:fill="ACABA7"/>
          </w:tcPr>
          <w:p>
            <w:pPr>
              <w:jc w:val="right"/>
              <w:spacing w:after="0"/>
              <w:rPr>
                <w:sz w:val="20"/>
                <w:szCs w:val="20"/>
                <w:color w:val="auto"/>
              </w:rPr>
            </w:pPr>
            <w:r>
              <w:rPr>
                <w:rFonts w:ascii="Arial" w:cs="Arial" w:eastAsia="Arial" w:hAnsi="Arial"/>
                <w:sz w:val="13"/>
                <w:szCs w:val="13"/>
                <w:color w:val="auto"/>
              </w:rPr>
              <w:t>740,950</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840" w:right="460" w:hanging="400"/>
        <w:spacing w:after="0" w:line="239" w:lineRule="auto"/>
        <w:tabs>
          <w:tab w:leader="none" w:pos="8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 described in our CD&amp;A, cash incentive awards paid to our named executive officers for performance during fiscal 2019 were based on achievement of pre-established goals. The actual payouts for the fiscal 2019 performance period are provided in the “Summary Compensation Table” in the column headed “Non-equity incentive plan compensation.”</w:t>
      </w:r>
    </w:p>
    <w:p>
      <w:pPr>
        <w:spacing w:after="0" w:line="102" w:lineRule="exact"/>
        <w:rPr>
          <w:rFonts w:ascii="Arial" w:cs="Arial" w:eastAsia="Arial" w:hAnsi="Arial"/>
          <w:sz w:val="17"/>
          <w:szCs w:val="17"/>
          <w:color w:val="auto"/>
        </w:rPr>
      </w:pPr>
    </w:p>
    <w:p>
      <w:pPr>
        <w:ind w:left="840" w:right="40" w:hanging="400"/>
        <w:spacing w:after="0" w:line="236" w:lineRule="auto"/>
        <w:tabs>
          <w:tab w:leader="none" w:pos="8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PRSUs in these columns represent restricted stock units which are subject to a performance goal and the following vesting requirement: 25% of the award vests on the first, second, third and fourth anniversaries of grant date. The PSAs in these columns represent the threshold, target and maximum number of shares issuable under three year performance share awards, subject to the Human Resources and Compensation Committee’s discretion to decrease the number of shares that are ultimately issued at the end of the three year performance period. The grant date fair value of these awards is provided in the “Summary Compensation Table” in the column headed “Stock awards.”</w:t>
      </w:r>
    </w:p>
    <w:p>
      <w:pPr>
        <w:spacing w:after="0" w:line="104" w:lineRule="exact"/>
        <w:rPr>
          <w:rFonts w:ascii="Arial" w:cs="Arial" w:eastAsia="Arial" w:hAnsi="Arial"/>
          <w:sz w:val="17"/>
          <w:szCs w:val="17"/>
          <w:color w:val="auto"/>
        </w:rPr>
      </w:pPr>
    </w:p>
    <w:p>
      <w:pPr>
        <w:ind w:left="840" w:right="320" w:hanging="400"/>
        <w:spacing w:after="0" w:line="243" w:lineRule="auto"/>
        <w:tabs>
          <w:tab w:leader="none" w:pos="8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Amounts in this column represent the number of shares of our common stock underlying options issued in fiscal 2019. All options vest 25% on the first, second, third and fourth anniversaries of grant date.</w:t>
      </w:r>
    </w:p>
    <w:p>
      <w:pPr>
        <w:spacing w:after="0" w:line="99" w:lineRule="exact"/>
        <w:rPr>
          <w:rFonts w:ascii="Arial" w:cs="Arial" w:eastAsia="Arial" w:hAnsi="Arial"/>
          <w:sz w:val="17"/>
          <w:szCs w:val="17"/>
          <w:color w:val="auto"/>
        </w:rPr>
      </w:pPr>
    </w:p>
    <w:p>
      <w:pPr>
        <w:ind w:left="840" w:right="320" w:hanging="400"/>
        <w:spacing w:after="0" w:line="239" w:lineRule="auto"/>
        <w:tabs>
          <w:tab w:leader="none" w:pos="8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2017 Omnibus Incentive Plan defines “fair market value” as the closing sales price of our common stock on the NYSE on the trading day before the grant date, and requires the exercise price of options issued under the plan to be at least equal to the fair market value.</w:t>
      </w:r>
    </w:p>
    <w:p>
      <w:pPr>
        <w:spacing w:after="0" w:line="102" w:lineRule="exact"/>
        <w:rPr>
          <w:rFonts w:ascii="Arial" w:cs="Arial" w:eastAsia="Arial" w:hAnsi="Arial"/>
          <w:sz w:val="17"/>
          <w:szCs w:val="17"/>
          <w:color w:val="auto"/>
        </w:rPr>
      </w:pPr>
    </w:p>
    <w:p>
      <w:pPr>
        <w:ind w:left="840" w:right="40" w:hanging="400"/>
        <w:spacing w:after="0" w:line="237" w:lineRule="auto"/>
        <w:tabs>
          <w:tab w:leader="none" w:pos="8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Amounts represent the grant date fair value determined in accordance with FASB ASC Topic 718. For PRSUs and PSAs, the amount in this column is based on the probable outcome of the performance conditions, excluding the effect of any estimated forfeitures. These amounts do not reflect the value that may actually be realized by the recipient and do not reflect changes in our stock price after the date of grant.</w:t>
      </w:r>
    </w:p>
    <w:p>
      <w:pPr>
        <w:spacing w:after="0" w:line="115" w:lineRule="exact"/>
        <w:rPr>
          <w:sz w:val="20"/>
          <w:szCs w:val="20"/>
          <w:color w:val="auto"/>
        </w:r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34</w:t>
        <w:tab/>
        <w:t>|</w:t>
        <w:tab/>
        <w:t>2020 Proxy Statement</w:t>
      </w:r>
    </w:p>
    <w:p>
      <w:pPr>
        <w:sectPr>
          <w:pgSz w:w="11900" w:h="16838" w:orient="portrait"/>
          <w:cols w:equalWidth="0" w:num="1">
            <w:col w:w="10820"/>
          </w:cols>
          <w:pgMar w:left="320" w:top="441" w:right="75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Outstanding Equity Awards at Fiscal Year-End</w:t>
      </w:r>
    </w:p>
    <w:p>
      <w:pPr>
        <w:spacing w:after="0" w:line="218" w:lineRule="exact"/>
        <w:rPr>
          <w:sz w:val="20"/>
          <w:szCs w:val="20"/>
          <w:color w:val="auto"/>
        </w:rPr>
      </w:pPr>
    </w:p>
    <w:p>
      <w:pPr>
        <w:ind w:left="440" w:right="80"/>
        <w:spacing w:after="0" w:line="261" w:lineRule="auto"/>
        <w:rPr>
          <w:sz w:val="20"/>
          <w:szCs w:val="20"/>
          <w:color w:val="auto"/>
        </w:rPr>
      </w:pPr>
      <w:r>
        <w:rPr>
          <w:rFonts w:ascii="Arial" w:cs="Arial" w:eastAsia="Arial" w:hAnsi="Arial"/>
          <w:sz w:val="16"/>
          <w:szCs w:val="16"/>
          <w:color w:val="auto"/>
        </w:rPr>
        <w:t>The following table sets forth information regarding outstanding options, restricted stock units, performance restricted stock units and performance share awards issued pursuant to our 2017 Omnibus Incentive Plan and our 2006 Equity Incentive Plan that were held by our named executive officers at the end of fiscal 2019, including awards previously deferred under our Key Executive Stock Deferral Plan.</w:t>
      </w:r>
    </w:p>
    <w:p>
      <w:pPr>
        <w:spacing w:after="0" w:line="200" w:lineRule="exact"/>
        <w:rPr>
          <w:sz w:val="20"/>
          <w:szCs w:val="20"/>
          <w:color w:val="auto"/>
        </w:rPr>
      </w:pPr>
    </w:p>
    <w:tbl>
      <w:tblPr>
        <w:tblLayout w:type="fixed"/>
        <w:tblInd w:w="440" w:type="dxa"/>
        <w:tblCellMar>
          <w:top w:w="0" w:type="dxa"/>
          <w:left w:w="0" w:type="dxa"/>
          <w:bottom w:w="0" w:type="dxa"/>
          <w:right w:w="0" w:type="dxa"/>
        </w:tblCellMar>
      </w:tblPr>
      <w:tr>
        <w:trPr>
          <w:trHeight w:val="153"/>
        </w:trPr>
        <w:tc>
          <w:tcPr>
            <w:tcW w:w="1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483E65"/>
              </w:rPr>
              <w:t>Option Awards</w:t>
            </w:r>
            <w:r>
              <w:rPr>
                <w:rFonts w:ascii="Arial" w:cs="Arial" w:eastAsia="Arial" w:hAnsi="Arial"/>
                <w:sz w:val="10"/>
                <w:szCs w:val="10"/>
                <w:color w:val="483E65"/>
              </w:rPr>
              <w:t>(1)</w:t>
            </w: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483E65"/>
              </w:rPr>
              <w:t>Stock Awards</w:t>
            </w: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Borders>
              <w:bottom w:val="single" w:sz="8" w:color="483E65"/>
            </w:tcBorders>
          </w:tcPr>
          <w:p>
            <w:pPr>
              <w:spacing w:after="0"/>
              <w:rPr>
                <w:sz w:val="3"/>
                <w:szCs w:val="3"/>
                <w:color w:val="auto"/>
              </w:rPr>
            </w:pPr>
          </w:p>
        </w:tc>
        <w:tc>
          <w:tcPr>
            <w:tcW w:w="1240" w:type="dxa"/>
            <w:vAlign w:val="bottom"/>
            <w:tcBorders>
              <w:bottom w:val="single" w:sz="8" w:color="483E65"/>
            </w:tcBorders>
          </w:tcPr>
          <w:p>
            <w:pPr>
              <w:spacing w:after="0"/>
              <w:rPr>
                <w:sz w:val="3"/>
                <w:szCs w:val="3"/>
                <w:color w:val="auto"/>
              </w:rPr>
            </w:pPr>
          </w:p>
        </w:tc>
        <w:tc>
          <w:tcPr>
            <w:tcW w:w="580" w:type="dxa"/>
            <w:vAlign w:val="bottom"/>
            <w:tcBorders>
              <w:bottom w:val="single" w:sz="8" w:color="483E65"/>
            </w:tcBorders>
          </w:tcPr>
          <w:p>
            <w:pPr>
              <w:spacing w:after="0"/>
              <w:rPr>
                <w:sz w:val="3"/>
                <w:szCs w:val="3"/>
                <w:color w:val="auto"/>
              </w:rPr>
            </w:pPr>
          </w:p>
        </w:tc>
        <w:tc>
          <w:tcPr>
            <w:tcW w:w="700" w:type="dxa"/>
            <w:vAlign w:val="bottom"/>
            <w:tcBorders>
              <w:bottom w:val="single" w:sz="8" w:color="483E65"/>
            </w:tcBorders>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Borders>
              <w:bottom w:val="single" w:sz="8" w:color="483E65"/>
            </w:tcBorders>
          </w:tcPr>
          <w:p>
            <w:pPr>
              <w:spacing w:after="0"/>
              <w:rPr>
                <w:sz w:val="3"/>
                <w:szCs w:val="3"/>
                <w:color w:val="auto"/>
              </w:rPr>
            </w:pPr>
          </w:p>
        </w:tc>
        <w:tc>
          <w:tcPr>
            <w:tcW w:w="900" w:type="dxa"/>
            <w:vAlign w:val="bottom"/>
            <w:tcBorders>
              <w:bottom w:val="single" w:sz="8" w:color="483E65"/>
            </w:tcBorders>
          </w:tcPr>
          <w:p>
            <w:pPr>
              <w:spacing w:after="0"/>
              <w:rPr>
                <w:sz w:val="3"/>
                <w:szCs w:val="3"/>
                <w:color w:val="auto"/>
              </w:rPr>
            </w:pPr>
          </w:p>
        </w:tc>
        <w:tc>
          <w:tcPr>
            <w:tcW w:w="920" w:type="dxa"/>
            <w:vAlign w:val="bottom"/>
            <w:tcBorders>
              <w:bottom w:val="single" w:sz="8" w:color="483E65"/>
            </w:tcBorders>
          </w:tcPr>
          <w:p>
            <w:pPr>
              <w:spacing w:after="0"/>
              <w:rPr>
                <w:sz w:val="3"/>
                <w:szCs w:val="3"/>
                <w:color w:val="auto"/>
              </w:rPr>
            </w:pPr>
          </w:p>
        </w:tc>
        <w:tc>
          <w:tcPr>
            <w:tcW w:w="860" w:type="dxa"/>
            <w:vAlign w:val="bottom"/>
            <w:tcBorders>
              <w:bottom w:val="single" w:sz="8" w:color="483E65"/>
            </w:tcBorders>
          </w:tcPr>
          <w:p>
            <w:pPr>
              <w:spacing w:after="0"/>
              <w:rPr>
                <w:sz w:val="3"/>
                <w:szCs w:val="3"/>
                <w:color w:val="auto"/>
              </w:rPr>
            </w:pPr>
          </w:p>
        </w:tc>
        <w:tc>
          <w:tcPr>
            <w:tcW w:w="920" w:type="dxa"/>
            <w:vAlign w:val="bottom"/>
            <w:tcBorders>
              <w:bottom w:val="single" w:sz="8" w:color="483E65"/>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1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jc w:val="center"/>
              <w:spacing w:after="0" w:line="132" w:lineRule="exact"/>
              <w:rPr>
                <w:sz w:val="20"/>
                <w:szCs w:val="20"/>
                <w:color w:val="auto"/>
              </w:rPr>
            </w:pPr>
            <w:r>
              <w:rPr>
                <w:rFonts w:ascii="Arial" w:cs="Arial" w:eastAsia="Arial" w:hAnsi="Arial"/>
                <w:sz w:val="13"/>
                <w:szCs w:val="13"/>
                <w:color w:val="483E65"/>
                <w:w w:val="99"/>
              </w:rPr>
              <w:t>Equity</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jc w:val="center"/>
              <w:ind w:right="16"/>
              <w:spacing w:after="0" w:line="141" w:lineRule="exact"/>
              <w:rPr>
                <w:sz w:val="20"/>
                <w:szCs w:val="20"/>
                <w:color w:val="auto"/>
              </w:rPr>
            </w:pPr>
            <w:r>
              <w:rPr>
                <w:rFonts w:ascii="Arial" w:cs="Arial" w:eastAsia="Arial" w:hAnsi="Arial"/>
                <w:sz w:val="13"/>
                <w:szCs w:val="13"/>
                <w:color w:val="483E65"/>
                <w:w w:val="97"/>
              </w:rPr>
              <w:t>incentive</w:t>
            </w:r>
          </w:p>
        </w:tc>
        <w:tc>
          <w:tcPr>
            <w:tcW w:w="920" w:type="dxa"/>
            <w:vAlign w:val="bottom"/>
          </w:tcPr>
          <w:p>
            <w:pPr>
              <w:jc w:val="center"/>
              <w:spacing w:after="0" w:line="141" w:lineRule="exact"/>
              <w:rPr>
                <w:sz w:val="20"/>
                <w:szCs w:val="20"/>
                <w:color w:val="auto"/>
              </w:rPr>
            </w:pPr>
            <w:r>
              <w:rPr>
                <w:rFonts w:ascii="Arial" w:cs="Arial" w:eastAsia="Arial" w:hAnsi="Arial"/>
                <w:sz w:val="13"/>
                <w:szCs w:val="13"/>
                <w:color w:val="483E65"/>
                <w:w w:val="99"/>
              </w:rPr>
              <w:t>Equity</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jc w:val="center"/>
              <w:spacing w:after="0" w:line="140" w:lineRule="exact"/>
              <w:rPr>
                <w:sz w:val="20"/>
                <w:szCs w:val="20"/>
                <w:color w:val="auto"/>
              </w:rPr>
            </w:pPr>
            <w:r>
              <w:rPr>
                <w:rFonts w:ascii="Arial" w:cs="Arial" w:eastAsia="Arial" w:hAnsi="Arial"/>
                <w:sz w:val="13"/>
                <w:szCs w:val="13"/>
                <w:color w:val="483E65"/>
                <w:w w:val="97"/>
              </w:rPr>
              <w:t>plan</w:t>
            </w:r>
          </w:p>
        </w:tc>
        <w:tc>
          <w:tcPr>
            <w:tcW w:w="920" w:type="dxa"/>
            <w:vAlign w:val="bottom"/>
          </w:tcPr>
          <w:p>
            <w:pPr>
              <w:jc w:val="center"/>
              <w:spacing w:after="0" w:line="140" w:lineRule="exact"/>
              <w:rPr>
                <w:sz w:val="20"/>
                <w:szCs w:val="20"/>
                <w:color w:val="auto"/>
              </w:rPr>
            </w:pPr>
            <w:r>
              <w:rPr>
                <w:rFonts w:ascii="Arial" w:cs="Arial" w:eastAsia="Arial" w:hAnsi="Arial"/>
                <w:sz w:val="13"/>
                <w:szCs w:val="13"/>
                <w:color w:val="483E65"/>
                <w:w w:val="98"/>
              </w:rPr>
              <w:t>incentive plan</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jc w:val="center"/>
              <w:spacing w:after="0" w:line="140" w:lineRule="exact"/>
              <w:rPr>
                <w:sz w:val="20"/>
                <w:szCs w:val="20"/>
                <w:color w:val="auto"/>
              </w:rPr>
            </w:pPr>
            <w:r>
              <w:rPr>
                <w:rFonts w:ascii="Arial" w:cs="Arial" w:eastAsia="Arial" w:hAnsi="Arial"/>
                <w:sz w:val="13"/>
                <w:szCs w:val="13"/>
                <w:color w:val="483E65"/>
                <w:w w:val="96"/>
              </w:rPr>
              <w:t>awards;</w:t>
            </w:r>
          </w:p>
        </w:tc>
        <w:tc>
          <w:tcPr>
            <w:tcW w:w="920" w:type="dxa"/>
            <w:vAlign w:val="bottom"/>
          </w:tcPr>
          <w:p>
            <w:pPr>
              <w:jc w:val="center"/>
              <w:spacing w:after="0" w:line="140" w:lineRule="exact"/>
              <w:rPr>
                <w:sz w:val="20"/>
                <w:szCs w:val="20"/>
                <w:color w:val="auto"/>
              </w:rPr>
            </w:pPr>
            <w:r>
              <w:rPr>
                <w:rFonts w:ascii="Arial" w:cs="Arial" w:eastAsia="Arial" w:hAnsi="Arial"/>
                <w:sz w:val="13"/>
                <w:szCs w:val="13"/>
                <w:color w:val="483E65"/>
                <w:w w:val="96"/>
              </w:rPr>
              <w:t>awards;</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jc w:val="center"/>
              <w:ind w:right="16"/>
              <w:spacing w:after="0" w:line="140" w:lineRule="exact"/>
              <w:rPr>
                <w:sz w:val="20"/>
                <w:szCs w:val="20"/>
                <w:color w:val="auto"/>
              </w:rPr>
            </w:pPr>
            <w:r>
              <w:rPr>
                <w:rFonts w:ascii="Arial" w:cs="Arial" w:eastAsia="Arial" w:hAnsi="Arial"/>
                <w:sz w:val="13"/>
                <w:szCs w:val="13"/>
                <w:color w:val="483E65"/>
              </w:rPr>
              <w:t>Market</w:t>
            </w:r>
          </w:p>
        </w:tc>
        <w:tc>
          <w:tcPr>
            <w:tcW w:w="860" w:type="dxa"/>
            <w:vAlign w:val="bottom"/>
          </w:tcPr>
          <w:p>
            <w:pPr>
              <w:jc w:val="center"/>
              <w:ind w:right="16"/>
              <w:spacing w:after="0" w:line="140" w:lineRule="exact"/>
              <w:rPr>
                <w:sz w:val="20"/>
                <w:szCs w:val="20"/>
                <w:color w:val="auto"/>
              </w:rPr>
            </w:pPr>
            <w:r>
              <w:rPr>
                <w:rFonts w:ascii="Arial" w:cs="Arial" w:eastAsia="Arial" w:hAnsi="Arial"/>
                <w:sz w:val="13"/>
                <w:szCs w:val="13"/>
                <w:color w:val="483E65"/>
                <w:w w:val="99"/>
              </w:rPr>
              <w:t>number of</w:t>
            </w:r>
          </w:p>
        </w:tc>
        <w:tc>
          <w:tcPr>
            <w:tcW w:w="920" w:type="dxa"/>
            <w:vAlign w:val="bottom"/>
          </w:tcPr>
          <w:p>
            <w:pPr>
              <w:jc w:val="center"/>
              <w:spacing w:after="0" w:line="140" w:lineRule="exact"/>
              <w:rPr>
                <w:sz w:val="20"/>
                <w:szCs w:val="20"/>
                <w:color w:val="auto"/>
              </w:rPr>
            </w:pPr>
            <w:r>
              <w:rPr>
                <w:rFonts w:ascii="Arial" w:cs="Arial" w:eastAsia="Arial" w:hAnsi="Arial"/>
                <w:sz w:val="13"/>
                <w:szCs w:val="13"/>
                <w:color w:val="483E65"/>
                <w:w w:val="98"/>
              </w:rPr>
              <w:t>market or</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483E65"/>
                <w:w w:val="95"/>
              </w:rPr>
              <w:t>Number of</w:t>
            </w:r>
          </w:p>
        </w:tc>
        <w:tc>
          <w:tcPr>
            <w:tcW w:w="1240" w:type="dxa"/>
            <w:vAlign w:val="bottom"/>
          </w:tcPr>
          <w:p>
            <w:pPr>
              <w:jc w:val="center"/>
              <w:spacing w:after="0" w:line="140" w:lineRule="exact"/>
              <w:rPr>
                <w:sz w:val="20"/>
                <w:szCs w:val="20"/>
                <w:color w:val="auto"/>
              </w:rPr>
            </w:pPr>
            <w:r>
              <w:rPr>
                <w:rFonts w:ascii="Arial" w:cs="Arial" w:eastAsia="Arial" w:hAnsi="Arial"/>
                <w:sz w:val="13"/>
                <w:szCs w:val="13"/>
                <w:color w:val="483E65"/>
                <w:w w:val="95"/>
              </w:rPr>
              <w:t>Number of</w:t>
            </w: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jc w:val="center"/>
              <w:ind w:right="16"/>
              <w:spacing w:after="0" w:line="140" w:lineRule="exact"/>
              <w:rPr>
                <w:sz w:val="20"/>
                <w:szCs w:val="20"/>
                <w:color w:val="auto"/>
              </w:rPr>
            </w:pPr>
            <w:r>
              <w:rPr>
                <w:rFonts w:ascii="Arial" w:cs="Arial" w:eastAsia="Arial" w:hAnsi="Arial"/>
                <w:sz w:val="13"/>
                <w:szCs w:val="13"/>
                <w:color w:val="483E65"/>
                <w:w w:val="96"/>
              </w:rPr>
              <w:t>value of</w:t>
            </w:r>
          </w:p>
        </w:tc>
        <w:tc>
          <w:tcPr>
            <w:tcW w:w="860" w:type="dxa"/>
            <w:vAlign w:val="bottom"/>
          </w:tcPr>
          <w:p>
            <w:pPr>
              <w:jc w:val="center"/>
              <w:ind w:right="16"/>
              <w:spacing w:after="0" w:line="140" w:lineRule="exact"/>
              <w:rPr>
                <w:sz w:val="20"/>
                <w:szCs w:val="20"/>
                <w:color w:val="auto"/>
              </w:rPr>
            </w:pPr>
            <w:r>
              <w:rPr>
                <w:rFonts w:ascii="Arial" w:cs="Arial" w:eastAsia="Arial" w:hAnsi="Arial"/>
                <w:sz w:val="13"/>
                <w:szCs w:val="13"/>
                <w:color w:val="483E65"/>
                <w:w w:val="98"/>
              </w:rPr>
              <w:t>unearned</w:t>
            </w:r>
          </w:p>
        </w:tc>
        <w:tc>
          <w:tcPr>
            <w:tcW w:w="920" w:type="dxa"/>
            <w:vAlign w:val="bottom"/>
          </w:tcPr>
          <w:p>
            <w:pPr>
              <w:jc w:val="center"/>
              <w:spacing w:after="0" w:line="140" w:lineRule="exact"/>
              <w:rPr>
                <w:sz w:val="20"/>
                <w:szCs w:val="20"/>
                <w:color w:val="auto"/>
              </w:rPr>
            </w:pPr>
            <w:r>
              <w:rPr>
                <w:rFonts w:ascii="Arial" w:cs="Arial" w:eastAsia="Arial" w:hAnsi="Arial"/>
                <w:sz w:val="13"/>
                <w:szCs w:val="13"/>
                <w:color w:val="483E65"/>
                <w:w w:val="97"/>
              </w:rPr>
              <w:t>payout value</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483E65"/>
                <w:w w:val="98"/>
              </w:rPr>
              <w:t>securities</w:t>
            </w:r>
          </w:p>
        </w:tc>
        <w:tc>
          <w:tcPr>
            <w:tcW w:w="1240" w:type="dxa"/>
            <w:vAlign w:val="bottom"/>
          </w:tcPr>
          <w:p>
            <w:pPr>
              <w:jc w:val="center"/>
              <w:spacing w:after="0" w:line="140" w:lineRule="exact"/>
              <w:rPr>
                <w:sz w:val="20"/>
                <w:szCs w:val="20"/>
                <w:color w:val="auto"/>
              </w:rPr>
            </w:pPr>
            <w:r>
              <w:rPr>
                <w:rFonts w:ascii="Arial" w:cs="Arial" w:eastAsia="Arial" w:hAnsi="Arial"/>
                <w:sz w:val="13"/>
                <w:szCs w:val="13"/>
                <w:color w:val="483E65"/>
                <w:w w:val="98"/>
              </w:rPr>
              <w:t>securities</w:t>
            </w: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Arial" w:cs="Arial" w:eastAsia="Arial" w:hAnsi="Arial"/>
                <w:sz w:val="13"/>
                <w:szCs w:val="13"/>
                <w:color w:val="483E65"/>
                <w:w w:val="98"/>
              </w:rPr>
              <w:t>Number of</w:t>
            </w:r>
          </w:p>
        </w:tc>
        <w:tc>
          <w:tcPr>
            <w:tcW w:w="920" w:type="dxa"/>
            <w:vAlign w:val="bottom"/>
          </w:tcPr>
          <w:p>
            <w:pPr>
              <w:jc w:val="center"/>
              <w:ind w:right="16"/>
              <w:spacing w:after="0" w:line="140" w:lineRule="exact"/>
              <w:rPr>
                <w:sz w:val="20"/>
                <w:szCs w:val="20"/>
                <w:color w:val="auto"/>
              </w:rPr>
            </w:pPr>
            <w:r>
              <w:rPr>
                <w:rFonts w:ascii="Arial" w:cs="Arial" w:eastAsia="Arial" w:hAnsi="Arial"/>
                <w:sz w:val="13"/>
                <w:szCs w:val="13"/>
                <w:color w:val="483E65"/>
                <w:w w:val="97"/>
              </w:rPr>
              <w:t>shares of</w:t>
            </w:r>
          </w:p>
        </w:tc>
        <w:tc>
          <w:tcPr>
            <w:tcW w:w="860" w:type="dxa"/>
            <w:vAlign w:val="bottom"/>
          </w:tcPr>
          <w:p>
            <w:pPr>
              <w:jc w:val="center"/>
              <w:spacing w:after="0" w:line="140" w:lineRule="exact"/>
              <w:rPr>
                <w:sz w:val="20"/>
                <w:szCs w:val="20"/>
                <w:color w:val="auto"/>
              </w:rPr>
            </w:pPr>
            <w:r>
              <w:rPr>
                <w:rFonts w:ascii="Arial" w:cs="Arial" w:eastAsia="Arial" w:hAnsi="Arial"/>
                <w:sz w:val="13"/>
                <w:szCs w:val="13"/>
                <w:color w:val="483E65"/>
                <w:w w:val="98"/>
              </w:rPr>
              <w:t>shares, units,</w:t>
            </w:r>
          </w:p>
        </w:tc>
        <w:tc>
          <w:tcPr>
            <w:tcW w:w="920" w:type="dxa"/>
            <w:vAlign w:val="bottom"/>
          </w:tcPr>
          <w:p>
            <w:pPr>
              <w:jc w:val="center"/>
              <w:spacing w:after="0" w:line="140" w:lineRule="exact"/>
              <w:rPr>
                <w:sz w:val="20"/>
                <w:szCs w:val="20"/>
                <w:color w:val="auto"/>
              </w:rPr>
            </w:pPr>
            <w:r>
              <w:rPr>
                <w:rFonts w:ascii="Arial" w:cs="Arial" w:eastAsia="Arial" w:hAnsi="Arial"/>
                <w:sz w:val="13"/>
                <w:szCs w:val="13"/>
                <w:color w:val="483E65"/>
                <w:w w:val="97"/>
              </w:rPr>
              <w:t>of unearned</w:t>
            </w: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483E65"/>
                <w:w w:val="96"/>
              </w:rPr>
              <w:t>underlying</w:t>
            </w:r>
          </w:p>
        </w:tc>
        <w:tc>
          <w:tcPr>
            <w:tcW w:w="1240" w:type="dxa"/>
            <w:vAlign w:val="bottom"/>
          </w:tcPr>
          <w:p>
            <w:pPr>
              <w:jc w:val="center"/>
              <w:spacing w:after="0"/>
              <w:rPr>
                <w:sz w:val="20"/>
                <w:szCs w:val="20"/>
                <w:color w:val="auto"/>
              </w:rPr>
            </w:pPr>
            <w:r>
              <w:rPr>
                <w:rFonts w:ascii="Arial" w:cs="Arial" w:eastAsia="Arial" w:hAnsi="Arial"/>
                <w:sz w:val="13"/>
                <w:szCs w:val="13"/>
                <w:color w:val="483E65"/>
                <w:w w:val="96"/>
              </w:rPr>
              <w:t>underlying</w:t>
            </w:r>
          </w:p>
        </w:tc>
        <w:tc>
          <w:tcPr>
            <w:tcW w:w="580" w:type="dxa"/>
            <w:vAlign w:val="bottom"/>
            <w:vMerge w:val="restart"/>
          </w:tcPr>
          <w:p>
            <w:pPr>
              <w:jc w:val="right"/>
              <w:ind w:right="76"/>
              <w:spacing w:after="0"/>
              <w:rPr>
                <w:sz w:val="20"/>
                <w:szCs w:val="20"/>
                <w:color w:val="auto"/>
              </w:rPr>
            </w:pPr>
            <w:r>
              <w:rPr>
                <w:rFonts w:ascii="Arial" w:cs="Arial" w:eastAsia="Arial" w:hAnsi="Arial"/>
                <w:sz w:val="13"/>
                <w:szCs w:val="13"/>
                <w:color w:val="483E65"/>
              </w:rPr>
              <w:t>Option</w:t>
            </w: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3"/>
                <w:szCs w:val="13"/>
                <w:color w:val="483E65"/>
                <w:w w:val="99"/>
              </w:rPr>
              <w:t>Option</w:t>
            </w:r>
          </w:p>
        </w:tc>
        <w:tc>
          <w:tcPr>
            <w:tcW w:w="8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483E65"/>
                <w:w w:val="97"/>
              </w:rPr>
              <w:t>shares of</w:t>
            </w:r>
          </w:p>
        </w:tc>
        <w:tc>
          <w:tcPr>
            <w:tcW w:w="920" w:type="dxa"/>
            <w:vAlign w:val="bottom"/>
          </w:tcPr>
          <w:p>
            <w:pPr>
              <w:jc w:val="center"/>
              <w:ind w:right="16"/>
              <w:spacing w:after="0"/>
              <w:rPr>
                <w:sz w:val="20"/>
                <w:szCs w:val="20"/>
                <w:color w:val="auto"/>
              </w:rPr>
            </w:pPr>
            <w:r>
              <w:rPr>
                <w:rFonts w:ascii="Arial" w:cs="Arial" w:eastAsia="Arial" w:hAnsi="Arial"/>
                <w:sz w:val="13"/>
                <w:szCs w:val="13"/>
                <w:color w:val="483E65"/>
                <w:w w:val="96"/>
              </w:rPr>
              <w:t>stock or</w:t>
            </w:r>
          </w:p>
        </w:tc>
        <w:tc>
          <w:tcPr>
            <w:tcW w:w="860" w:type="dxa"/>
            <w:vAlign w:val="bottom"/>
          </w:tcPr>
          <w:p>
            <w:pPr>
              <w:jc w:val="center"/>
              <w:spacing w:after="0"/>
              <w:rPr>
                <w:sz w:val="20"/>
                <w:szCs w:val="20"/>
                <w:color w:val="auto"/>
              </w:rPr>
            </w:pPr>
            <w:r>
              <w:rPr>
                <w:rFonts w:ascii="Arial" w:cs="Arial" w:eastAsia="Arial" w:hAnsi="Arial"/>
                <w:sz w:val="13"/>
                <w:szCs w:val="13"/>
                <w:color w:val="483E65"/>
                <w:w w:val="98"/>
              </w:rPr>
              <w:t>or other</w:t>
            </w:r>
          </w:p>
        </w:tc>
        <w:tc>
          <w:tcPr>
            <w:tcW w:w="920" w:type="dxa"/>
            <w:vAlign w:val="bottom"/>
          </w:tcPr>
          <w:p>
            <w:pPr>
              <w:jc w:val="center"/>
              <w:spacing w:after="0"/>
              <w:rPr>
                <w:sz w:val="20"/>
                <w:szCs w:val="20"/>
                <w:color w:val="auto"/>
              </w:rPr>
            </w:pPr>
            <w:r>
              <w:rPr>
                <w:rFonts w:ascii="Arial" w:cs="Arial" w:eastAsia="Arial" w:hAnsi="Arial"/>
                <w:sz w:val="13"/>
                <w:szCs w:val="13"/>
                <w:color w:val="483E65"/>
                <w:w w:val="97"/>
              </w:rPr>
              <w:t>shares, units</w:t>
            </w:r>
          </w:p>
        </w:tc>
        <w:tc>
          <w:tcPr>
            <w:tcW w:w="0" w:type="dxa"/>
            <w:vAlign w:val="bottom"/>
          </w:tcPr>
          <w:p>
            <w:pPr>
              <w:spacing w:after="0"/>
              <w:rPr>
                <w:sz w:val="1"/>
                <w:szCs w:val="1"/>
                <w:color w:val="auto"/>
              </w:rPr>
            </w:pPr>
          </w:p>
        </w:tc>
      </w:tr>
      <w:tr>
        <w:trPr>
          <w:trHeight w:val="119"/>
        </w:trPr>
        <w:tc>
          <w:tcPr>
            <w:tcW w:w="1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color w:val="483E65"/>
                <w:w w:val="99"/>
              </w:rPr>
              <w:t>unexercised</w:t>
            </w:r>
          </w:p>
        </w:tc>
        <w:tc>
          <w:tcPr>
            <w:tcW w:w="1240" w:type="dxa"/>
            <w:vAlign w:val="bottom"/>
          </w:tcPr>
          <w:p>
            <w:pPr>
              <w:jc w:val="center"/>
              <w:spacing w:after="0" w:line="119" w:lineRule="exact"/>
              <w:rPr>
                <w:sz w:val="20"/>
                <w:szCs w:val="20"/>
                <w:color w:val="auto"/>
              </w:rPr>
            </w:pPr>
            <w:r>
              <w:rPr>
                <w:rFonts w:ascii="Arial" w:cs="Arial" w:eastAsia="Arial" w:hAnsi="Arial"/>
                <w:sz w:val="13"/>
                <w:szCs w:val="13"/>
                <w:color w:val="483E65"/>
                <w:w w:val="99"/>
              </w:rPr>
              <w:t>unexercised</w:t>
            </w:r>
          </w:p>
        </w:tc>
        <w:tc>
          <w:tcPr>
            <w:tcW w:w="580" w:type="dxa"/>
            <w:vAlign w:val="bottom"/>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color w:val="483E65"/>
                <w:w w:val="99"/>
              </w:rPr>
              <w:t>stock or units</w:t>
            </w:r>
          </w:p>
        </w:tc>
        <w:tc>
          <w:tcPr>
            <w:tcW w:w="920" w:type="dxa"/>
            <w:vAlign w:val="bottom"/>
          </w:tcPr>
          <w:p>
            <w:pPr>
              <w:jc w:val="center"/>
              <w:ind w:right="16"/>
              <w:spacing w:after="0" w:line="119" w:lineRule="exact"/>
              <w:rPr>
                <w:sz w:val="20"/>
                <w:szCs w:val="20"/>
                <w:color w:val="auto"/>
              </w:rPr>
            </w:pPr>
            <w:r>
              <w:rPr>
                <w:rFonts w:ascii="Arial" w:cs="Arial" w:eastAsia="Arial" w:hAnsi="Arial"/>
                <w:sz w:val="13"/>
                <w:szCs w:val="13"/>
                <w:color w:val="483E65"/>
                <w:w w:val="98"/>
              </w:rPr>
              <w:t>units that</w:t>
            </w:r>
          </w:p>
        </w:tc>
        <w:tc>
          <w:tcPr>
            <w:tcW w:w="860" w:type="dxa"/>
            <w:vAlign w:val="bottom"/>
          </w:tcPr>
          <w:p>
            <w:pPr>
              <w:jc w:val="center"/>
              <w:spacing w:after="0" w:line="119" w:lineRule="exact"/>
              <w:rPr>
                <w:sz w:val="20"/>
                <w:szCs w:val="20"/>
                <w:color w:val="auto"/>
              </w:rPr>
            </w:pPr>
            <w:r>
              <w:rPr>
                <w:rFonts w:ascii="Arial" w:cs="Arial" w:eastAsia="Arial" w:hAnsi="Arial"/>
                <w:sz w:val="13"/>
                <w:szCs w:val="13"/>
                <w:color w:val="483E65"/>
              </w:rPr>
              <w:t>rights</w:t>
            </w:r>
          </w:p>
        </w:tc>
        <w:tc>
          <w:tcPr>
            <w:tcW w:w="920" w:type="dxa"/>
            <w:vAlign w:val="bottom"/>
          </w:tcPr>
          <w:p>
            <w:pPr>
              <w:jc w:val="center"/>
              <w:spacing w:after="0" w:line="119" w:lineRule="exact"/>
              <w:rPr>
                <w:sz w:val="20"/>
                <w:szCs w:val="20"/>
                <w:color w:val="auto"/>
              </w:rPr>
            </w:pPr>
            <w:r>
              <w:rPr>
                <w:rFonts w:ascii="Arial" w:cs="Arial" w:eastAsia="Arial" w:hAnsi="Arial"/>
                <w:sz w:val="13"/>
                <w:szCs w:val="13"/>
                <w:color w:val="483E65"/>
                <w:w w:val="97"/>
              </w:rPr>
              <w:t>or other rights</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720" w:type="dxa"/>
            <w:vAlign w:val="bottom"/>
          </w:tcPr>
          <w:p>
            <w:pPr>
              <w:jc w:val="right"/>
              <w:ind w:right="96"/>
              <w:spacing w:after="0" w:line="148" w:lineRule="exact"/>
              <w:rPr>
                <w:sz w:val="20"/>
                <w:szCs w:val="20"/>
                <w:color w:val="auto"/>
              </w:rPr>
            </w:pPr>
            <w:r>
              <w:rPr>
                <w:rFonts w:ascii="Arial" w:cs="Arial" w:eastAsia="Arial" w:hAnsi="Arial"/>
                <w:sz w:val="13"/>
                <w:szCs w:val="13"/>
                <w:color w:val="483E65"/>
              </w:rPr>
              <w:t>Grant</w:t>
            </w:r>
          </w:p>
        </w:tc>
        <w:tc>
          <w:tcPr>
            <w:tcW w:w="20" w:type="dxa"/>
            <w:vAlign w:val="bottom"/>
          </w:tcPr>
          <w:p>
            <w:pPr>
              <w:spacing w:after="0"/>
              <w:rPr>
                <w:sz w:val="12"/>
                <w:szCs w:val="12"/>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3"/>
                <w:szCs w:val="13"/>
                <w:color w:val="483E65"/>
              </w:rPr>
              <w:t>options</w:t>
            </w:r>
          </w:p>
        </w:tc>
        <w:tc>
          <w:tcPr>
            <w:tcW w:w="1240" w:type="dxa"/>
            <w:vAlign w:val="bottom"/>
          </w:tcPr>
          <w:p>
            <w:pPr>
              <w:jc w:val="center"/>
              <w:spacing w:after="0" w:line="148" w:lineRule="exact"/>
              <w:rPr>
                <w:sz w:val="20"/>
                <w:szCs w:val="20"/>
                <w:color w:val="auto"/>
              </w:rPr>
            </w:pPr>
            <w:r>
              <w:rPr>
                <w:rFonts w:ascii="Arial" w:cs="Arial" w:eastAsia="Arial" w:hAnsi="Arial"/>
                <w:sz w:val="13"/>
                <w:szCs w:val="13"/>
                <w:color w:val="483E65"/>
              </w:rPr>
              <w:t>options</w:t>
            </w:r>
          </w:p>
        </w:tc>
        <w:tc>
          <w:tcPr>
            <w:tcW w:w="580" w:type="dxa"/>
            <w:vAlign w:val="bottom"/>
          </w:tcPr>
          <w:p>
            <w:pPr>
              <w:jc w:val="right"/>
              <w:ind w:right="36"/>
              <w:spacing w:after="0" w:line="148" w:lineRule="exact"/>
              <w:rPr>
                <w:sz w:val="20"/>
                <w:szCs w:val="20"/>
                <w:color w:val="auto"/>
              </w:rPr>
            </w:pPr>
            <w:r>
              <w:rPr>
                <w:rFonts w:ascii="Arial" w:cs="Arial" w:eastAsia="Arial" w:hAnsi="Arial"/>
                <w:sz w:val="13"/>
                <w:szCs w:val="13"/>
                <w:color w:val="483E65"/>
                <w:w w:val="94"/>
              </w:rPr>
              <w:t>exercise</w:t>
            </w:r>
          </w:p>
        </w:tc>
        <w:tc>
          <w:tcPr>
            <w:tcW w:w="880" w:type="dxa"/>
            <w:vAlign w:val="bottom"/>
            <w:gridSpan w:val="2"/>
          </w:tcPr>
          <w:p>
            <w:pPr>
              <w:jc w:val="center"/>
              <w:ind w:right="180"/>
              <w:spacing w:after="0" w:line="148" w:lineRule="exact"/>
              <w:rPr>
                <w:sz w:val="20"/>
                <w:szCs w:val="20"/>
                <w:color w:val="auto"/>
              </w:rPr>
            </w:pPr>
            <w:r>
              <w:rPr>
                <w:rFonts w:ascii="Arial" w:cs="Arial" w:eastAsia="Arial" w:hAnsi="Arial"/>
                <w:sz w:val="13"/>
                <w:szCs w:val="13"/>
                <w:color w:val="483E65"/>
                <w:w w:val="95"/>
              </w:rPr>
              <w:t>expiration</w:t>
            </w:r>
          </w:p>
        </w:tc>
        <w:tc>
          <w:tcPr>
            <w:tcW w:w="800" w:type="dxa"/>
            <w:vAlign w:val="bottom"/>
          </w:tcPr>
          <w:p>
            <w:pPr>
              <w:jc w:val="right"/>
              <w:ind w:right="156"/>
              <w:spacing w:after="0" w:line="148" w:lineRule="exact"/>
              <w:rPr>
                <w:sz w:val="20"/>
                <w:szCs w:val="20"/>
                <w:color w:val="auto"/>
              </w:rPr>
            </w:pPr>
            <w:r>
              <w:rPr>
                <w:rFonts w:ascii="Arial" w:cs="Arial" w:eastAsia="Arial" w:hAnsi="Arial"/>
                <w:sz w:val="13"/>
                <w:szCs w:val="13"/>
                <w:color w:val="483E65"/>
              </w:rPr>
              <w:t>Grant</w:t>
            </w:r>
          </w:p>
        </w:tc>
        <w:tc>
          <w:tcPr>
            <w:tcW w:w="900" w:type="dxa"/>
            <w:vAlign w:val="bottom"/>
          </w:tcPr>
          <w:p>
            <w:pPr>
              <w:jc w:val="center"/>
              <w:spacing w:after="0"/>
              <w:rPr>
                <w:sz w:val="20"/>
                <w:szCs w:val="20"/>
                <w:color w:val="auto"/>
              </w:rPr>
            </w:pPr>
            <w:r>
              <w:rPr>
                <w:rFonts w:ascii="Arial" w:cs="Arial" w:eastAsia="Arial" w:hAnsi="Arial"/>
                <w:sz w:val="12"/>
                <w:szCs w:val="12"/>
                <w:color w:val="483E65"/>
                <w:w w:val="97"/>
              </w:rPr>
              <w:t>that have not</w:t>
            </w:r>
          </w:p>
        </w:tc>
        <w:tc>
          <w:tcPr>
            <w:tcW w:w="920" w:type="dxa"/>
            <w:vAlign w:val="bottom"/>
          </w:tcPr>
          <w:p>
            <w:pPr>
              <w:jc w:val="center"/>
              <w:ind w:right="16"/>
              <w:spacing w:after="0" w:line="148" w:lineRule="exact"/>
              <w:rPr>
                <w:sz w:val="20"/>
                <w:szCs w:val="20"/>
                <w:color w:val="auto"/>
              </w:rPr>
            </w:pPr>
            <w:r>
              <w:rPr>
                <w:rFonts w:ascii="Arial" w:cs="Arial" w:eastAsia="Arial" w:hAnsi="Arial"/>
                <w:sz w:val="13"/>
                <w:szCs w:val="13"/>
                <w:color w:val="483E65"/>
                <w:w w:val="96"/>
              </w:rPr>
              <w:t>have not</w:t>
            </w:r>
          </w:p>
        </w:tc>
        <w:tc>
          <w:tcPr>
            <w:tcW w:w="860" w:type="dxa"/>
            <w:vAlign w:val="bottom"/>
          </w:tcPr>
          <w:p>
            <w:pPr>
              <w:jc w:val="center"/>
              <w:ind w:right="16"/>
              <w:spacing w:after="0" w:line="148" w:lineRule="exact"/>
              <w:rPr>
                <w:sz w:val="20"/>
                <w:szCs w:val="20"/>
                <w:color w:val="auto"/>
              </w:rPr>
            </w:pPr>
            <w:r>
              <w:rPr>
                <w:rFonts w:ascii="Arial" w:cs="Arial" w:eastAsia="Arial" w:hAnsi="Arial"/>
                <w:sz w:val="14"/>
                <w:szCs w:val="14"/>
                <w:color w:val="483E65"/>
                <w:w w:val="96"/>
              </w:rPr>
              <w:t>that have not</w:t>
            </w:r>
          </w:p>
        </w:tc>
        <w:tc>
          <w:tcPr>
            <w:tcW w:w="920" w:type="dxa"/>
            <w:vAlign w:val="bottom"/>
          </w:tcPr>
          <w:p>
            <w:pPr>
              <w:jc w:val="center"/>
              <w:spacing w:after="0" w:line="148" w:lineRule="exact"/>
              <w:rPr>
                <w:sz w:val="20"/>
                <w:szCs w:val="20"/>
                <w:color w:val="auto"/>
              </w:rPr>
            </w:pPr>
            <w:r>
              <w:rPr>
                <w:rFonts w:ascii="Arial" w:cs="Arial" w:eastAsia="Arial" w:hAnsi="Arial"/>
                <w:sz w:val="13"/>
                <w:szCs w:val="13"/>
                <w:color w:val="483E65"/>
                <w:w w:val="98"/>
              </w:rPr>
              <w:t>that have not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20"/>
                <w:szCs w:val="20"/>
                <w:color w:val="auto"/>
              </w:rPr>
            </w:pPr>
            <w:r>
              <w:rPr>
                <w:rFonts w:ascii="Arial" w:cs="Arial" w:eastAsia="Arial" w:hAnsi="Arial"/>
                <w:sz w:val="13"/>
                <w:szCs w:val="13"/>
                <w:color w:val="483E65"/>
              </w:rPr>
              <w:t>Name</w:t>
            </w:r>
          </w:p>
        </w:tc>
        <w:tc>
          <w:tcPr>
            <w:tcW w:w="720" w:type="dxa"/>
            <w:vAlign w:val="bottom"/>
          </w:tcPr>
          <w:p>
            <w:pPr>
              <w:jc w:val="right"/>
              <w:ind w:right="136"/>
              <w:spacing w:after="0"/>
              <w:rPr>
                <w:sz w:val="20"/>
                <w:szCs w:val="20"/>
                <w:color w:val="auto"/>
              </w:rPr>
            </w:pPr>
            <w:r>
              <w:rPr>
                <w:rFonts w:ascii="Arial" w:cs="Arial" w:eastAsia="Arial" w:hAnsi="Arial"/>
                <w:sz w:val="13"/>
                <w:szCs w:val="13"/>
                <w:color w:val="483E65"/>
              </w:rPr>
              <w:t>date</w:t>
            </w:r>
          </w:p>
        </w:tc>
        <w:tc>
          <w:tcPr>
            <w:tcW w:w="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483E65"/>
                <w:w w:val="99"/>
              </w:rPr>
              <w:t>(exercisable)(#)</w:t>
            </w:r>
          </w:p>
        </w:tc>
        <w:tc>
          <w:tcPr>
            <w:tcW w:w="1820" w:type="dxa"/>
            <w:vAlign w:val="bottom"/>
            <w:gridSpan w:val="2"/>
          </w:tcPr>
          <w:p>
            <w:pPr>
              <w:jc w:val="right"/>
              <w:ind w:right="36"/>
              <w:spacing w:after="0"/>
              <w:rPr>
                <w:sz w:val="20"/>
                <w:szCs w:val="20"/>
                <w:color w:val="auto"/>
              </w:rPr>
            </w:pPr>
            <w:r>
              <w:rPr>
                <w:rFonts w:ascii="Arial" w:cs="Arial" w:eastAsia="Arial" w:hAnsi="Arial"/>
                <w:sz w:val="13"/>
                <w:szCs w:val="13"/>
                <w:color w:val="483E65"/>
              </w:rPr>
              <w:t>(unexercisable)(#)  price ($)</w:t>
            </w:r>
          </w:p>
        </w:tc>
        <w:tc>
          <w:tcPr>
            <w:tcW w:w="880" w:type="dxa"/>
            <w:vAlign w:val="bottom"/>
            <w:gridSpan w:val="2"/>
          </w:tcPr>
          <w:p>
            <w:pPr>
              <w:jc w:val="center"/>
              <w:ind w:right="180"/>
              <w:spacing w:after="0"/>
              <w:rPr>
                <w:sz w:val="20"/>
                <w:szCs w:val="20"/>
                <w:color w:val="auto"/>
              </w:rPr>
            </w:pPr>
            <w:r>
              <w:rPr>
                <w:rFonts w:ascii="Arial" w:cs="Arial" w:eastAsia="Arial" w:hAnsi="Arial"/>
                <w:sz w:val="13"/>
                <w:szCs w:val="13"/>
                <w:color w:val="483E65"/>
              </w:rPr>
              <w:t>date</w:t>
            </w:r>
          </w:p>
        </w:tc>
        <w:tc>
          <w:tcPr>
            <w:tcW w:w="800" w:type="dxa"/>
            <w:vAlign w:val="bottom"/>
          </w:tcPr>
          <w:p>
            <w:pPr>
              <w:jc w:val="right"/>
              <w:ind w:right="196"/>
              <w:spacing w:after="0"/>
              <w:rPr>
                <w:sz w:val="20"/>
                <w:szCs w:val="20"/>
                <w:color w:val="auto"/>
              </w:rPr>
            </w:pPr>
            <w:r>
              <w:rPr>
                <w:rFonts w:ascii="Arial" w:cs="Arial" w:eastAsia="Arial" w:hAnsi="Arial"/>
                <w:sz w:val="14"/>
                <w:szCs w:val="14"/>
                <w:color w:val="483E65"/>
              </w:rPr>
              <w:t>date</w:t>
            </w:r>
          </w:p>
        </w:tc>
        <w:tc>
          <w:tcPr>
            <w:tcW w:w="900" w:type="dxa"/>
            <w:vAlign w:val="bottom"/>
          </w:tcPr>
          <w:p>
            <w:pPr>
              <w:jc w:val="center"/>
              <w:spacing w:after="0"/>
              <w:rPr>
                <w:sz w:val="20"/>
                <w:szCs w:val="20"/>
                <w:color w:val="auto"/>
              </w:rPr>
            </w:pPr>
            <w:r>
              <w:rPr>
                <w:rFonts w:ascii="Arial" w:cs="Arial" w:eastAsia="Arial" w:hAnsi="Arial"/>
                <w:sz w:val="12"/>
                <w:szCs w:val="12"/>
                <w:color w:val="483E65"/>
                <w:w w:val="97"/>
              </w:rPr>
              <w:t>vested (#)</w:t>
            </w:r>
            <w:r>
              <w:rPr>
                <w:rFonts w:ascii="Arial" w:cs="Arial" w:eastAsia="Arial" w:hAnsi="Arial"/>
                <w:sz w:val="10"/>
                <w:szCs w:val="10"/>
                <w:color w:val="483E65"/>
                <w:w w:val="97"/>
              </w:rPr>
              <w:t>(2)</w:t>
            </w:r>
          </w:p>
        </w:tc>
        <w:tc>
          <w:tcPr>
            <w:tcW w:w="920" w:type="dxa"/>
            <w:vAlign w:val="bottom"/>
          </w:tcPr>
          <w:p>
            <w:pPr>
              <w:jc w:val="center"/>
              <w:ind w:right="16"/>
              <w:spacing w:after="0"/>
              <w:rPr>
                <w:sz w:val="20"/>
                <w:szCs w:val="20"/>
                <w:color w:val="auto"/>
              </w:rPr>
            </w:pPr>
            <w:r>
              <w:rPr>
                <w:rFonts w:ascii="Arial" w:cs="Arial" w:eastAsia="Arial" w:hAnsi="Arial"/>
                <w:sz w:val="13"/>
                <w:szCs w:val="13"/>
                <w:color w:val="483E65"/>
                <w:w w:val="97"/>
              </w:rPr>
              <w:t>vested ($)</w:t>
            </w:r>
            <w:r>
              <w:rPr>
                <w:rFonts w:ascii="Arial" w:cs="Arial" w:eastAsia="Arial" w:hAnsi="Arial"/>
                <w:sz w:val="10"/>
                <w:szCs w:val="10"/>
                <w:color w:val="483E65"/>
                <w:w w:val="97"/>
              </w:rPr>
              <w:t>(3)</w:t>
            </w:r>
          </w:p>
        </w:tc>
        <w:tc>
          <w:tcPr>
            <w:tcW w:w="860" w:type="dxa"/>
            <w:vAlign w:val="bottom"/>
          </w:tcPr>
          <w:p>
            <w:pPr>
              <w:jc w:val="center"/>
              <w:ind w:right="16"/>
              <w:spacing w:after="0" w:line="203" w:lineRule="exact"/>
              <w:rPr>
                <w:sz w:val="20"/>
                <w:szCs w:val="20"/>
                <w:color w:val="auto"/>
              </w:rPr>
            </w:pPr>
            <w:r>
              <w:rPr>
                <w:rFonts w:ascii="Arial" w:cs="Arial" w:eastAsia="Arial" w:hAnsi="Arial"/>
                <w:sz w:val="14"/>
                <w:szCs w:val="14"/>
                <w:color w:val="483E65"/>
                <w:w w:val="91"/>
              </w:rPr>
              <w:t>vested (#)</w:t>
            </w:r>
            <w:r>
              <w:rPr>
                <w:rFonts w:ascii="Arial" w:cs="Arial" w:eastAsia="Arial" w:hAnsi="Arial"/>
                <w:sz w:val="23"/>
                <w:szCs w:val="23"/>
                <w:color w:val="483E65"/>
                <w:w w:val="91"/>
                <w:vertAlign w:val="superscript"/>
              </w:rPr>
              <w:t>(4)</w:t>
            </w:r>
          </w:p>
        </w:tc>
        <w:tc>
          <w:tcPr>
            <w:tcW w:w="920" w:type="dxa"/>
            <w:vAlign w:val="bottom"/>
          </w:tcPr>
          <w:p>
            <w:pPr>
              <w:jc w:val="center"/>
              <w:spacing w:after="0"/>
              <w:rPr>
                <w:sz w:val="20"/>
                <w:szCs w:val="20"/>
                <w:color w:val="auto"/>
              </w:rPr>
            </w:pPr>
            <w:r>
              <w:rPr>
                <w:rFonts w:ascii="Arial" w:cs="Arial" w:eastAsia="Arial" w:hAnsi="Arial"/>
                <w:sz w:val="13"/>
                <w:szCs w:val="13"/>
                <w:color w:val="483E65"/>
                <w:w w:val="99"/>
              </w:rPr>
              <w:t>vested($)</w:t>
            </w:r>
            <w:r>
              <w:rPr>
                <w:rFonts w:ascii="Arial" w:cs="Arial" w:eastAsia="Arial" w:hAnsi="Arial"/>
                <w:sz w:val="10"/>
                <w:szCs w:val="10"/>
                <w:color w:val="483E65"/>
                <w:w w:val="99"/>
              </w:rPr>
              <w:t>(3)</w:t>
            </w:r>
          </w:p>
        </w:tc>
        <w:tc>
          <w:tcPr>
            <w:tcW w:w="0" w:type="dxa"/>
            <w:vAlign w:val="bottom"/>
          </w:tcPr>
          <w:p>
            <w:pPr>
              <w:spacing w:after="0"/>
              <w:rPr>
                <w:sz w:val="1"/>
                <w:szCs w:val="1"/>
                <w:color w:val="auto"/>
              </w:rPr>
            </w:pPr>
          </w:p>
        </w:tc>
      </w:tr>
      <w:tr>
        <w:trPr>
          <w:trHeight w:val="322"/>
        </w:trPr>
        <w:tc>
          <w:tcPr>
            <w:tcW w:w="1480" w:type="dxa"/>
            <w:vAlign w:val="bottom"/>
            <w:tcBorders>
              <w:top w:val="single" w:sz="8" w:color="483E65"/>
            </w:tcBorders>
          </w:tcPr>
          <w:p>
            <w:pPr>
              <w:spacing w:after="0"/>
              <w:rPr>
                <w:sz w:val="20"/>
                <w:szCs w:val="20"/>
                <w:color w:val="auto"/>
              </w:rPr>
            </w:pPr>
            <w:r>
              <w:rPr>
                <w:rFonts w:ascii="Arial" w:cs="Arial" w:eastAsia="Arial" w:hAnsi="Arial"/>
                <w:sz w:val="13"/>
                <w:szCs w:val="13"/>
                <w:color w:val="auto"/>
              </w:rPr>
              <w:t>Mr. Krone</w:t>
            </w:r>
          </w:p>
        </w:tc>
        <w:tc>
          <w:tcPr>
            <w:tcW w:w="720" w:type="dxa"/>
            <w:vAlign w:val="bottom"/>
            <w:tcBorders>
              <w:top w:val="single" w:sz="8" w:color="483E65"/>
            </w:tcBorders>
          </w:tcPr>
          <w:p>
            <w:pPr>
              <w:jc w:val="right"/>
              <w:spacing w:after="0"/>
              <w:rPr>
                <w:sz w:val="20"/>
                <w:szCs w:val="20"/>
                <w:color w:val="auto"/>
              </w:rPr>
            </w:pPr>
            <w:r>
              <w:rPr>
                <w:rFonts w:ascii="Arial" w:cs="Arial" w:eastAsia="Arial" w:hAnsi="Arial"/>
                <w:sz w:val="13"/>
                <w:szCs w:val="13"/>
                <w:color w:val="auto"/>
              </w:rPr>
              <w:t>7/14/2014</w:t>
            </w:r>
          </w:p>
        </w:tc>
        <w:tc>
          <w:tcPr>
            <w:tcW w:w="1080" w:type="dxa"/>
            <w:vAlign w:val="bottom"/>
            <w:tcBorders>
              <w:top w:val="single" w:sz="8" w:color="483E65"/>
            </w:tcBorders>
            <w:gridSpan w:val="2"/>
          </w:tcPr>
          <w:p>
            <w:pPr>
              <w:jc w:val="right"/>
              <w:spacing w:after="0"/>
              <w:rPr>
                <w:sz w:val="20"/>
                <w:szCs w:val="20"/>
                <w:color w:val="auto"/>
              </w:rPr>
            </w:pPr>
            <w:r>
              <w:rPr>
                <w:rFonts w:ascii="Arial" w:cs="Arial" w:eastAsia="Arial" w:hAnsi="Arial"/>
                <w:sz w:val="13"/>
                <w:szCs w:val="13"/>
                <w:color w:val="auto"/>
              </w:rPr>
              <w:t>90,935</w:t>
            </w:r>
          </w:p>
        </w:tc>
        <w:tc>
          <w:tcPr>
            <w:tcW w:w="1240" w:type="dxa"/>
            <w:vAlign w:val="bottom"/>
            <w:tcBorders>
              <w:top w:val="single" w:sz="8" w:color="483E65"/>
            </w:tcBorders>
          </w:tcPr>
          <w:p>
            <w:pPr>
              <w:jc w:val="right"/>
              <w:ind w:right="76"/>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483E65"/>
            </w:tcBorders>
          </w:tcPr>
          <w:p>
            <w:pPr>
              <w:jc w:val="right"/>
              <w:ind w:right="36"/>
              <w:spacing w:after="0"/>
              <w:rPr>
                <w:sz w:val="20"/>
                <w:szCs w:val="20"/>
                <w:color w:val="auto"/>
              </w:rPr>
            </w:pPr>
            <w:r>
              <w:rPr>
                <w:rFonts w:ascii="Arial" w:cs="Arial" w:eastAsia="Arial" w:hAnsi="Arial"/>
                <w:sz w:val="13"/>
                <w:szCs w:val="13"/>
                <w:color w:val="auto"/>
              </w:rPr>
              <w:t>27.34</w:t>
            </w:r>
          </w:p>
        </w:tc>
        <w:tc>
          <w:tcPr>
            <w:tcW w:w="700" w:type="dxa"/>
            <w:vAlign w:val="bottom"/>
            <w:tcBorders>
              <w:top w:val="single" w:sz="8" w:color="483E65"/>
            </w:tcBorders>
          </w:tcPr>
          <w:p>
            <w:pPr>
              <w:jc w:val="right"/>
              <w:spacing w:after="0"/>
              <w:rPr>
                <w:sz w:val="20"/>
                <w:szCs w:val="20"/>
                <w:color w:val="auto"/>
              </w:rPr>
            </w:pPr>
            <w:r>
              <w:rPr>
                <w:rFonts w:ascii="Arial" w:cs="Arial" w:eastAsia="Arial" w:hAnsi="Arial"/>
                <w:sz w:val="13"/>
                <w:szCs w:val="13"/>
                <w:color w:val="auto"/>
              </w:rPr>
              <w:t>7/13/2021</w:t>
            </w:r>
          </w:p>
        </w:tc>
        <w:tc>
          <w:tcPr>
            <w:tcW w:w="180" w:type="dxa"/>
            <w:vAlign w:val="bottom"/>
          </w:tcPr>
          <w:p>
            <w:pPr>
              <w:spacing w:after="0"/>
              <w:rPr>
                <w:sz w:val="24"/>
                <w:szCs w:val="24"/>
                <w:color w:val="auto"/>
              </w:rPr>
            </w:pPr>
          </w:p>
        </w:tc>
        <w:tc>
          <w:tcPr>
            <w:tcW w:w="800" w:type="dxa"/>
            <w:vAlign w:val="bottom"/>
            <w:tcBorders>
              <w:top w:val="single" w:sz="8" w:color="483E65"/>
            </w:tcBorders>
          </w:tcPr>
          <w:p>
            <w:pPr>
              <w:jc w:val="right"/>
              <w:ind w:right="16"/>
              <w:spacing w:after="0"/>
              <w:rPr>
                <w:sz w:val="20"/>
                <w:szCs w:val="20"/>
                <w:color w:val="auto"/>
              </w:rPr>
            </w:pPr>
            <w:r>
              <w:rPr>
                <w:rFonts w:ascii="Arial" w:cs="Arial" w:eastAsia="Arial" w:hAnsi="Arial"/>
                <w:sz w:val="13"/>
                <w:szCs w:val="13"/>
                <w:color w:val="auto"/>
              </w:rPr>
              <w:t>3/4/2016</w:t>
            </w:r>
          </w:p>
        </w:tc>
        <w:tc>
          <w:tcPr>
            <w:tcW w:w="900" w:type="dxa"/>
            <w:vAlign w:val="bottom"/>
            <w:tcBorders>
              <w:top w:val="single" w:sz="8" w:color="483E65"/>
            </w:tcBorders>
          </w:tcPr>
          <w:p>
            <w:pPr>
              <w:jc w:val="right"/>
              <w:ind w:right="17"/>
              <w:spacing w:after="0"/>
              <w:rPr>
                <w:sz w:val="20"/>
                <w:szCs w:val="20"/>
                <w:color w:val="auto"/>
              </w:rPr>
            </w:pPr>
            <w:r>
              <w:rPr>
                <w:rFonts w:ascii="Arial" w:cs="Arial" w:eastAsia="Arial" w:hAnsi="Arial"/>
                <w:sz w:val="13"/>
                <w:szCs w:val="13"/>
                <w:color w:val="auto"/>
              </w:rPr>
              <w:t>7,704</w:t>
            </w:r>
          </w:p>
        </w:tc>
        <w:tc>
          <w:tcPr>
            <w:tcW w:w="920" w:type="dxa"/>
            <w:vAlign w:val="bottom"/>
            <w:tcBorders>
              <w:top w:val="single" w:sz="8" w:color="483E65"/>
            </w:tcBorders>
          </w:tcPr>
          <w:p>
            <w:pPr>
              <w:jc w:val="right"/>
              <w:ind w:right="96"/>
              <w:spacing w:after="0"/>
              <w:rPr>
                <w:sz w:val="20"/>
                <w:szCs w:val="20"/>
                <w:color w:val="auto"/>
              </w:rPr>
            </w:pPr>
            <w:r>
              <w:rPr>
                <w:rFonts w:ascii="Arial" w:cs="Arial" w:eastAsia="Arial" w:hAnsi="Arial"/>
                <w:sz w:val="13"/>
                <w:szCs w:val="13"/>
                <w:color w:val="auto"/>
              </w:rPr>
              <w:t>766,394</w:t>
            </w:r>
          </w:p>
        </w:tc>
        <w:tc>
          <w:tcPr>
            <w:tcW w:w="860" w:type="dxa"/>
            <w:vAlign w:val="bottom"/>
            <w:tcBorders>
              <w:top w:val="single" w:sz="8" w:color="483E65"/>
            </w:tcBorders>
          </w:tcPr>
          <w:p>
            <w:pPr>
              <w:jc w:val="right"/>
              <w:ind w:right="16"/>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483E65"/>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4/10/2015</w:t>
            </w:r>
          </w:p>
        </w:tc>
        <w:tc>
          <w:tcPr>
            <w:tcW w:w="108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138,784</w:t>
            </w:r>
          </w:p>
        </w:tc>
        <w:tc>
          <w:tcPr>
            <w:tcW w:w="1240" w:type="dxa"/>
            <w:vAlign w:val="bottom"/>
          </w:tcPr>
          <w:p>
            <w:pPr>
              <w:jc w:val="right"/>
              <w:ind w:right="76"/>
              <w:spacing w:after="0" w:line="140"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36"/>
              <w:spacing w:after="0" w:line="140" w:lineRule="exact"/>
              <w:rPr>
                <w:sz w:val="20"/>
                <w:szCs w:val="20"/>
                <w:color w:val="auto"/>
              </w:rPr>
            </w:pPr>
            <w:r>
              <w:rPr>
                <w:rFonts w:ascii="Arial" w:cs="Arial" w:eastAsia="Arial" w:hAnsi="Arial"/>
                <w:sz w:val="13"/>
                <w:szCs w:val="13"/>
                <w:color w:val="auto"/>
              </w:rPr>
              <w:t>31.55</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4/9/2022</w:t>
            </w:r>
          </w:p>
        </w:tc>
        <w:tc>
          <w:tcPr>
            <w:tcW w:w="180" w:type="dxa"/>
            <w:vAlign w:val="bottom"/>
          </w:tcPr>
          <w:p>
            <w:pPr>
              <w:spacing w:after="0"/>
              <w:rPr>
                <w:sz w:val="12"/>
                <w:szCs w:val="12"/>
                <w:color w:val="auto"/>
              </w:rPr>
            </w:pPr>
          </w:p>
        </w:tc>
        <w:tc>
          <w:tcPr>
            <w:tcW w:w="800" w:type="dxa"/>
            <w:vAlign w:val="bottom"/>
          </w:tcPr>
          <w:p>
            <w:pPr>
              <w:jc w:val="right"/>
              <w:ind w:right="16"/>
              <w:spacing w:after="0" w:line="140" w:lineRule="exact"/>
              <w:rPr>
                <w:sz w:val="20"/>
                <w:szCs w:val="20"/>
                <w:color w:val="auto"/>
              </w:rPr>
            </w:pPr>
            <w:r>
              <w:rPr>
                <w:rFonts w:ascii="Arial" w:cs="Arial" w:eastAsia="Arial" w:hAnsi="Arial"/>
                <w:sz w:val="13"/>
                <w:szCs w:val="13"/>
                <w:color w:val="auto"/>
              </w:rPr>
              <w:t>3/3/2017</w:t>
            </w:r>
          </w:p>
        </w:tc>
        <w:tc>
          <w:tcPr>
            <w:tcW w:w="9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14,009</w:t>
            </w:r>
          </w:p>
        </w:tc>
        <w:tc>
          <w:tcPr>
            <w:tcW w:w="920" w:type="dxa"/>
            <w:vAlign w:val="bottom"/>
          </w:tcPr>
          <w:p>
            <w:pPr>
              <w:jc w:val="right"/>
              <w:ind w:right="96"/>
              <w:spacing w:after="0" w:line="140" w:lineRule="exact"/>
              <w:rPr>
                <w:sz w:val="20"/>
                <w:szCs w:val="20"/>
                <w:color w:val="auto"/>
              </w:rPr>
            </w:pPr>
            <w:r>
              <w:rPr>
                <w:rFonts w:ascii="Arial" w:cs="Arial" w:eastAsia="Arial" w:hAnsi="Arial"/>
                <w:sz w:val="13"/>
                <w:szCs w:val="13"/>
                <w:color w:val="auto"/>
              </w:rPr>
              <w:t>1,393,615</w:t>
            </w:r>
          </w:p>
        </w:tc>
        <w:tc>
          <w:tcPr>
            <w:tcW w:w="860" w:type="dxa"/>
            <w:vAlign w:val="bottom"/>
          </w:tcPr>
          <w:p>
            <w:pPr>
              <w:jc w:val="right"/>
              <w:ind w:right="16"/>
              <w:spacing w:after="0" w:line="140"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3/4/2016</w:t>
            </w:r>
          </w:p>
        </w:tc>
        <w:tc>
          <w:tcPr>
            <w:tcW w:w="108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105,877</w:t>
            </w:r>
          </w:p>
        </w:tc>
        <w:tc>
          <w:tcPr>
            <w:tcW w:w="1240" w:type="dxa"/>
            <w:vAlign w:val="bottom"/>
          </w:tcPr>
          <w:p>
            <w:pPr>
              <w:jc w:val="right"/>
              <w:ind w:right="76"/>
              <w:spacing w:after="0" w:line="140" w:lineRule="exact"/>
              <w:rPr>
                <w:sz w:val="20"/>
                <w:szCs w:val="20"/>
                <w:color w:val="auto"/>
              </w:rPr>
            </w:pPr>
            <w:r>
              <w:rPr>
                <w:rFonts w:ascii="Arial" w:cs="Arial" w:eastAsia="Arial" w:hAnsi="Arial"/>
                <w:sz w:val="13"/>
                <w:szCs w:val="13"/>
                <w:color w:val="auto"/>
              </w:rPr>
              <w:t>35,294</w:t>
            </w:r>
          </w:p>
        </w:tc>
        <w:tc>
          <w:tcPr>
            <w:tcW w:w="580" w:type="dxa"/>
            <w:vAlign w:val="bottom"/>
          </w:tcPr>
          <w:p>
            <w:pPr>
              <w:jc w:val="right"/>
              <w:ind w:right="36"/>
              <w:spacing w:after="0" w:line="140" w:lineRule="exact"/>
              <w:rPr>
                <w:sz w:val="20"/>
                <w:szCs w:val="20"/>
                <w:color w:val="auto"/>
              </w:rPr>
            </w:pPr>
            <w:r>
              <w:rPr>
                <w:rFonts w:ascii="Arial" w:cs="Arial" w:eastAsia="Arial" w:hAnsi="Arial"/>
                <w:sz w:val="13"/>
                <w:szCs w:val="13"/>
                <w:color w:val="auto"/>
              </w:rPr>
              <w:t>33.82</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3/3/2023</w:t>
            </w:r>
          </w:p>
        </w:tc>
        <w:tc>
          <w:tcPr>
            <w:tcW w:w="180" w:type="dxa"/>
            <w:vAlign w:val="bottom"/>
          </w:tcPr>
          <w:p>
            <w:pPr>
              <w:spacing w:after="0"/>
              <w:rPr>
                <w:sz w:val="12"/>
                <w:szCs w:val="12"/>
                <w:color w:val="auto"/>
              </w:rPr>
            </w:pPr>
          </w:p>
        </w:tc>
        <w:tc>
          <w:tcPr>
            <w:tcW w:w="800" w:type="dxa"/>
            <w:vAlign w:val="bottom"/>
          </w:tcPr>
          <w:p>
            <w:pPr>
              <w:jc w:val="right"/>
              <w:ind w:right="16"/>
              <w:spacing w:after="0" w:line="140" w:lineRule="exact"/>
              <w:rPr>
                <w:sz w:val="20"/>
                <w:szCs w:val="20"/>
                <w:color w:val="auto"/>
              </w:rPr>
            </w:pPr>
            <w:r>
              <w:rPr>
                <w:rFonts w:ascii="Arial" w:cs="Arial" w:eastAsia="Arial" w:hAnsi="Arial"/>
                <w:sz w:val="13"/>
                <w:szCs w:val="13"/>
                <w:color w:val="auto"/>
              </w:rPr>
              <w:t>3/3/2017</w:t>
            </w:r>
          </w:p>
        </w:tc>
        <w:tc>
          <w:tcPr>
            <w:tcW w:w="9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15,410</w:t>
            </w:r>
          </w:p>
        </w:tc>
        <w:tc>
          <w:tcPr>
            <w:tcW w:w="920" w:type="dxa"/>
            <w:vAlign w:val="bottom"/>
          </w:tcPr>
          <w:p>
            <w:pPr>
              <w:jc w:val="right"/>
              <w:ind w:right="96"/>
              <w:spacing w:after="0" w:line="140" w:lineRule="exact"/>
              <w:rPr>
                <w:sz w:val="20"/>
                <w:szCs w:val="20"/>
                <w:color w:val="auto"/>
              </w:rPr>
            </w:pPr>
            <w:r>
              <w:rPr>
                <w:rFonts w:ascii="Arial" w:cs="Arial" w:eastAsia="Arial" w:hAnsi="Arial"/>
                <w:sz w:val="13"/>
                <w:szCs w:val="13"/>
                <w:color w:val="auto"/>
              </w:rPr>
              <w:t>1,532,987</w:t>
            </w:r>
          </w:p>
        </w:tc>
        <w:tc>
          <w:tcPr>
            <w:tcW w:w="860" w:type="dxa"/>
            <w:vAlign w:val="bottom"/>
          </w:tcPr>
          <w:p>
            <w:pPr>
              <w:jc w:val="right"/>
              <w:ind w:right="16"/>
              <w:spacing w:after="0" w:line="140"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3/3/2017</w:t>
            </w:r>
          </w:p>
        </w:tc>
        <w:tc>
          <w:tcPr>
            <w:tcW w:w="108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50,645</w:t>
            </w:r>
          </w:p>
        </w:tc>
        <w:tc>
          <w:tcPr>
            <w:tcW w:w="1240" w:type="dxa"/>
            <w:vAlign w:val="bottom"/>
          </w:tcPr>
          <w:p>
            <w:pPr>
              <w:jc w:val="right"/>
              <w:ind w:right="76"/>
              <w:spacing w:after="0" w:line="140" w:lineRule="exact"/>
              <w:rPr>
                <w:sz w:val="20"/>
                <w:szCs w:val="20"/>
                <w:color w:val="auto"/>
              </w:rPr>
            </w:pPr>
            <w:r>
              <w:rPr>
                <w:rFonts w:ascii="Arial" w:cs="Arial" w:eastAsia="Arial" w:hAnsi="Arial"/>
                <w:sz w:val="13"/>
                <w:szCs w:val="13"/>
                <w:color w:val="auto"/>
              </w:rPr>
              <w:t>50,645</w:t>
            </w:r>
          </w:p>
        </w:tc>
        <w:tc>
          <w:tcPr>
            <w:tcW w:w="580" w:type="dxa"/>
            <w:vAlign w:val="bottom"/>
          </w:tcPr>
          <w:p>
            <w:pPr>
              <w:jc w:val="right"/>
              <w:ind w:right="36"/>
              <w:spacing w:after="0" w:line="140" w:lineRule="exact"/>
              <w:rPr>
                <w:sz w:val="20"/>
                <w:szCs w:val="20"/>
                <w:color w:val="auto"/>
              </w:rPr>
            </w:pPr>
            <w:r>
              <w:rPr>
                <w:rFonts w:ascii="Arial" w:cs="Arial" w:eastAsia="Arial" w:hAnsi="Arial"/>
                <w:sz w:val="13"/>
                <w:szCs w:val="13"/>
                <w:color w:val="auto"/>
              </w:rPr>
              <w:t>53.54</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3/2/2024</w:t>
            </w:r>
          </w:p>
        </w:tc>
        <w:tc>
          <w:tcPr>
            <w:tcW w:w="180" w:type="dxa"/>
            <w:vAlign w:val="bottom"/>
          </w:tcPr>
          <w:p>
            <w:pPr>
              <w:spacing w:after="0"/>
              <w:rPr>
                <w:sz w:val="12"/>
                <w:szCs w:val="12"/>
                <w:color w:val="auto"/>
              </w:rPr>
            </w:pPr>
          </w:p>
        </w:tc>
        <w:tc>
          <w:tcPr>
            <w:tcW w:w="800" w:type="dxa"/>
            <w:vAlign w:val="bottom"/>
          </w:tcPr>
          <w:p>
            <w:pPr>
              <w:jc w:val="right"/>
              <w:ind w:right="16"/>
              <w:spacing w:after="0" w:line="140" w:lineRule="exact"/>
              <w:rPr>
                <w:sz w:val="20"/>
                <w:szCs w:val="20"/>
                <w:color w:val="auto"/>
              </w:rPr>
            </w:pPr>
            <w:r>
              <w:rPr>
                <w:rFonts w:ascii="Arial" w:cs="Arial" w:eastAsia="Arial" w:hAnsi="Arial"/>
                <w:sz w:val="13"/>
                <w:szCs w:val="13"/>
                <w:color w:val="auto"/>
              </w:rPr>
              <w:t>3/3/2017</w:t>
            </w:r>
          </w:p>
        </w:tc>
        <w:tc>
          <w:tcPr>
            <w:tcW w:w="9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96"/>
              <w:spacing w:after="0" w:line="140"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line="140" w:lineRule="exact"/>
              <w:rPr>
                <w:sz w:val="20"/>
                <w:szCs w:val="20"/>
                <w:color w:val="auto"/>
              </w:rPr>
            </w:pPr>
            <w:r>
              <w:rPr>
                <w:rFonts w:ascii="Arial" w:cs="Arial" w:eastAsia="Arial" w:hAnsi="Arial"/>
                <w:sz w:val="13"/>
                <w:szCs w:val="13"/>
                <w:color w:val="auto"/>
              </w:rPr>
              <w:t>51,364</w:t>
            </w:r>
          </w:p>
        </w:tc>
        <w:tc>
          <w:tcPr>
            <w:tcW w:w="920" w:type="dxa"/>
            <w:vAlign w:val="bottom"/>
          </w:tcPr>
          <w:p>
            <w:pPr>
              <w:jc w:val="right"/>
              <w:spacing w:after="0" w:line="140" w:lineRule="exact"/>
              <w:rPr>
                <w:sz w:val="20"/>
                <w:szCs w:val="20"/>
                <w:color w:val="auto"/>
              </w:rPr>
            </w:pPr>
            <w:r>
              <w:rPr>
                <w:rFonts w:ascii="Arial" w:cs="Arial" w:eastAsia="Arial" w:hAnsi="Arial"/>
                <w:sz w:val="13"/>
                <w:szCs w:val="13"/>
                <w:color w:val="auto"/>
              </w:rPr>
              <w:t>5,109,691</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3/2/2018</w:t>
            </w:r>
          </w:p>
        </w:tc>
        <w:tc>
          <w:tcPr>
            <w:tcW w:w="108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23,115</w:t>
            </w:r>
          </w:p>
        </w:tc>
        <w:tc>
          <w:tcPr>
            <w:tcW w:w="1240" w:type="dxa"/>
            <w:vAlign w:val="bottom"/>
          </w:tcPr>
          <w:p>
            <w:pPr>
              <w:jc w:val="right"/>
              <w:ind w:right="76"/>
              <w:spacing w:after="0" w:line="140" w:lineRule="exact"/>
              <w:rPr>
                <w:sz w:val="20"/>
                <w:szCs w:val="20"/>
                <w:color w:val="auto"/>
              </w:rPr>
            </w:pPr>
            <w:r>
              <w:rPr>
                <w:rFonts w:ascii="Arial" w:cs="Arial" w:eastAsia="Arial" w:hAnsi="Arial"/>
                <w:sz w:val="13"/>
                <w:szCs w:val="13"/>
                <w:color w:val="auto"/>
              </w:rPr>
              <w:t>69,346</w:t>
            </w:r>
          </w:p>
        </w:tc>
        <w:tc>
          <w:tcPr>
            <w:tcW w:w="580" w:type="dxa"/>
            <w:vAlign w:val="bottom"/>
          </w:tcPr>
          <w:p>
            <w:pPr>
              <w:jc w:val="right"/>
              <w:ind w:right="36"/>
              <w:spacing w:after="0" w:line="140" w:lineRule="exact"/>
              <w:rPr>
                <w:sz w:val="20"/>
                <w:szCs w:val="20"/>
                <w:color w:val="auto"/>
              </w:rPr>
            </w:pPr>
            <w:r>
              <w:rPr>
                <w:rFonts w:ascii="Arial" w:cs="Arial" w:eastAsia="Arial" w:hAnsi="Arial"/>
                <w:sz w:val="13"/>
                <w:szCs w:val="13"/>
                <w:color w:val="auto"/>
              </w:rPr>
              <w:t>63.76</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3/1/2025</w:t>
            </w:r>
          </w:p>
        </w:tc>
        <w:tc>
          <w:tcPr>
            <w:tcW w:w="180" w:type="dxa"/>
            <w:vAlign w:val="bottom"/>
          </w:tcPr>
          <w:p>
            <w:pPr>
              <w:spacing w:after="0"/>
              <w:rPr>
                <w:sz w:val="12"/>
                <w:szCs w:val="12"/>
                <w:color w:val="auto"/>
              </w:rPr>
            </w:pPr>
          </w:p>
        </w:tc>
        <w:tc>
          <w:tcPr>
            <w:tcW w:w="800" w:type="dxa"/>
            <w:vAlign w:val="bottom"/>
          </w:tcPr>
          <w:p>
            <w:pPr>
              <w:jc w:val="right"/>
              <w:ind w:right="16"/>
              <w:spacing w:after="0" w:line="140" w:lineRule="exact"/>
              <w:rPr>
                <w:sz w:val="20"/>
                <w:szCs w:val="20"/>
                <w:color w:val="auto"/>
              </w:rPr>
            </w:pPr>
            <w:r>
              <w:rPr>
                <w:rFonts w:ascii="Arial" w:cs="Arial" w:eastAsia="Arial" w:hAnsi="Arial"/>
                <w:sz w:val="13"/>
                <w:szCs w:val="13"/>
                <w:color w:val="auto"/>
              </w:rPr>
              <w:t>3/2/2018</w:t>
            </w:r>
          </w:p>
        </w:tc>
        <w:tc>
          <w:tcPr>
            <w:tcW w:w="9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22,938</w:t>
            </w:r>
          </w:p>
        </w:tc>
        <w:tc>
          <w:tcPr>
            <w:tcW w:w="920" w:type="dxa"/>
            <w:vAlign w:val="bottom"/>
          </w:tcPr>
          <w:p>
            <w:pPr>
              <w:jc w:val="right"/>
              <w:ind w:right="96"/>
              <w:spacing w:after="0" w:line="140" w:lineRule="exact"/>
              <w:rPr>
                <w:sz w:val="20"/>
                <w:szCs w:val="20"/>
                <w:color w:val="auto"/>
              </w:rPr>
            </w:pPr>
            <w:r>
              <w:rPr>
                <w:rFonts w:ascii="Arial" w:cs="Arial" w:eastAsia="Arial" w:hAnsi="Arial"/>
                <w:sz w:val="13"/>
                <w:szCs w:val="13"/>
                <w:color w:val="auto"/>
              </w:rPr>
              <w:t>2,281,872</w:t>
            </w:r>
          </w:p>
        </w:tc>
        <w:tc>
          <w:tcPr>
            <w:tcW w:w="860" w:type="dxa"/>
            <w:vAlign w:val="bottom"/>
          </w:tcPr>
          <w:p>
            <w:pPr>
              <w:jc w:val="right"/>
              <w:ind w:right="16"/>
              <w:spacing w:after="0" w:line="140"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3/8/2019</w:t>
            </w:r>
          </w:p>
        </w:tc>
        <w:tc>
          <w:tcPr>
            <w:tcW w:w="20" w:type="dxa"/>
            <w:vAlign w:val="bottom"/>
          </w:tcPr>
          <w:p>
            <w:pPr>
              <w:spacing w:after="0"/>
              <w:rPr>
                <w:sz w:val="12"/>
                <w:szCs w:val="12"/>
                <w:color w:val="auto"/>
              </w:rPr>
            </w:pPr>
          </w:p>
        </w:tc>
        <w:tc>
          <w:tcPr>
            <w:tcW w:w="106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240" w:type="dxa"/>
            <w:vAlign w:val="bottom"/>
          </w:tcPr>
          <w:p>
            <w:pPr>
              <w:jc w:val="right"/>
              <w:ind w:right="76"/>
              <w:spacing w:after="0" w:line="140" w:lineRule="exact"/>
              <w:rPr>
                <w:sz w:val="20"/>
                <w:szCs w:val="20"/>
                <w:color w:val="auto"/>
              </w:rPr>
            </w:pPr>
            <w:r>
              <w:rPr>
                <w:rFonts w:ascii="Arial" w:cs="Arial" w:eastAsia="Arial" w:hAnsi="Arial"/>
                <w:sz w:val="13"/>
                <w:szCs w:val="13"/>
                <w:color w:val="auto"/>
              </w:rPr>
              <w:t>122,915</w:t>
            </w:r>
          </w:p>
        </w:tc>
        <w:tc>
          <w:tcPr>
            <w:tcW w:w="580" w:type="dxa"/>
            <w:vAlign w:val="bottom"/>
          </w:tcPr>
          <w:p>
            <w:pPr>
              <w:jc w:val="right"/>
              <w:ind w:right="36"/>
              <w:spacing w:after="0" w:line="140" w:lineRule="exact"/>
              <w:rPr>
                <w:sz w:val="20"/>
                <w:szCs w:val="20"/>
                <w:color w:val="auto"/>
              </w:rPr>
            </w:pPr>
            <w:r>
              <w:rPr>
                <w:rFonts w:ascii="Arial" w:cs="Arial" w:eastAsia="Arial" w:hAnsi="Arial"/>
                <w:sz w:val="13"/>
                <w:szCs w:val="13"/>
                <w:color w:val="auto"/>
              </w:rPr>
              <w:t>62.43</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3/7/2026</w:t>
            </w:r>
          </w:p>
        </w:tc>
        <w:tc>
          <w:tcPr>
            <w:tcW w:w="180" w:type="dxa"/>
            <w:vAlign w:val="bottom"/>
          </w:tcPr>
          <w:p>
            <w:pPr>
              <w:spacing w:after="0"/>
              <w:rPr>
                <w:sz w:val="12"/>
                <w:szCs w:val="12"/>
                <w:color w:val="auto"/>
              </w:rPr>
            </w:pPr>
          </w:p>
        </w:tc>
        <w:tc>
          <w:tcPr>
            <w:tcW w:w="800" w:type="dxa"/>
            <w:vAlign w:val="bottom"/>
          </w:tcPr>
          <w:p>
            <w:pPr>
              <w:jc w:val="right"/>
              <w:ind w:right="16"/>
              <w:spacing w:after="0" w:line="140" w:lineRule="exact"/>
              <w:rPr>
                <w:sz w:val="20"/>
                <w:szCs w:val="20"/>
                <w:color w:val="auto"/>
              </w:rPr>
            </w:pPr>
            <w:r>
              <w:rPr>
                <w:rFonts w:ascii="Arial" w:cs="Arial" w:eastAsia="Arial" w:hAnsi="Arial"/>
                <w:sz w:val="13"/>
                <w:szCs w:val="13"/>
                <w:color w:val="auto"/>
              </w:rPr>
              <w:t>3/2/2018</w:t>
            </w:r>
          </w:p>
        </w:tc>
        <w:tc>
          <w:tcPr>
            <w:tcW w:w="9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96"/>
              <w:spacing w:after="0" w:line="140"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line="140" w:lineRule="exact"/>
              <w:rPr>
                <w:sz w:val="20"/>
                <w:szCs w:val="20"/>
                <w:color w:val="auto"/>
              </w:rPr>
            </w:pPr>
            <w:r>
              <w:rPr>
                <w:rFonts w:ascii="Arial" w:cs="Arial" w:eastAsia="Arial" w:hAnsi="Arial"/>
                <w:sz w:val="13"/>
                <w:szCs w:val="13"/>
                <w:color w:val="auto"/>
              </w:rPr>
              <w:t>50,973</w:t>
            </w:r>
          </w:p>
        </w:tc>
        <w:tc>
          <w:tcPr>
            <w:tcW w:w="920" w:type="dxa"/>
            <w:vAlign w:val="bottom"/>
          </w:tcPr>
          <w:p>
            <w:pPr>
              <w:jc w:val="right"/>
              <w:spacing w:after="0" w:line="140" w:lineRule="exact"/>
              <w:rPr>
                <w:sz w:val="20"/>
                <w:szCs w:val="20"/>
                <w:color w:val="auto"/>
              </w:rPr>
            </w:pPr>
            <w:r>
              <w:rPr>
                <w:rFonts w:ascii="Arial" w:cs="Arial" w:eastAsia="Arial" w:hAnsi="Arial"/>
                <w:sz w:val="13"/>
                <w:szCs w:val="13"/>
                <w:color w:val="auto"/>
              </w:rPr>
              <w:t>5,070,794</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6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240" w:type="dxa"/>
            <w:vAlign w:val="bottom"/>
          </w:tcPr>
          <w:p>
            <w:pPr>
              <w:jc w:val="right"/>
              <w:ind w:right="76"/>
              <w:spacing w:after="0" w:line="140"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36"/>
              <w:spacing w:after="0" w:line="140"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40"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line="140" w:lineRule="exact"/>
              <w:rPr>
                <w:sz w:val="20"/>
                <w:szCs w:val="20"/>
                <w:color w:val="auto"/>
              </w:rPr>
            </w:pPr>
            <w:r>
              <w:rPr>
                <w:rFonts w:ascii="Arial" w:cs="Arial" w:eastAsia="Arial" w:hAnsi="Arial"/>
                <w:sz w:val="13"/>
                <w:szCs w:val="13"/>
                <w:color w:val="auto"/>
              </w:rPr>
              <w:t>3/8/2019</w:t>
            </w:r>
          </w:p>
        </w:tc>
        <w:tc>
          <w:tcPr>
            <w:tcW w:w="9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96"/>
              <w:spacing w:after="0" w:line="140"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line="140" w:lineRule="exact"/>
              <w:rPr>
                <w:sz w:val="20"/>
                <w:szCs w:val="20"/>
                <w:color w:val="auto"/>
              </w:rPr>
            </w:pPr>
            <w:r>
              <w:rPr>
                <w:rFonts w:ascii="Arial" w:cs="Arial" w:eastAsia="Arial" w:hAnsi="Arial"/>
                <w:sz w:val="13"/>
                <w:szCs w:val="13"/>
                <w:color w:val="auto"/>
              </w:rPr>
              <w:t>33,638</w:t>
            </w:r>
          </w:p>
        </w:tc>
        <w:tc>
          <w:tcPr>
            <w:tcW w:w="920" w:type="dxa"/>
            <w:vAlign w:val="bottom"/>
          </w:tcPr>
          <w:p>
            <w:pPr>
              <w:jc w:val="right"/>
              <w:spacing w:after="0" w:line="140" w:lineRule="exact"/>
              <w:rPr>
                <w:sz w:val="20"/>
                <w:szCs w:val="20"/>
                <w:color w:val="auto"/>
              </w:rPr>
            </w:pPr>
            <w:r>
              <w:rPr>
                <w:rFonts w:ascii="Arial" w:cs="Arial" w:eastAsia="Arial" w:hAnsi="Arial"/>
                <w:sz w:val="13"/>
                <w:szCs w:val="13"/>
                <w:color w:val="auto"/>
              </w:rPr>
              <w:t>3,346,308</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240" w:type="dxa"/>
            <w:vAlign w:val="bottom"/>
          </w:tcPr>
          <w:p>
            <w:pPr>
              <w:jc w:val="right"/>
              <w:ind w:right="76"/>
              <w:spacing w:after="0" w:line="141"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line="141" w:lineRule="exact"/>
              <w:rPr>
                <w:sz w:val="20"/>
                <w:szCs w:val="20"/>
                <w:color w:val="auto"/>
              </w:rPr>
            </w:pPr>
            <w:r>
              <w:rPr>
                <w:rFonts w:ascii="Arial" w:cs="Arial" w:eastAsia="Arial" w:hAnsi="Arial"/>
                <w:sz w:val="13"/>
                <w:szCs w:val="13"/>
                <w:color w:val="auto"/>
              </w:rPr>
              <w:t>3/8/2019</w:t>
            </w:r>
          </w:p>
        </w:tc>
        <w:tc>
          <w:tcPr>
            <w:tcW w:w="9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96"/>
              <w:spacing w:after="0" w:line="14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line="141" w:lineRule="exact"/>
              <w:rPr>
                <w:sz w:val="20"/>
                <w:szCs w:val="20"/>
                <w:color w:val="auto"/>
              </w:rPr>
            </w:pPr>
            <w:r>
              <w:rPr>
                <w:rFonts w:ascii="Arial" w:cs="Arial" w:eastAsia="Arial" w:hAnsi="Arial"/>
                <w:sz w:val="13"/>
                <w:szCs w:val="13"/>
                <w:color w:val="auto"/>
              </w:rPr>
              <w:t>56,063</w:t>
            </w:r>
          </w:p>
        </w:tc>
        <w:tc>
          <w:tcPr>
            <w:tcW w:w="920" w:type="dxa"/>
            <w:vAlign w:val="bottom"/>
          </w:tcPr>
          <w:p>
            <w:pPr>
              <w:jc w:val="right"/>
              <w:spacing w:after="0" w:line="141" w:lineRule="exact"/>
              <w:rPr>
                <w:sz w:val="20"/>
                <w:szCs w:val="20"/>
                <w:color w:val="auto"/>
              </w:rPr>
            </w:pPr>
            <w:r>
              <w:rPr>
                <w:rFonts w:ascii="Arial" w:cs="Arial" w:eastAsia="Arial" w:hAnsi="Arial"/>
                <w:sz w:val="13"/>
                <w:szCs w:val="13"/>
                <w:color w:val="auto"/>
              </w:rPr>
              <w:t>5,577,147</w:t>
            </w:r>
          </w:p>
        </w:tc>
        <w:tc>
          <w:tcPr>
            <w:tcW w:w="0" w:type="dxa"/>
            <w:vAlign w:val="bottom"/>
          </w:tcPr>
          <w:p>
            <w:pPr>
              <w:spacing w:after="0"/>
              <w:rPr>
                <w:sz w:val="1"/>
                <w:szCs w:val="1"/>
                <w:color w:val="auto"/>
              </w:rPr>
            </w:pPr>
          </w:p>
        </w:tc>
      </w:tr>
      <w:tr>
        <w:trPr>
          <w:trHeight w:val="139"/>
        </w:trPr>
        <w:tc>
          <w:tcPr>
            <w:tcW w:w="1480" w:type="dxa"/>
            <w:vAlign w:val="bottom"/>
            <w:shd w:val="clear" w:color="auto" w:fill="ACABA7"/>
          </w:tcPr>
          <w:p>
            <w:pPr>
              <w:spacing w:after="0" w:line="139" w:lineRule="exact"/>
              <w:rPr>
                <w:sz w:val="20"/>
                <w:szCs w:val="20"/>
                <w:color w:val="auto"/>
              </w:rPr>
            </w:pPr>
            <w:r>
              <w:rPr>
                <w:rFonts w:ascii="Arial" w:cs="Arial" w:eastAsia="Arial" w:hAnsi="Arial"/>
                <w:sz w:val="13"/>
                <w:szCs w:val="13"/>
                <w:color w:val="auto"/>
              </w:rPr>
              <w:t>Mr. Reagan</w:t>
            </w:r>
          </w:p>
        </w:tc>
        <w:tc>
          <w:tcPr>
            <w:tcW w:w="720" w:type="dxa"/>
            <w:vAlign w:val="bottom"/>
            <w:shd w:val="clear" w:color="auto" w:fill="ACABA7"/>
          </w:tcPr>
          <w:p>
            <w:pPr>
              <w:jc w:val="right"/>
              <w:spacing w:after="0" w:line="139" w:lineRule="exact"/>
              <w:rPr>
                <w:sz w:val="20"/>
                <w:szCs w:val="20"/>
                <w:color w:val="auto"/>
              </w:rPr>
            </w:pPr>
            <w:r>
              <w:rPr>
                <w:rFonts w:ascii="Arial" w:cs="Arial" w:eastAsia="Arial" w:hAnsi="Arial"/>
                <w:sz w:val="13"/>
                <w:szCs w:val="13"/>
                <w:color w:val="auto"/>
              </w:rPr>
              <w:t>9/11/2015</w:t>
            </w:r>
          </w:p>
        </w:tc>
        <w:tc>
          <w:tcPr>
            <w:tcW w:w="1080" w:type="dxa"/>
            <w:vAlign w:val="bottom"/>
            <w:gridSpan w:val="2"/>
            <w:shd w:val="clear" w:color="auto" w:fill="ACABA7"/>
          </w:tcPr>
          <w:p>
            <w:pPr>
              <w:jc w:val="right"/>
              <w:spacing w:after="0" w:line="139" w:lineRule="exact"/>
              <w:rPr>
                <w:sz w:val="20"/>
                <w:szCs w:val="20"/>
                <w:color w:val="auto"/>
              </w:rPr>
            </w:pPr>
            <w:r>
              <w:rPr>
                <w:rFonts w:ascii="Arial" w:cs="Arial" w:eastAsia="Arial" w:hAnsi="Arial"/>
                <w:sz w:val="13"/>
                <w:szCs w:val="13"/>
                <w:color w:val="auto"/>
              </w:rPr>
              <w:t>57,407</w:t>
            </w:r>
          </w:p>
        </w:tc>
        <w:tc>
          <w:tcPr>
            <w:tcW w:w="1240" w:type="dxa"/>
            <w:vAlign w:val="bottom"/>
            <w:shd w:val="clear" w:color="auto" w:fill="ACABA7"/>
          </w:tcPr>
          <w:p>
            <w:pPr>
              <w:jc w:val="right"/>
              <w:ind w:right="76"/>
              <w:spacing w:after="0" w:line="139" w:lineRule="exact"/>
              <w:rPr>
                <w:sz w:val="20"/>
                <w:szCs w:val="20"/>
                <w:color w:val="auto"/>
              </w:rPr>
            </w:pPr>
            <w:r>
              <w:rPr>
                <w:rFonts w:ascii="Arial" w:cs="Arial" w:eastAsia="Arial" w:hAnsi="Arial"/>
                <w:sz w:val="13"/>
                <w:szCs w:val="13"/>
                <w:color w:val="auto"/>
              </w:rPr>
              <w:t>—</w:t>
            </w:r>
          </w:p>
        </w:tc>
        <w:tc>
          <w:tcPr>
            <w:tcW w:w="580" w:type="dxa"/>
            <w:vAlign w:val="bottom"/>
            <w:shd w:val="clear" w:color="auto" w:fill="ACABA7"/>
          </w:tcPr>
          <w:p>
            <w:pPr>
              <w:jc w:val="right"/>
              <w:ind w:right="36"/>
              <w:spacing w:after="0" w:line="139" w:lineRule="exact"/>
              <w:rPr>
                <w:sz w:val="20"/>
                <w:szCs w:val="20"/>
                <w:color w:val="auto"/>
              </w:rPr>
            </w:pPr>
            <w:r>
              <w:rPr>
                <w:rFonts w:ascii="Arial" w:cs="Arial" w:eastAsia="Arial" w:hAnsi="Arial"/>
                <w:sz w:val="13"/>
                <w:szCs w:val="13"/>
                <w:color w:val="auto"/>
              </w:rPr>
              <w:t>31.26</w:t>
            </w:r>
          </w:p>
        </w:tc>
        <w:tc>
          <w:tcPr>
            <w:tcW w:w="700" w:type="dxa"/>
            <w:vAlign w:val="bottom"/>
            <w:shd w:val="clear" w:color="auto" w:fill="ACABA7"/>
          </w:tcPr>
          <w:p>
            <w:pPr>
              <w:jc w:val="right"/>
              <w:spacing w:after="0" w:line="139" w:lineRule="exact"/>
              <w:rPr>
                <w:sz w:val="20"/>
                <w:szCs w:val="20"/>
                <w:color w:val="auto"/>
              </w:rPr>
            </w:pPr>
            <w:r>
              <w:rPr>
                <w:rFonts w:ascii="Arial" w:cs="Arial" w:eastAsia="Arial" w:hAnsi="Arial"/>
                <w:sz w:val="13"/>
                <w:szCs w:val="13"/>
                <w:color w:val="auto"/>
              </w:rPr>
              <w:t>9/10/2022</w:t>
            </w:r>
          </w:p>
        </w:tc>
        <w:tc>
          <w:tcPr>
            <w:tcW w:w="180" w:type="dxa"/>
            <w:vAlign w:val="bottom"/>
            <w:shd w:val="clear" w:color="auto" w:fill="ACABA7"/>
          </w:tcPr>
          <w:p>
            <w:pPr>
              <w:spacing w:after="0"/>
              <w:rPr>
                <w:sz w:val="12"/>
                <w:szCs w:val="12"/>
                <w:color w:val="auto"/>
              </w:rPr>
            </w:pPr>
          </w:p>
        </w:tc>
        <w:tc>
          <w:tcPr>
            <w:tcW w:w="800" w:type="dxa"/>
            <w:vAlign w:val="bottom"/>
            <w:shd w:val="clear" w:color="auto" w:fill="ACABA7"/>
          </w:tcPr>
          <w:p>
            <w:pPr>
              <w:jc w:val="right"/>
              <w:ind w:right="16"/>
              <w:spacing w:after="0" w:line="139" w:lineRule="exact"/>
              <w:rPr>
                <w:sz w:val="20"/>
                <w:szCs w:val="20"/>
                <w:color w:val="auto"/>
              </w:rPr>
            </w:pPr>
            <w:r>
              <w:rPr>
                <w:rFonts w:ascii="Arial" w:cs="Arial" w:eastAsia="Arial" w:hAnsi="Arial"/>
                <w:sz w:val="13"/>
                <w:szCs w:val="13"/>
                <w:color w:val="auto"/>
              </w:rPr>
              <w:t>3/4/2016</w:t>
            </w:r>
          </w:p>
        </w:tc>
        <w:tc>
          <w:tcPr>
            <w:tcW w:w="900" w:type="dxa"/>
            <w:vAlign w:val="bottom"/>
            <w:shd w:val="clear" w:color="auto" w:fill="ACABA7"/>
          </w:tcPr>
          <w:p>
            <w:pPr>
              <w:jc w:val="right"/>
              <w:ind w:right="17"/>
              <w:spacing w:after="0" w:line="139" w:lineRule="exact"/>
              <w:rPr>
                <w:sz w:val="20"/>
                <w:szCs w:val="20"/>
                <w:color w:val="auto"/>
              </w:rPr>
            </w:pPr>
            <w:r>
              <w:rPr>
                <w:rFonts w:ascii="Arial" w:cs="Arial" w:eastAsia="Arial" w:hAnsi="Arial"/>
                <w:sz w:val="13"/>
                <w:szCs w:val="13"/>
                <w:color w:val="auto"/>
              </w:rPr>
              <w:t>1,968</w:t>
            </w:r>
          </w:p>
        </w:tc>
        <w:tc>
          <w:tcPr>
            <w:tcW w:w="920" w:type="dxa"/>
            <w:vAlign w:val="bottom"/>
            <w:shd w:val="clear" w:color="auto" w:fill="ACABA7"/>
          </w:tcPr>
          <w:p>
            <w:pPr>
              <w:jc w:val="right"/>
              <w:ind w:right="96"/>
              <w:spacing w:after="0" w:line="139" w:lineRule="exact"/>
              <w:rPr>
                <w:sz w:val="20"/>
                <w:szCs w:val="20"/>
                <w:color w:val="auto"/>
              </w:rPr>
            </w:pPr>
            <w:r>
              <w:rPr>
                <w:rFonts w:ascii="Arial" w:cs="Arial" w:eastAsia="Arial" w:hAnsi="Arial"/>
                <w:sz w:val="13"/>
                <w:szCs w:val="13"/>
                <w:color w:val="auto"/>
              </w:rPr>
              <w:t>195,777</w:t>
            </w:r>
          </w:p>
        </w:tc>
        <w:tc>
          <w:tcPr>
            <w:tcW w:w="860" w:type="dxa"/>
            <w:vAlign w:val="bottom"/>
            <w:shd w:val="clear" w:color="auto" w:fill="ACABA7"/>
          </w:tcPr>
          <w:p>
            <w:pPr>
              <w:jc w:val="right"/>
              <w:ind w:right="16"/>
              <w:spacing w:after="0" w:line="139" w:lineRule="exact"/>
              <w:rPr>
                <w:sz w:val="20"/>
                <w:szCs w:val="20"/>
                <w:color w:val="auto"/>
              </w:rPr>
            </w:pPr>
            <w:r>
              <w:rPr>
                <w:rFonts w:ascii="Arial" w:cs="Arial" w:eastAsia="Arial" w:hAnsi="Arial"/>
                <w:sz w:val="13"/>
                <w:szCs w:val="13"/>
                <w:color w:val="auto"/>
              </w:rPr>
              <w:t>—</w:t>
            </w:r>
          </w:p>
        </w:tc>
        <w:tc>
          <w:tcPr>
            <w:tcW w:w="920" w:type="dxa"/>
            <w:vAlign w:val="bottom"/>
            <w:shd w:val="clear" w:color="auto" w:fill="ACABA7"/>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1480" w:type="dxa"/>
            <w:vAlign w:val="bottom"/>
            <w:shd w:val="clear" w:color="auto" w:fill="ACABA7"/>
          </w:tcPr>
          <w:p>
            <w:pPr>
              <w:spacing w:after="0"/>
              <w:rPr>
                <w:sz w:val="12"/>
                <w:szCs w:val="12"/>
                <w:color w:val="auto"/>
              </w:rPr>
            </w:pPr>
          </w:p>
        </w:tc>
        <w:tc>
          <w:tcPr>
            <w:tcW w:w="72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3/4/2016</w:t>
            </w:r>
          </w:p>
        </w:tc>
        <w:tc>
          <w:tcPr>
            <w:tcW w:w="1080" w:type="dxa"/>
            <w:vAlign w:val="bottom"/>
            <w:gridSpan w:val="2"/>
            <w:shd w:val="clear" w:color="auto" w:fill="ACABA7"/>
          </w:tcPr>
          <w:p>
            <w:pPr>
              <w:jc w:val="right"/>
              <w:spacing w:after="0" w:line="140" w:lineRule="exact"/>
              <w:rPr>
                <w:sz w:val="20"/>
                <w:szCs w:val="20"/>
                <w:color w:val="auto"/>
              </w:rPr>
            </w:pPr>
            <w:r>
              <w:rPr>
                <w:rFonts w:ascii="Arial" w:cs="Arial" w:eastAsia="Arial" w:hAnsi="Arial"/>
                <w:sz w:val="13"/>
                <w:szCs w:val="13"/>
                <w:color w:val="auto"/>
              </w:rPr>
              <w:t>27,033</w:t>
            </w:r>
          </w:p>
        </w:tc>
        <w:tc>
          <w:tcPr>
            <w:tcW w:w="1240" w:type="dxa"/>
            <w:vAlign w:val="bottom"/>
            <w:shd w:val="clear" w:color="auto" w:fill="ACABA7"/>
          </w:tcPr>
          <w:p>
            <w:pPr>
              <w:jc w:val="right"/>
              <w:ind w:right="76"/>
              <w:spacing w:after="0" w:line="140" w:lineRule="exact"/>
              <w:rPr>
                <w:sz w:val="20"/>
                <w:szCs w:val="20"/>
                <w:color w:val="auto"/>
              </w:rPr>
            </w:pPr>
            <w:r>
              <w:rPr>
                <w:rFonts w:ascii="Arial" w:cs="Arial" w:eastAsia="Arial" w:hAnsi="Arial"/>
                <w:sz w:val="13"/>
                <w:szCs w:val="13"/>
                <w:color w:val="auto"/>
              </w:rPr>
              <w:t>9,011</w:t>
            </w:r>
          </w:p>
        </w:tc>
        <w:tc>
          <w:tcPr>
            <w:tcW w:w="580" w:type="dxa"/>
            <w:vAlign w:val="bottom"/>
            <w:shd w:val="clear" w:color="auto" w:fill="ACABA7"/>
          </w:tcPr>
          <w:p>
            <w:pPr>
              <w:jc w:val="right"/>
              <w:ind w:right="36"/>
              <w:spacing w:after="0" w:line="140" w:lineRule="exact"/>
              <w:rPr>
                <w:sz w:val="20"/>
                <w:szCs w:val="20"/>
                <w:color w:val="auto"/>
              </w:rPr>
            </w:pPr>
            <w:r>
              <w:rPr>
                <w:rFonts w:ascii="Arial" w:cs="Arial" w:eastAsia="Arial" w:hAnsi="Arial"/>
                <w:sz w:val="13"/>
                <w:szCs w:val="13"/>
                <w:color w:val="auto"/>
              </w:rPr>
              <w:t>33.82</w:t>
            </w:r>
          </w:p>
        </w:tc>
        <w:tc>
          <w:tcPr>
            <w:tcW w:w="70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3/3/2023</w:t>
            </w:r>
          </w:p>
        </w:tc>
        <w:tc>
          <w:tcPr>
            <w:tcW w:w="180" w:type="dxa"/>
            <w:vAlign w:val="bottom"/>
            <w:shd w:val="clear" w:color="auto" w:fill="ACABA7"/>
          </w:tcPr>
          <w:p>
            <w:pPr>
              <w:spacing w:after="0"/>
              <w:rPr>
                <w:sz w:val="12"/>
                <w:szCs w:val="12"/>
                <w:color w:val="auto"/>
              </w:rPr>
            </w:pPr>
          </w:p>
        </w:tc>
        <w:tc>
          <w:tcPr>
            <w:tcW w:w="800" w:type="dxa"/>
            <w:vAlign w:val="bottom"/>
            <w:shd w:val="clear" w:color="auto" w:fill="ACABA7"/>
          </w:tcPr>
          <w:p>
            <w:pPr>
              <w:jc w:val="right"/>
              <w:ind w:right="16"/>
              <w:spacing w:after="0" w:line="140" w:lineRule="exact"/>
              <w:rPr>
                <w:sz w:val="20"/>
                <w:szCs w:val="20"/>
                <w:color w:val="auto"/>
              </w:rPr>
            </w:pPr>
            <w:r>
              <w:rPr>
                <w:rFonts w:ascii="Arial" w:cs="Arial" w:eastAsia="Arial" w:hAnsi="Arial"/>
                <w:sz w:val="13"/>
                <w:szCs w:val="13"/>
                <w:color w:val="auto"/>
              </w:rPr>
              <w:t>3/3/2017</w:t>
            </w:r>
          </w:p>
        </w:tc>
        <w:tc>
          <w:tcPr>
            <w:tcW w:w="900" w:type="dxa"/>
            <w:vAlign w:val="bottom"/>
            <w:shd w:val="clear" w:color="auto" w:fill="ACABA7"/>
          </w:tcPr>
          <w:p>
            <w:pPr>
              <w:jc w:val="right"/>
              <w:ind w:right="17"/>
              <w:spacing w:after="0" w:line="140" w:lineRule="exact"/>
              <w:rPr>
                <w:sz w:val="20"/>
                <w:szCs w:val="20"/>
                <w:color w:val="auto"/>
              </w:rPr>
            </w:pPr>
            <w:r>
              <w:rPr>
                <w:rFonts w:ascii="Arial" w:cs="Arial" w:eastAsia="Arial" w:hAnsi="Arial"/>
                <w:sz w:val="13"/>
                <w:szCs w:val="13"/>
                <w:color w:val="auto"/>
              </w:rPr>
              <w:t>3,688</w:t>
            </w:r>
          </w:p>
        </w:tc>
        <w:tc>
          <w:tcPr>
            <w:tcW w:w="920" w:type="dxa"/>
            <w:vAlign w:val="bottom"/>
            <w:shd w:val="clear" w:color="auto" w:fill="ACABA7"/>
          </w:tcPr>
          <w:p>
            <w:pPr>
              <w:jc w:val="right"/>
              <w:ind w:right="96"/>
              <w:spacing w:after="0" w:line="140" w:lineRule="exact"/>
              <w:rPr>
                <w:sz w:val="20"/>
                <w:szCs w:val="20"/>
                <w:color w:val="auto"/>
              </w:rPr>
            </w:pPr>
            <w:r>
              <w:rPr>
                <w:rFonts w:ascii="Arial" w:cs="Arial" w:eastAsia="Arial" w:hAnsi="Arial"/>
                <w:sz w:val="13"/>
                <w:szCs w:val="13"/>
                <w:color w:val="auto"/>
              </w:rPr>
              <w:t>366,882</w:t>
            </w:r>
          </w:p>
        </w:tc>
        <w:tc>
          <w:tcPr>
            <w:tcW w:w="860" w:type="dxa"/>
            <w:vAlign w:val="bottom"/>
            <w:shd w:val="clear" w:color="auto" w:fill="ACABA7"/>
          </w:tcPr>
          <w:p>
            <w:pPr>
              <w:jc w:val="right"/>
              <w:ind w:right="16"/>
              <w:spacing w:after="0" w:line="140" w:lineRule="exact"/>
              <w:rPr>
                <w:sz w:val="20"/>
                <w:szCs w:val="20"/>
                <w:color w:val="auto"/>
              </w:rPr>
            </w:pPr>
            <w:r>
              <w:rPr>
                <w:rFonts w:ascii="Arial" w:cs="Arial" w:eastAsia="Arial" w:hAnsi="Arial"/>
                <w:sz w:val="13"/>
                <w:szCs w:val="13"/>
                <w:color w:val="auto"/>
              </w:rPr>
              <w:t>—</w:t>
            </w:r>
          </w:p>
        </w:tc>
        <w:tc>
          <w:tcPr>
            <w:tcW w:w="92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1480" w:type="dxa"/>
            <w:vAlign w:val="bottom"/>
            <w:shd w:val="clear" w:color="auto" w:fill="ACABA7"/>
          </w:tcPr>
          <w:p>
            <w:pPr>
              <w:spacing w:after="0"/>
              <w:rPr>
                <w:sz w:val="12"/>
                <w:szCs w:val="12"/>
                <w:color w:val="auto"/>
              </w:rPr>
            </w:pPr>
          </w:p>
        </w:tc>
        <w:tc>
          <w:tcPr>
            <w:tcW w:w="72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3/3/2017</w:t>
            </w:r>
          </w:p>
        </w:tc>
        <w:tc>
          <w:tcPr>
            <w:tcW w:w="1080" w:type="dxa"/>
            <w:vAlign w:val="bottom"/>
            <w:gridSpan w:val="2"/>
            <w:shd w:val="clear" w:color="auto" w:fill="ACABA7"/>
          </w:tcPr>
          <w:p>
            <w:pPr>
              <w:jc w:val="right"/>
              <w:spacing w:after="0" w:line="140" w:lineRule="exact"/>
              <w:rPr>
                <w:sz w:val="20"/>
                <w:szCs w:val="20"/>
                <w:color w:val="auto"/>
              </w:rPr>
            </w:pPr>
            <w:r>
              <w:rPr>
                <w:rFonts w:ascii="Arial" w:cs="Arial" w:eastAsia="Arial" w:hAnsi="Arial"/>
                <w:sz w:val="13"/>
                <w:szCs w:val="13"/>
                <w:color w:val="auto"/>
              </w:rPr>
              <w:t>12,120</w:t>
            </w:r>
          </w:p>
        </w:tc>
        <w:tc>
          <w:tcPr>
            <w:tcW w:w="1240" w:type="dxa"/>
            <w:vAlign w:val="bottom"/>
            <w:shd w:val="clear" w:color="auto" w:fill="ACABA7"/>
          </w:tcPr>
          <w:p>
            <w:pPr>
              <w:jc w:val="right"/>
              <w:ind w:right="76"/>
              <w:spacing w:after="0" w:line="140" w:lineRule="exact"/>
              <w:rPr>
                <w:sz w:val="20"/>
                <w:szCs w:val="20"/>
                <w:color w:val="auto"/>
              </w:rPr>
            </w:pPr>
            <w:r>
              <w:rPr>
                <w:rFonts w:ascii="Arial" w:cs="Arial" w:eastAsia="Arial" w:hAnsi="Arial"/>
                <w:sz w:val="13"/>
                <w:szCs w:val="13"/>
                <w:color w:val="auto"/>
              </w:rPr>
              <w:t>12,121</w:t>
            </w:r>
          </w:p>
        </w:tc>
        <w:tc>
          <w:tcPr>
            <w:tcW w:w="580" w:type="dxa"/>
            <w:vAlign w:val="bottom"/>
            <w:shd w:val="clear" w:color="auto" w:fill="ACABA7"/>
          </w:tcPr>
          <w:p>
            <w:pPr>
              <w:jc w:val="right"/>
              <w:ind w:right="36"/>
              <w:spacing w:after="0" w:line="140" w:lineRule="exact"/>
              <w:rPr>
                <w:sz w:val="20"/>
                <w:szCs w:val="20"/>
                <w:color w:val="auto"/>
              </w:rPr>
            </w:pPr>
            <w:r>
              <w:rPr>
                <w:rFonts w:ascii="Arial" w:cs="Arial" w:eastAsia="Arial" w:hAnsi="Arial"/>
                <w:sz w:val="13"/>
                <w:szCs w:val="13"/>
                <w:color w:val="auto"/>
              </w:rPr>
              <w:t>53.54</w:t>
            </w:r>
          </w:p>
        </w:tc>
        <w:tc>
          <w:tcPr>
            <w:tcW w:w="70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3/2/2024</w:t>
            </w:r>
          </w:p>
        </w:tc>
        <w:tc>
          <w:tcPr>
            <w:tcW w:w="180" w:type="dxa"/>
            <w:vAlign w:val="bottom"/>
            <w:shd w:val="clear" w:color="auto" w:fill="ACABA7"/>
          </w:tcPr>
          <w:p>
            <w:pPr>
              <w:spacing w:after="0"/>
              <w:rPr>
                <w:sz w:val="12"/>
                <w:szCs w:val="12"/>
                <w:color w:val="auto"/>
              </w:rPr>
            </w:pPr>
          </w:p>
        </w:tc>
        <w:tc>
          <w:tcPr>
            <w:tcW w:w="800" w:type="dxa"/>
            <w:vAlign w:val="bottom"/>
            <w:shd w:val="clear" w:color="auto" w:fill="ACABA7"/>
          </w:tcPr>
          <w:p>
            <w:pPr>
              <w:jc w:val="right"/>
              <w:ind w:right="16"/>
              <w:spacing w:after="0" w:line="140" w:lineRule="exact"/>
              <w:rPr>
                <w:sz w:val="20"/>
                <w:szCs w:val="20"/>
                <w:color w:val="auto"/>
              </w:rPr>
            </w:pPr>
            <w:r>
              <w:rPr>
                <w:rFonts w:ascii="Arial" w:cs="Arial" w:eastAsia="Arial" w:hAnsi="Arial"/>
                <w:sz w:val="13"/>
                <w:szCs w:val="13"/>
                <w:color w:val="auto"/>
              </w:rPr>
              <w:t>3/3/2017</w:t>
            </w:r>
          </w:p>
        </w:tc>
        <w:tc>
          <w:tcPr>
            <w:tcW w:w="900" w:type="dxa"/>
            <w:vAlign w:val="bottom"/>
            <w:shd w:val="clear" w:color="auto" w:fill="ACABA7"/>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920" w:type="dxa"/>
            <w:vAlign w:val="bottom"/>
            <w:shd w:val="clear" w:color="auto" w:fill="ACABA7"/>
          </w:tcPr>
          <w:p>
            <w:pPr>
              <w:jc w:val="right"/>
              <w:ind w:right="96"/>
              <w:spacing w:after="0" w:line="140" w:lineRule="exact"/>
              <w:rPr>
                <w:sz w:val="20"/>
                <w:szCs w:val="20"/>
                <w:color w:val="auto"/>
              </w:rPr>
            </w:pPr>
            <w:r>
              <w:rPr>
                <w:rFonts w:ascii="Arial" w:cs="Arial" w:eastAsia="Arial" w:hAnsi="Arial"/>
                <w:sz w:val="13"/>
                <w:szCs w:val="13"/>
                <w:color w:val="auto"/>
              </w:rPr>
              <w:t>—</w:t>
            </w:r>
          </w:p>
        </w:tc>
        <w:tc>
          <w:tcPr>
            <w:tcW w:w="860" w:type="dxa"/>
            <w:vAlign w:val="bottom"/>
            <w:shd w:val="clear" w:color="auto" w:fill="ACABA7"/>
          </w:tcPr>
          <w:p>
            <w:pPr>
              <w:jc w:val="right"/>
              <w:ind w:right="16"/>
              <w:spacing w:after="0" w:line="140" w:lineRule="exact"/>
              <w:rPr>
                <w:sz w:val="20"/>
                <w:szCs w:val="20"/>
                <w:color w:val="auto"/>
              </w:rPr>
            </w:pPr>
            <w:r>
              <w:rPr>
                <w:rFonts w:ascii="Arial" w:cs="Arial" w:eastAsia="Arial" w:hAnsi="Arial"/>
                <w:sz w:val="13"/>
                <w:szCs w:val="13"/>
                <w:color w:val="auto"/>
              </w:rPr>
              <w:t>12,293</w:t>
            </w:r>
          </w:p>
        </w:tc>
        <w:tc>
          <w:tcPr>
            <w:tcW w:w="92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1,222,908</w:t>
            </w:r>
          </w:p>
        </w:tc>
        <w:tc>
          <w:tcPr>
            <w:tcW w:w="0" w:type="dxa"/>
            <w:vAlign w:val="bottom"/>
          </w:tcPr>
          <w:p>
            <w:pPr>
              <w:spacing w:after="0"/>
              <w:rPr>
                <w:sz w:val="1"/>
                <w:szCs w:val="1"/>
                <w:color w:val="auto"/>
              </w:rPr>
            </w:pPr>
          </w:p>
        </w:tc>
      </w:tr>
      <w:tr>
        <w:trPr>
          <w:trHeight w:val="140"/>
        </w:trPr>
        <w:tc>
          <w:tcPr>
            <w:tcW w:w="1480" w:type="dxa"/>
            <w:vAlign w:val="bottom"/>
            <w:shd w:val="clear" w:color="auto" w:fill="ACABA7"/>
          </w:tcPr>
          <w:p>
            <w:pPr>
              <w:spacing w:after="0"/>
              <w:rPr>
                <w:sz w:val="12"/>
                <w:szCs w:val="12"/>
                <w:color w:val="auto"/>
              </w:rPr>
            </w:pPr>
          </w:p>
        </w:tc>
        <w:tc>
          <w:tcPr>
            <w:tcW w:w="72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3/2/2018</w:t>
            </w:r>
          </w:p>
        </w:tc>
        <w:tc>
          <w:tcPr>
            <w:tcW w:w="1080" w:type="dxa"/>
            <w:vAlign w:val="bottom"/>
            <w:gridSpan w:val="2"/>
            <w:shd w:val="clear" w:color="auto" w:fill="ACABA7"/>
          </w:tcPr>
          <w:p>
            <w:pPr>
              <w:jc w:val="right"/>
              <w:spacing w:after="0" w:line="140" w:lineRule="exact"/>
              <w:rPr>
                <w:sz w:val="20"/>
                <w:szCs w:val="20"/>
                <w:color w:val="auto"/>
              </w:rPr>
            </w:pPr>
            <w:r>
              <w:rPr>
                <w:rFonts w:ascii="Arial" w:cs="Arial" w:eastAsia="Arial" w:hAnsi="Arial"/>
                <w:sz w:val="13"/>
                <w:szCs w:val="13"/>
                <w:color w:val="auto"/>
              </w:rPr>
              <w:t>4,921</w:t>
            </w:r>
          </w:p>
        </w:tc>
        <w:tc>
          <w:tcPr>
            <w:tcW w:w="1240" w:type="dxa"/>
            <w:vAlign w:val="bottom"/>
            <w:shd w:val="clear" w:color="auto" w:fill="ACABA7"/>
          </w:tcPr>
          <w:p>
            <w:pPr>
              <w:jc w:val="right"/>
              <w:ind w:right="76"/>
              <w:spacing w:after="0" w:line="140" w:lineRule="exact"/>
              <w:rPr>
                <w:sz w:val="20"/>
                <w:szCs w:val="20"/>
                <w:color w:val="auto"/>
              </w:rPr>
            </w:pPr>
            <w:r>
              <w:rPr>
                <w:rFonts w:ascii="Arial" w:cs="Arial" w:eastAsia="Arial" w:hAnsi="Arial"/>
                <w:sz w:val="13"/>
                <w:szCs w:val="13"/>
                <w:color w:val="auto"/>
              </w:rPr>
              <w:t>14,763</w:t>
            </w:r>
          </w:p>
        </w:tc>
        <w:tc>
          <w:tcPr>
            <w:tcW w:w="580" w:type="dxa"/>
            <w:vAlign w:val="bottom"/>
            <w:shd w:val="clear" w:color="auto" w:fill="ACABA7"/>
          </w:tcPr>
          <w:p>
            <w:pPr>
              <w:jc w:val="right"/>
              <w:ind w:right="36"/>
              <w:spacing w:after="0" w:line="140" w:lineRule="exact"/>
              <w:rPr>
                <w:sz w:val="20"/>
                <w:szCs w:val="20"/>
                <w:color w:val="auto"/>
              </w:rPr>
            </w:pPr>
            <w:r>
              <w:rPr>
                <w:rFonts w:ascii="Arial" w:cs="Arial" w:eastAsia="Arial" w:hAnsi="Arial"/>
                <w:sz w:val="13"/>
                <w:szCs w:val="13"/>
                <w:color w:val="auto"/>
              </w:rPr>
              <w:t>63.76</w:t>
            </w:r>
          </w:p>
        </w:tc>
        <w:tc>
          <w:tcPr>
            <w:tcW w:w="70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3/1/2025</w:t>
            </w:r>
          </w:p>
        </w:tc>
        <w:tc>
          <w:tcPr>
            <w:tcW w:w="180" w:type="dxa"/>
            <w:vAlign w:val="bottom"/>
            <w:shd w:val="clear" w:color="auto" w:fill="ACABA7"/>
          </w:tcPr>
          <w:p>
            <w:pPr>
              <w:spacing w:after="0"/>
              <w:rPr>
                <w:sz w:val="12"/>
                <w:szCs w:val="12"/>
                <w:color w:val="auto"/>
              </w:rPr>
            </w:pPr>
          </w:p>
        </w:tc>
        <w:tc>
          <w:tcPr>
            <w:tcW w:w="800" w:type="dxa"/>
            <w:vAlign w:val="bottom"/>
            <w:shd w:val="clear" w:color="auto" w:fill="ACABA7"/>
          </w:tcPr>
          <w:p>
            <w:pPr>
              <w:jc w:val="right"/>
              <w:ind w:right="16"/>
              <w:spacing w:after="0" w:line="140" w:lineRule="exact"/>
              <w:rPr>
                <w:sz w:val="20"/>
                <w:szCs w:val="20"/>
                <w:color w:val="auto"/>
              </w:rPr>
            </w:pPr>
            <w:r>
              <w:rPr>
                <w:rFonts w:ascii="Arial" w:cs="Arial" w:eastAsia="Arial" w:hAnsi="Arial"/>
                <w:sz w:val="13"/>
                <w:szCs w:val="13"/>
                <w:color w:val="auto"/>
              </w:rPr>
              <w:t>3/2/2018</w:t>
            </w:r>
          </w:p>
        </w:tc>
        <w:tc>
          <w:tcPr>
            <w:tcW w:w="900" w:type="dxa"/>
            <w:vAlign w:val="bottom"/>
            <w:shd w:val="clear" w:color="auto" w:fill="ACABA7"/>
          </w:tcPr>
          <w:p>
            <w:pPr>
              <w:jc w:val="right"/>
              <w:ind w:right="17"/>
              <w:spacing w:after="0" w:line="140" w:lineRule="exact"/>
              <w:rPr>
                <w:sz w:val="20"/>
                <w:szCs w:val="20"/>
                <w:color w:val="auto"/>
              </w:rPr>
            </w:pPr>
            <w:r>
              <w:rPr>
                <w:rFonts w:ascii="Arial" w:cs="Arial" w:eastAsia="Arial" w:hAnsi="Arial"/>
                <w:sz w:val="13"/>
                <w:szCs w:val="13"/>
                <w:color w:val="auto"/>
              </w:rPr>
              <w:t>4,884</w:t>
            </w:r>
          </w:p>
        </w:tc>
        <w:tc>
          <w:tcPr>
            <w:tcW w:w="920" w:type="dxa"/>
            <w:vAlign w:val="bottom"/>
            <w:shd w:val="clear" w:color="auto" w:fill="ACABA7"/>
          </w:tcPr>
          <w:p>
            <w:pPr>
              <w:jc w:val="right"/>
              <w:ind w:right="96"/>
              <w:spacing w:after="0" w:line="140" w:lineRule="exact"/>
              <w:rPr>
                <w:sz w:val="20"/>
                <w:szCs w:val="20"/>
                <w:color w:val="auto"/>
              </w:rPr>
            </w:pPr>
            <w:r>
              <w:rPr>
                <w:rFonts w:ascii="Arial" w:cs="Arial" w:eastAsia="Arial" w:hAnsi="Arial"/>
                <w:sz w:val="13"/>
                <w:szCs w:val="13"/>
                <w:color w:val="auto"/>
              </w:rPr>
              <w:t>485,860</w:t>
            </w:r>
          </w:p>
        </w:tc>
        <w:tc>
          <w:tcPr>
            <w:tcW w:w="860" w:type="dxa"/>
            <w:vAlign w:val="bottom"/>
            <w:shd w:val="clear" w:color="auto" w:fill="ACABA7"/>
          </w:tcPr>
          <w:p>
            <w:pPr>
              <w:jc w:val="right"/>
              <w:ind w:right="16"/>
              <w:spacing w:after="0" w:line="140" w:lineRule="exact"/>
              <w:rPr>
                <w:sz w:val="20"/>
                <w:szCs w:val="20"/>
                <w:color w:val="auto"/>
              </w:rPr>
            </w:pPr>
            <w:r>
              <w:rPr>
                <w:rFonts w:ascii="Arial" w:cs="Arial" w:eastAsia="Arial" w:hAnsi="Arial"/>
                <w:sz w:val="13"/>
                <w:szCs w:val="13"/>
                <w:color w:val="auto"/>
              </w:rPr>
              <w:t>—</w:t>
            </w:r>
          </w:p>
        </w:tc>
        <w:tc>
          <w:tcPr>
            <w:tcW w:w="92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1480" w:type="dxa"/>
            <w:vAlign w:val="bottom"/>
            <w:shd w:val="clear" w:color="auto" w:fill="ACABA7"/>
          </w:tcPr>
          <w:p>
            <w:pPr>
              <w:spacing w:after="0"/>
              <w:rPr>
                <w:sz w:val="12"/>
                <w:szCs w:val="12"/>
                <w:color w:val="auto"/>
              </w:rPr>
            </w:pPr>
          </w:p>
        </w:tc>
        <w:tc>
          <w:tcPr>
            <w:tcW w:w="72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3/8/2019</w:t>
            </w:r>
          </w:p>
        </w:tc>
        <w:tc>
          <w:tcPr>
            <w:tcW w:w="20" w:type="dxa"/>
            <w:vAlign w:val="bottom"/>
            <w:shd w:val="clear" w:color="auto" w:fill="ACABA7"/>
          </w:tcPr>
          <w:p>
            <w:pPr>
              <w:spacing w:after="0"/>
              <w:rPr>
                <w:sz w:val="12"/>
                <w:szCs w:val="12"/>
                <w:color w:val="auto"/>
              </w:rPr>
            </w:pPr>
          </w:p>
        </w:tc>
        <w:tc>
          <w:tcPr>
            <w:tcW w:w="106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w:t>
            </w:r>
          </w:p>
        </w:tc>
        <w:tc>
          <w:tcPr>
            <w:tcW w:w="1240" w:type="dxa"/>
            <w:vAlign w:val="bottom"/>
            <w:shd w:val="clear" w:color="auto" w:fill="ACABA7"/>
          </w:tcPr>
          <w:p>
            <w:pPr>
              <w:jc w:val="right"/>
              <w:ind w:right="76"/>
              <w:spacing w:after="0" w:line="140" w:lineRule="exact"/>
              <w:rPr>
                <w:sz w:val="20"/>
                <w:szCs w:val="20"/>
                <w:color w:val="auto"/>
              </w:rPr>
            </w:pPr>
            <w:r>
              <w:rPr>
                <w:rFonts w:ascii="Arial" w:cs="Arial" w:eastAsia="Arial" w:hAnsi="Arial"/>
                <w:sz w:val="13"/>
                <w:szCs w:val="13"/>
                <w:color w:val="auto"/>
              </w:rPr>
              <w:t>28,095</w:t>
            </w:r>
          </w:p>
        </w:tc>
        <w:tc>
          <w:tcPr>
            <w:tcW w:w="580" w:type="dxa"/>
            <w:vAlign w:val="bottom"/>
            <w:shd w:val="clear" w:color="auto" w:fill="ACABA7"/>
          </w:tcPr>
          <w:p>
            <w:pPr>
              <w:jc w:val="right"/>
              <w:ind w:right="36"/>
              <w:spacing w:after="0" w:line="140" w:lineRule="exact"/>
              <w:rPr>
                <w:sz w:val="20"/>
                <w:szCs w:val="20"/>
                <w:color w:val="auto"/>
              </w:rPr>
            </w:pPr>
            <w:r>
              <w:rPr>
                <w:rFonts w:ascii="Arial" w:cs="Arial" w:eastAsia="Arial" w:hAnsi="Arial"/>
                <w:sz w:val="13"/>
                <w:szCs w:val="13"/>
                <w:color w:val="auto"/>
              </w:rPr>
              <w:t>62.43</w:t>
            </w:r>
          </w:p>
        </w:tc>
        <w:tc>
          <w:tcPr>
            <w:tcW w:w="70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3/7/2026</w:t>
            </w:r>
          </w:p>
        </w:tc>
        <w:tc>
          <w:tcPr>
            <w:tcW w:w="180" w:type="dxa"/>
            <w:vAlign w:val="bottom"/>
            <w:shd w:val="clear" w:color="auto" w:fill="ACABA7"/>
          </w:tcPr>
          <w:p>
            <w:pPr>
              <w:spacing w:after="0"/>
              <w:rPr>
                <w:sz w:val="12"/>
                <w:szCs w:val="12"/>
                <w:color w:val="auto"/>
              </w:rPr>
            </w:pPr>
          </w:p>
        </w:tc>
        <w:tc>
          <w:tcPr>
            <w:tcW w:w="800" w:type="dxa"/>
            <w:vAlign w:val="bottom"/>
            <w:shd w:val="clear" w:color="auto" w:fill="ACABA7"/>
          </w:tcPr>
          <w:p>
            <w:pPr>
              <w:jc w:val="right"/>
              <w:ind w:right="16"/>
              <w:spacing w:after="0" w:line="140" w:lineRule="exact"/>
              <w:rPr>
                <w:sz w:val="20"/>
                <w:szCs w:val="20"/>
                <w:color w:val="auto"/>
              </w:rPr>
            </w:pPr>
            <w:r>
              <w:rPr>
                <w:rFonts w:ascii="Arial" w:cs="Arial" w:eastAsia="Arial" w:hAnsi="Arial"/>
                <w:sz w:val="13"/>
                <w:szCs w:val="13"/>
                <w:color w:val="auto"/>
              </w:rPr>
              <w:t>3/2/2018</w:t>
            </w:r>
          </w:p>
        </w:tc>
        <w:tc>
          <w:tcPr>
            <w:tcW w:w="900" w:type="dxa"/>
            <w:vAlign w:val="bottom"/>
            <w:shd w:val="clear" w:color="auto" w:fill="ACABA7"/>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920" w:type="dxa"/>
            <w:vAlign w:val="bottom"/>
            <w:shd w:val="clear" w:color="auto" w:fill="ACABA7"/>
          </w:tcPr>
          <w:p>
            <w:pPr>
              <w:jc w:val="right"/>
              <w:ind w:right="96"/>
              <w:spacing w:after="0" w:line="140" w:lineRule="exact"/>
              <w:rPr>
                <w:sz w:val="20"/>
                <w:szCs w:val="20"/>
                <w:color w:val="auto"/>
              </w:rPr>
            </w:pPr>
            <w:r>
              <w:rPr>
                <w:rFonts w:ascii="Arial" w:cs="Arial" w:eastAsia="Arial" w:hAnsi="Arial"/>
                <w:sz w:val="13"/>
                <w:szCs w:val="13"/>
                <w:color w:val="auto"/>
              </w:rPr>
              <w:t>—</w:t>
            </w:r>
          </w:p>
        </w:tc>
        <w:tc>
          <w:tcPr>
            <w:tcW w:w="860" w:type="dxa"/>
            <w:vAlign w:val="bottom"/>
            <w:shd w:val="clear" w:color="auto" w:fill="ACABA7"/>
          </w:tcPr>
          <w:p>
            <w:pPr>
              <w:jc w:val="right"/>
              <w:ind w:right="16"/>
              <w:spacing w:after="0" w:line="140" w:lineRule="exact"/>
              <w:rPr>
                <w:sz w:val="20"/>
                <w:szCs w:val="20"/>
                <w:color w:val="auto"/>
              </w:rPr>
            </w:pPr>
            <w:r>
              <w:rPr>
                <w:rFonts w:ascii="Arial" w:cs="Arial" w:eastAsia="Arial" w:hAnsi="Arial"/>
                <w:sz w:val="13"/>
                <w:szCs w:val="13"/>
                <w:color w:val="auto"/>
              </w:rPr>
              <w:t>10,852</w:t>
            </w:r>
          </w:p>
        </w:tc>
        <w:tc>
          <w:tcPr>
            <w:tcW w:w="92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1,079,557</w:t>
            </w:r>
          </w:p>
        </w:tc>
        <w:tc>
          <w:tcPr>
            <w:tcW w:w="0" w:type="dxa"/>
            <w:vAlign w:val="bottom"/>
          </w:tcPr>
          <w:p>
            <w:pPr>
              <w:spacing w:after="0"/>
              <w:rPr>
                <w:sz w:val="1"/>
                <w:szCs w:val="1"/>
                <w:color w:val="auto"/>
              </w:rPr>
            </w:pPr>
          </w:p>
        </w:tc>
      </w:tr>
      <w:tr>
        <w:trPr>
          <w:trHeight w:val="140"/>
        </w:trPr>
        <w:tc>
          <w:tcPr>
            <w:tcW w:w="1480" w:type="dxa"/>
            <w:vAlign w:val="bottom"/>
            <w:shd w:val="clear" w:color="auto" w:fill="ACABA7"/>
          </w:tcPr>
          <w:p>
            <w:pPr>
              <w:spacing w:after="0"/>
              <w:rPr>
                <w:sz w:val="12"/>
                <w:szCs w:val="12"/>
                <w:color w:val="auto"/>
              </w:rPr>
            </w:pPr>
          </w:p>
        </w:tc>
        <w:tc>
          <w:tcPr>
            <w:tcW w:w="72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w:t>
            </w:r>
          </w:p>
        </w:tc>
        <w:tc>
          <w:tcPr>
            <w:tcW w:w="20" w:type="dxa"/>
            <w:vAlign w:val="bottom"/>
            <w:shd w:val="clear" w:color="auto" w:fill="ACABA7"/>
          </w:tcPr>
          <w:p>
            <w:pPr>
              <w:spacing w:after="0"/>
              <w:rPr>
                <w:sz w:val="12"/>
                <w:szCs w:val="12"/>
                <w:color w:val="auto"/>
              </w:rPr>
            </w:pPr>
          </w:p>
        </w:tc>
        <w:tc>
          <w:tcPr>
            <w:tcW w:w="106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w:t>
            </w:r>
          </w:p>
        </w:tc>
        <w:tc>
          <w:tcPr>
            <w:tcW w:w="1240" w:type="dxa"/>
            <w:vAlign w:val="bottom"/>
            <w:shd w:val="clear" w:color="auto" w:fill="ACABA7"/>
          </w:tcPr>
          <w:p>
            <w:pPr>
              <w:jc w:val="right"/>
              <w:ind w:right="76"/>
              <w:spacing w:after="0" w:line="140" w:lineRule="exact"/>
              <w:rPr>
                <w:sz w:val="20"/>
                <w:szCs w:val="20"/>
                <w:color w:val="auto"/>
              </w:rPr>
            </w:pPr>
            <w:r>
              <w:rPr>
                <w:rFonts w:ascii="Arial" w:cs="Arial" w:eastAsia="Arial" w:hAnsi="Arial"/>
                <w:sz w:val="13"/>
                <w:szCs w:val="13"/>
                <w:color w:val="auto"/>
              </w:rPr>
              <w:t>—</w:t>
            </w:r>
          </w:p>
        </w:tc>
        <w:tc>
          <w:tcPr>
            <w:tcW w:w="580" w:type="dxa"/>
            <w:vAlign w:val="bottom"/>
            <w:shd w:val="clear" w:color="auto" w:fill="ACABA7"/>
          </w:tcPr>
          <w:p>
            <w:pPr>
              <w:jc w:val="right"/>
              <w:ind w:right="36"/>
              <w:spacing w:after="0" w:line="140"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ACABA7"/>
          </w:tcPr>
          <w:p>
            <w:pPr>
              <w:jc w:val="right"/>
              <w:ind w:right="220"/>
              <w:spacing w:after="0" w:line="140" w:lineRule="exact"/>
              <w:rPr>
                <w:sz w:val="20"/>
                <w:szCs w:val="20"/>
                <w:color w:val="auto"/>
              </w:rPr>
            </w:pPr>
            <w:r>
              <w:rPr>
                <w:rFonts w:ascii="Arial" w:cs="Arial" w:eastAsia="Arial" w:hAnsi="Arial"/>
                <w:sz w:val="13"/>
                <w:szCs w:val="13"/>
                <w:color w:val="auto"/>
              </w:rPr>
              <w:t>—</w:t>
            </w:r>
          </w:p>
        </w:tc>
        <w:tc>
          <w:tcPr>
            <w:tcW w:w="800" w:type="dxa"/>
            <w:vAlign w:val="bottom"/>
            <w:shd w:val="clear" w:color="auto" w:fill="ACABA7"/>
          </w:tcPr>
          <w:p>
            <w:pPr>
              <w:jc w:val="right"/>
              <w:ind w:right="16"/>
              <w:spacing w:after="0" w:line="140" w:lineRule="exact"/>
              <w:rPr>
                <w:sz w:val="20"/>
                <w:szCs w:val="20"/>
                <w:color w:val="auto"/>
              </w:rPr>
            </w:pPr>
            <w:r>
              <w:rPr>
                <w:rFonts w:ascii="Arial" w:cs="Arial" w:eastAsia="Arial" w:hAnsi="Arial"/>
                <w:sz w:val="13"/>
                <w:szCs w:val="13"/>
                <w:color w:val="auto"/>
              </w:rPr>
              <w:t>3/8/2019</w:t>
            </w:r>
          </w:p>
        </w:tc>
        <w:tc>
          <w:tcPr>
            <w:tcW w:w="900" w:type="dxa"/>
            <w:vAlign w:val="bottom"/>
            <w:shd w:val="clear" w:color="auto" w:fill="ACABA7"/>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920" w:type="dxa"/>
            <w:vAlign w:val="bottom"/>
            <w:shd w:val="clear" w:color="auto" w:fill="ACABA7"/>
          </w:tcPr>
          <w:p>
            <w:pPr>
              <w:jc w:val="right"/>
              <w:ind w:right="96"/>
              <w:spacing w:after="0" w:line="140" w:lineRule="exact"/>
              <w:rPr>
                <w:sz w:val="20"/>
                <w:szCs w:val="20"/>
                <w:color w:val="auto"/>
              </w:rPr>
            </w:pPr>
            <w:r>
              <w:rPr>
                <w:rFonts w:ascii="Arial" w:cs="Arial" w:eastAsia="Arial" w:hAnsi="Arial"/>
                <w:sz w:val="13"/>
                <w:szCs w:val="13"/>
                <w:color w:val="auto"/>
              </w:rPr>
              <w:t>—</w:t>
            </w:r>
          </w:p>
        </w:tc>
        <w:tc>
          <w:tcPr>
            <w:tcW w:w="860" w:type="dxa"/>
            <w:vAlign w:val="bottom"/>
            <w:shd w:val="clear" w:color="auto" w:fill="ACABA7"/>
          </w:tcPr>
          <w:p>
            <w:pPr>
              <w:jc w:val="right"/>
              <w:ind w:right="16"/>
              <w:spacing w:after="0" w:line="140" w:lineRule="exact"/>
              <w:rPr>
                <w:sz w:val="20"/>
                <w:szCs w:val="20"/>
                <w:color w:val="auto"/>
              </w:rPr>
            </w:pPr>
            <w:r>
              <w:rPr>
                <w:rFonts w:ascii="Arial" w:cs="Arial" w:eastAsia="Arial" w:hAnsi="Arial"/>
                <w:sz w:val="13"/>
                <w:szCs w:val="13"/>
                <w:color w:val="auto"/>
              </w:rPr>
              <w:t>7,689</w:t>
            </w:r>
          </w:p>
        </w:tc>
        <w:tc>
          <w:tcPr>
            <w:tcW w:w="92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764,902</w:t>
            </w:r>
          </w:p>
        </w:tc>
        <w:tc>
          <w:tcPr>
            <w:tcW w:w="0" w:type="dxa"/>
            <w:vAlign w:val="bottom"/>
          </w:tcPr>
          <w:p>
            <w:pPr>
              <w:spacing w:after="0"/>
              <w:rPr>
                <w:sz w:val="1"/>
                <w:szCs w:val="1"/>
                <w:color w:val="auto"/>
              </w:rPr>
            </w:pPr>
          </w:p>
        </w:tc>
      </w:tr>
      <w:tr>
        <w:trPr>
          <w:trHeight w:val="140"/>
        </w:trPr>
        <w:tc>
          <w:tcPr>
            <w:tcW w:w="1480" w:type="dxa"/>
            <w:vAlign w:val="bottom"/>
            <w:shd w:val="clear" w:color="auto" w:fill="ACABA7"/>
          </w:tcPr>
          <w:p>
            <w:pPr>
              <w:spacing w:after="0"/>
              <w:rPr>
                <w:sz w:val="12"/>
                <w:szCs w:val="12"/>
                <w:color w:val="auto"/>
              </w:rPr>
            </w:pPr>
          </w:p>
        </w:tc>
        <w:tc>
          <w:tcPr>
            <w:tcW w:w="720" w:type="dxa"/>
            <w:vAlign w:val="bottom"/>
            <w:shd w:val="clear" w:color="auto" w:fill="ACABA7"/>
          </w:tcPr>
          <w:p>
            <w:pPr>
              <w:jc w:val="right"/>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ACABA7"/>
          </w:tcPr>
          <w:p>
            <w:pPr>
              <w:spacing w:after="0"/>
              <w:rPr>
                <w:sz w:val="12"/>
                <w:szCs w:val="12"/>
                <w:color w:val="auto"/>
              </w:rPr>
            </w:pPr>
          </w:p>
        </w:tc>
        <w:tc>
          <w:tcPr>
            <w:tcW w:w="1060" w:type="dxa"/>
            <w:vAlign w:val="bottom"/>
            <w:shd w:val="clear" w:color="auto" w:fill="ACABA7"/>
          </w:tcPr>
          <w:p>
            <w:pPr>
              <w:jc w:val="right"/>
              <w:spacing w:after="0" w:line="141" w:lineRule="exact"/>
              <w:rPr>
                <w:sz w:val="20"/>
                <w:szCs w:val="20"/>
                <w:color w:val="auto"/>
              </w:rPr>
            </w:pPr>
            <w:r>
              <w:rPr>
                <w:rFonts w:ascii="Arial" w:cs="Arial" w:eastAsia="Arial" w:hAnsi="Arial"/>
                <w:sz w:val="13"/>
                <w:szCs w:val="13"/>
                <w:color w:val="auto"/>
              </w:rPr>
              <w:t>—</w:t>
            </w:r>
          </w:p>
        </w:tc>
        <w:tc>
          <w:tcPr>
            <w:tcW w:w="1240" w:type="dxa"/>
            <w:vAlign w:val="bottom"/>
            <w:shd w:val="clear" w:color="auto" w:fill="ACABA7"/>
          </w:tcPr>
          <w:p>
            <w:pPr>
              <w:jc w:val="right"/>
              <w:ind w:right="76"/>
              <w:spacing w:after="0" w:line="141" w:lineRule="exact"/>
              <w:rPr>
                <w:sz w:val="20"/>
                <w:szCs w:val="20"/>
                <w:color w:val="auto"/>
              </w:rPr>
            </w:pPr>
            <w:r>
              <w:rPr>
                <w:rFonts w:ascii="Arial" w:cs="Arial" w:eastAsia="Arial" w:hAnsi="Arial"/>
                <w:sz w:val="13"/>
                <w:szCs w:val="13"/>
                <w:color w:val="auto"/>
              </w:rPr>
              <w:t>—</w:t>
            </w:r>
          </w:p>
        </w:tc>
        <w:tc>
          <w:tcPr>
            <w:tcW w:w="580" w:type="dxa"/>
            <w:vAlign w:val="bottom"/>
            <w:shd w:val="clear" w:color="auto" w:fill="ACABA7"/>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ACABA7"/>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800" w:type="dxa"/>
            <w:vAlign w:val="bottom"/>
            <w:shd w:val="clear" w:color="auto" w:fill="ACABA7"/>
          </w:tcPr>
          <w:p>
            <w:pPr>
              <w:jc w:val="right"/>
              <w:ind w:right="16"/>
              <w:spacing w:after="0" w:line="141" w:lineRule="exact"/>
              <w:rPr>
                <w:sz w:val="20"/>
                <w:szCs w:val="20"/>
                <w:color w:val="auto"/>
              </w:rPr>
            </w:pPr>
            <w:r>
              <w:rPr>
                <w:rFonts w:ascii="Arial" w:cs="Arial" w:eastAsia="Arial" w:hAnsi="Arial"/>
                <w:sz w:val="13"/>
                <w:szCs w:val="13"/>
                <w:color w:val="auto"/>
              </w:rPr>
              <w:t>3/8/2019</w:t>
            </w:r>
          </w:p>
        </w:tc>
        <w:tc>
          <w:tcPr>
            <w:tcW w:w="900" w:type="dxa"/>
            <w:vAlign w:val="bottom"/>
            <w:shd w:val="clear" w:color="auto" w:fill="ACABA7"/>
          </w:tcPr>
          <w:p>
            <w:pPr>
              <w:jc w:val="right"/>
              <w:ind w:right="17"/>
              <w:spacing w:after="0" w:line="141" w:lineRule="exact"/>
              <w:rPr>
                <w:sz w:val="20"/>
                <w:szCs w:val="20"/>
                <w:color w:val="auto"/>
              </w:rPr>
            </w:pPr>
            <w:r>
              <w:rPr>
                <w:rFonts w:ascii="Arial" w:cs="Arial" w:eastAsia="Arial" w:hAnsi="Arial"/>
                <w:sz w:val="13"/>
                <w:szCs w:val="13"/>
                <w:color w:val="auto"/>
              </w:rPr>
              <w:t>—</w:t>
            </w:r>
          </w:p>
        </w:tc>
        <w:tc>
          <w:tcPr>
            <w:tcW w:w="920" w:type="dxa"/>
            <w:vAlign w:val="bottom"/>
            <w:shd w:val="clear" w:color="auto" w:fill="ACABA7"/>
          </w:tcPr>
          <w:p>
            <w:pPr>
              <w:jc w:val="right"/>
              <w:ind w:right="96"/>
              <w:spacing w:after="0" w:line="141" w:lineRule="exact"/>
              <w:rPr>
                <w:sz w:val="20"/>
                <w:szCs w:val="20"/>
                <w:color w:val="auto"/>
              </w:rPr>
            </w:pPr>
            <w:r>
              <w:rPr>
                <w:rFonts w:ascii="Arial" w:cs="Arial" w:eastAsia="Arial" w:hAnsi="Arial"/>
                <w:sz w:val="13"/>
                <w:szCs w:val="13"/>
                <w:color w:val="auto"/>
              </w:rPr>
              <w:t>—</w:t>
            </w:r>
          </w:p>
        </w:tc>
        <w:tc>
          <w:tcPr>
            <w:tcW w:w="860" w:type="dxa"/>
            <w:vAlign w:val="bottom"/>
            <w:shd w:val="clear" w:color="auto" w:fill="ACABA7"/>
          </w:tcPr>
          <w:p>
            <w:pPr>
              <w:jc w:val="right"/>
              <w:ind w:right="16"/>
              <w:spacing w:after="0" w:line="141" w:lineRule="exact"/>
              <w:rPr>
                <w:sz w:val="20"/>
                <w:szCs w:val="20"/>
                <w:color w:val="auto"/>
              </w:rPr>
            </w:pPr>
            <w:r>
              <w:rPr>
                <w:rFonts w:ascii="Arial" w:cs="Arial" w:eastAsia="Arial" w:hAnsi="Arial"/>
                <w:sz w:val="13"/>
                <w:szCs w:val="13"/>
                <w:color w:val="auto"/>
              </w:rPr>
              <w:t>12,815</w:t>
            </w:r>
          </w:p>
        </w:tc>
        <w:tc>
          <w:tcPr>
            <w:tcW w:w="920" w:type="dxa"/>
            <w:vAlign w:val="bottom"/>
            <w:shd w:val="clear" w:color="auto" w:fill="ACABA7"/>
          </w:tcPr>
          <w:p>
            <w:pPr>
              <w:jc w:val="right"/>
              <w:spacing w:after="0" w:line="141" w:lineRule="exact"/>
              <w:rPr>
                <w:sz w:val="20"/>
                <w:szCs w:val="20"/>
                <w:color w:val="auto"/>
              </w:rPr>
            </w:pPr>
            <w:r>
              <w:rPr>
                <w:rFonts w:ascii="Arial" w:cs="Arial" w:eastAsia="Arial" w:hAnsi="Arial"/>
                <w:sz w:val="13"/>
                <w:szCs w:val="13"/>
                <w:color w:val="auto"/>
              </w:rPr>
              <w:t>1,274,836</w:t>
            </w:r>
          </w:p>
        </w:tc>
        <w:tc>
          <w:tcPr>
            <w:tcW w:w="0" w:type="dxa"/>
            <w:vAlign w:val="bottom"/>
          </w:tcPr>
          <w:p>
            <w:pPr>
              <w:spacing w:after="0"/>
              <w:rPr>
                <w:sz w:val="1"/>
                <w:szCs w:val="1"/>
                <w:color w:val="auto"/>
              </w:rPr>
            </w:pPr>
          </w:p>
        </w:tc>
      </w:tr>
      <w:tr>
        <w:trPr>
          <w:trHeight w:val="139"/>
        </w:trPr>
        <w:tc>
          <w:tcPr>
            <w:tcW w:w="1480" w:type="dxa"/>
            <w:vAlign w:val="bottom"/>
          </w:tcPr>
          <w:p>
            <w:pPr>
              <w:spacing w:after="0" w:line="139" w:lineRule="exact"/>
              <w:rPr>
                <w:sz w:val="20"/>
                <w:szCs w:val="20"/>
                <w:color w:val="auto"/>
              </w:rPr>
            </w:pPr>
            <w:r>
              <w:rPr>
                <w:rFonts w:ascii="Arial" w:cs="Arial" w:eastAsia="Arial" w:hAnsi="Arial"/>
                <w:sz w:val="13"/>
                <w:szCs w:val="13"/>
                <w:color w:val="auto"/>
              </w:rPr>
              <w:t>Mr. Scholl</w:t>
            </w:r>
          </w:p>
        </w:tc>
        <w:tc>
          <w:tcPr>
            <w:tcW w:w="720" w:type="dxa"/>
            <w:vAlign w:val="bottom"/>
          </w:tcPr>
          <w:p>
            <w:pPr>
              <w:jc w:val="right"/>
              <w:spacing w:after="0" w:line="139" w:lineRule="exact"/>
              <w:rPr>
                <w:sz w:val="20"/>
                <w:szCs w:val="20"/>
                <w:color w:val="auto"/>
              </w:rPr>
            </w:pPr>
            <w:r>
              <w:rPr>
                <w:rFonts w:ascii="Arial" w:cs="Arial" w:eastAsia="Arial" w:hAnsi="Arial"/>
                <w:sz w:val="13"/>
                <w:szCs w:val="13"/>
                <w:color w:val="auto"/>
              </w:rPr>
              <w:t>9/11/2015</w:t>
            </w:r>
          </w:p>
        </w:tc>
        <w:tc>
          <w:tcPr>
            <w:tcW w:w="20" w:type="dxa"/>
            <w:vAlign w:val="bottom"/>
          </w:tcPr>
          <w:p>
            <w:pPr>
              <w:spacing w:after="0"/>
              <w:rPr>
                <w:sz w:val="12"/>
                <w:szCs w:val="12"/>
                <w:color w:val="auto"/>
              </w:rPr>
            </w:pPr>
          </w:p>
        </w:tc>
        <w:tc>
          <w:tcPr>
            <w:tcW w:w="1060" w:type="dxa"/>
            <w:vAlign w:val="bottom"/>
          </w:tcPr>
          <w:p>
            <w:pPr>
              <w:jc w:val="right"/>
              <w:spacing w:after="0" w:line="139" w:lineRule="exact"/>
              <w:rPr>
                <w:sz w:val="20"/>
                <w:szCs w:val="20"/>
                <w:color w:val="auto"/>
              </w:rPr>
            </w:pPr>
            <w:r>
              <w:rPr>
                <w:rFonts w:ascii="Arial" w:cs="Arial" w:eastAsia="Arial" w:hAnsi="Arial"/>
                <w:sz w:val="13"/>
                <w:szCs w:val="13"/>
                <w:color w:val="auto"/>
              </w:rPr>
              <w:t>35,777</w:t>
            </w:r>
          </w:p>
        </w:tc>
        <w:tc>
          <w:tcPr>
            <w:tcW w:w="1240" w:type="dxa"/>
            <w:vAlign w:val="bottom"/>
          </w:tcPr>
          <w:p>
            <w:pPr>
              <w:jc w:val="right"/>
              <w:ind w:right="76"/>
              <w:spacing w:after="0" w:line="139"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36"/>
              <w:spacing w:after="0" w:line="139" w:lineRule="exact"/>
              <w:rPr>
                <w:sz w:val="20"/>
                <w:szCs w:val="20"/>
                <w:color w:val="auto"/>
              </w:rPr>
            </w:pPr>
            <w:r>
              <w:rPr>
                <w:rFonts w:ascii="Arial" w:cs="Arial" w:eastAsia="Arial" w:hAnsi="Arial"/>
                <w:sz w:val="13"/>
                <w:szCs w:val="13"/>
                <w:color w:val="auto"/>
              </w:rPr>
              <w:t>31.26</w:t>
            </w:r>
          </w:p>
        </w:tc>
        <w:tc>
          <w:tcPr>
            <w:tcW w:w="700" w:type="dxa"/>
            <w:vAlign w:val="bottom"/>
          </w:tcPr>
          <w:p>
            <w:pPr>
              <w:jc w:val="right"/>
              <w:spacing w:after="0" w:line="139" w:lineRule="exact"/>
              <w:rPr>
                <w:sz w:val="20"/>
                <w:szCs w:val="20"/>
                <w:color w:val="auto"/>
              </w:rPr>
            </w:pPr>
            <w:r>
              <w:rPr>
                <w:rFonts w:ascii="Arial" w:cs="Arial" w:eastAsia="Arial" w:hAnsi="Arial"/>
                <w:sz w:val="13"/>
                <w:szCs w:val="13"/>
                <w:color w:val="auto"/>
              </w:rPr>
              <w:t>9/10/2022</w:t>
            </w:r>
          </w:p>
        </w:tc>
        <w:tc>
          <w:tcPr>
            <w:tcW w:w="180" w:type="dxa"/>
            <w:vAlign w:val="bottom"/>
          </w:tcPr>
          <w:p>
            <w:pPr>
              <w:spacing w:after="0"/>
              <w:rPr>
                <w:sz w:val="12"/>
                <w:szCs w:val="12"/>
                <w:color w:val="auto"/>
              </w:rPr>
            </w:pPr>
          </w:p>
        </w:tc>
        <w:tc>
          <w:tcPr>
            <w:tcW w:w="800" w:type="dxa"/>
            <w:vAlign w:val="bottom"/>
          </w:tcPr>
          <w:p>
            <w:pPr>
              <w:jc w:val="right"/>
              <w:ind w:right="16"/>
              <w:spacing w:after="0" w:line="139" w:lineRule="exact"/>
              <w:rPr>
                <w:sz w:val="20"/>
                <w:szCs w:val="20"/>
                <w:color w:val="auto"/>
              </w:rPr>
            </w:pPr>
            <w:r>
              <w:rPr>
                <w:rFonts w:ascii="Arial" w:cs="Arial" w:eastAsia="Arial" w:hAnsi="Arial"/>
                <w:sz w:val="13"/>
                <w:szCs w:val="13"/>
                <w:color w:val="auto"/>
              </w:rPr>
              <w:t>3/4/2016</w:t>
            </w:r>
          </w:p>
        </w:tc>
        <w:tc>
          <w:tcPr>
            <w:tcW w:w="900" w:type="dxa"/>
            <w:vAlign w:val="bottom"/>
          </w:tcPr>
          <w:p>
            <w:pPr>
              <w:jc w:val="right"/>
              <w:ind w:right="17"/>
              <w:spacing w:after="0" w:line="139" w:lineRule="exact"/>
              <w:rPr>
                <w:sz w:val="20"/>
                <w:szCs w:val="20"/>
                <w:color w:val="auto"/>
              </w:rPr>
            </w:pPr>
            <w:r>
              <w:rPr>
                <w:rFonts w:ascii="Arial" w:cs="Arial" w:eastAsia="Arial" w:hAnsi="Arial"/>
                <w:sz w:val="13"/>
                <w:szCs w:val="13"/>
                <w:color w:val="auto"/>
              </w:rPr>
              <w:t>1,312</w:t>
            </w:r>
          </w:p>
        </w:tc>
        <w:tc>
          <w:tcPr>
            <w:tcW w:w="920" w:type="dxa"/>
            <w:vAlign w:val="bottom"/>
          </w:tcPr>
          <w:p>
            <w:pPr>
              <w:jc w:val="right"/>
              <w:ind w:right="96"/>
              <w:spacing w:after="0" w:line="139" w:lineRule="exact"/>
              <w:rPr>
                <w:sz w:val="20"/>
                <w:szCs w:val="20"/>
                <w:color w:val="auto"/>
              </w:rPr>
            </w:pPr>
            <w:r>
              <w:rPr>
                <w:rFonts w:ascii="Arial" w:cs="Arial" w:eastAsia="Arial" w:hAnsi="Arial"/>
                <w:sz w:val="13"/>
                <w:szCs w:val="13"/>
                <w:color w:val="auto"/>
              </w:rPr>
              <w:t>130,518</w:t>
            </w:r>
          </w:p>
        </w:tc>
        <w:tc>
          <w:tcPr>
            <w:tcW w:w="860" w:type="dxa"/>
            <w:vAlign w:val="bottom"/>
          </w:tcPr>
          <w:p>
            <w:pPr>
              <w:jc w:val="right"/>
              <w:ind w:right="16"/>
              <w:spacing w:after="0" w:line="139"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3/4/2016</w:t>
            </w:r>
          </w:p>
        </w:tc>
        <w:tc>
          <w:tcPr>
            <w:tcW w:w="108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12,016</w:t>
            </w:r>
          </w:p>
        </w:tc>
        <w:tc>
          <w:tcPr>
            <w:tcW w:w="1240" w:type="dxa"/>
            <w:vAlign w:val="bottom"/>
          </w:tcPr>
          <w:p>
            <w:pPr>
              <w:jc w:val="right"/>
              <w:ind w:right="76"/>
              <w:spacing w:after="0" w:line="140" w:lineRule="exact"/>
              <w:rPr>
                <w:sz w:val="20"/>
                <w:szCs w:val="20"/>
                <w:color w:val="auto"/>
              </w:rPr>
            </w:pPr>
            <w:r>
              <w:rPr>
                <w:rFonts w:ascii="Arial" w:cs="Arial" w:eastAsia="Arial" w:hAnsi="Arial"/>
                <w:sz w:val="13"/>
                <w:szCs w:val="13"/>
                <w:color w:val="auto"/>
              </w:rPr>
              <w:t>6,008</w:t>
            </w:r>
          </w:p>
        </w:tc>
        <w:tc>
          <w:tcPr>
            <w:tcW w:w="580" w:type="dxa"/>
            <w:vAlign w:val="bottom"/>
          </w:tcPr>
          <w:p>
            <w:pPr>
              <w:jc w:val="right"/>
              <w:ind w:right="36"/>
              <w:spacing w:after="0" w:line="140" w:lineRule="exact"/>
              <w:rPr>
                <w:sz w:val="20"/>
                <w:szCs w:val="20"/>
                <w:color w:val="auto"/>
              </w:rPr>
            </w:pPr>
            <w:r>
              <w:rPr>
                <w:rFonts w:ascii="Arial" w:cs="Arial" w:eastAsia="Arial" w:hAnsi="Arial"/>
                <w:sz w:val="13"/>
                <w:szCs w:val="13"/>
                <w:color w:val="auto"/>
              </w:rPr>
              <w:t>33.82</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3/3/2023</w:t>
            </w:r>
          </w:p>
        </w:tc>
        <w:tc>
          <w:tcPr>
            <w:tcW w:w="180" w:type="dxa"/>
            <w:vAlign w:val="bottom"/>
          </w:tcPr>
          <w:p>
            <w:pPr>
              <w:spacing w:after="0"/>
              <w:rPr>
                <w:sz w:val="12"/>
                <w:szCs w:val="12"/>
                <w:color w:val="auto"/>
              </w:rPr>
            </w:pPr>
          </w:p>
        </w:tc>
        <w:tc>
          <w:tcPr>
            <w:tcW w:w="800" w:type="dxa"/>
            <w:vAlign w:val="bottom"/>
          </w:tcPr>
          <w:p>
            <w:pPr>
              <w:jc w:val="right"/>
              <w:ind w:right="16"/>
              <w:spacing w:after="0" w:line="140" w:lineRule="exact"/>
              <w:rPr>
                <w:sz w:val="20"/>
                <w:szCs w:val="20"/>
                <w:color w:val="auto"/>
              </w:rPr>
            </w:pPr>
            <w:r>
              <w:rPr>
                <w:rFonts w:ascii="Arial" w:cs="Arial" w:eastAsia="Arial" w:hAnsi="Arial"/>
                <w:sz w:val="13"/>
                <w:szCs w:val="13"/>
                <w:color w:val="auto"/>
              </w:rPr>
              <w:t>3/3/2017</w:t>
            </w:r>
          </w:p>
        </w:tc>
        <w:tc>
          <w:tcPr>
            <w:tcW w:w="9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2,242</w:t>
            </w:r>
          </w:p>
        </w:tc>
        <w:tc>
          <w:tcPr>
            <w:tcW w:w="920" w:type="dxa"/>
            <w:vAlign w:val="bottom"/>
          </w:tcPr>
          <w:p>
            <w:pPr>
              <w:jc w:val="right"/>
              <w:ind w:right="96"/>
              <w:spacing w:after="0" w:line="140" w:lineRule="exact"/>
              <w:rPr>
                <w:sz w:val="20"/>
                <w:szCs w:val="20"/>
                <w:color w:val="auto"/>
              </w:rPr>
            </w:pPr>
            <w:r>
              <w:rPr>
                <w:rFonts w:ascii="Arial" w:cs="Arial" w:eastAsia="Arial" w:hAnsi="Arial"/>
                <w:sz w:val="13"/>
                <w:szCs w:val="13"/>
                <w:color w:val="auto"/>
              </w:rPr>
              <w:t>223,034</w:t>
            </w:r>
          </w:p>
        </w:tc>
        <w:tc>
          <w:tcPr>
            <w:tcW w:w="860" w:type="dxa"/>
            <w:vAlign w:val="bottom"/>
          </w:tcPr>
          <w:p>
            <w:pPr>
              <w:jc w:val="right"/>
              <w:ind w:right="16"/>
              <w:spacing w:after="0" w:line="140"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3/3/2017</w:t>
            </w:r>
          </w:p>
        </w:tc>
        <w:tc>
          <w:tcPr>
            <w:tcW w:w="108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7,366</w:t>
            </w:r>
          </w:p>
        </w:tc>
        <w:tc>
          <w:tcPr>
            <w:tcW w:w="1240" w:type="dxa"/>
            <w:vAlign w:val="bottom"/>
          </w:tcPr>
          <w:p>
            <w:pPr>
              <w:jc w:val="right"/>
              <w:ind w:right="76"/>
              <w:spacing w:after="0" w:line="140" w:lineRule="exact"/>
              <w:rPr>
                <w:sz w:val="20"/>
                <w:szCs w:val="20"/>
                <w:color w:val="auto"/>
              </w:rPr>
            </w:pPr>
            <w:r>
              <w:rPr>
                <w:rFonts w:ascii="Arial" w:cs="Arial" w:eastAsia="Arial" w:hAnsi="Arial"/>
                <w:sz w:val="13"/>
                <w:szCs w:val="13"/>
                <w:color w:val="auto"/>
              </w:rPr>
              <w:t>7,367</w:t>
            </w:r>
          </w:p>
        </w:tc>
        <w:tc>
          <w:tcPr>
            <w:tcW w:w="580" w:type="dxa"/>
            <w:vAlign w:val="bottom"/>
          </w:tcPr>
          <w:p>
            <w:pPr>
              <w:jc w:val="right"/>
              <w:ind w:right="36"/>
              <w:spacing w:after="0" w:line="140" w:lineRule="exact"/>
              <w:rPr>
                <w:sz w:val="20"/>
                <w:szCs w:val="20"/>
                <w:color w:val="auto"/>
              </w:rPr>
            </w:pPr>
            <w:r>
              <w:rPr>
                <w:rFonts w:ascii="Arial" w:cs="Arial" w:eastAsia="Arial" w:hAnsi="Arial"/>
                <w:sz w:val="13"/>
                <w:szCs w:val="13"/>
                <w:color w:val="auto"/>
              </w:rPr>
              <w:t>53.54</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3/2/2024</w:t>
            </w:r>
          </w:p>
        </w:tc>
        <w:tc>
          <w:tcPr>
            <w:tcW w:w="180" w:type="dxa"/>
            <w:vAlign w:val="bottom"/>
          </w:tcPr>
          <w:p>
            <w:pPr>
              <w:spacing w:after="0"/>
              <w:rPr>
                <w:sz w:val="12"/>
                <w:szCs w:val="12"/>
                <w:color w:val="auto"/>
              </w:rPr>
            </w:pPr>
          </w:p>
        </w:tc>
        <w:tc>
          <w:tcPr>
            <w:tcW w:w="800" w:type="dxa"/>
            <w:vAlign w:val="bottom"/>
          </w:tcPr>
          <w:p>
            <w:pPr>
              <w:jc w:val="right"/>
              <w:ind w:right="16"/>
              <w:spacing w:after="0" w:line="140" w:lineRule="exact"/>
              <w:rPr>
                <w:sz w:val="20"/>
                <w:szCs w:val="20"/>
                <w:color w:val="auto"/>
              </w:rPr>
            </w:pPr>
            <w:r>
              <w:rPr>
                <w:rFonts w:ascii="Arial" w:cs="Arial" w:eastAsia="Arial" w:hAnsi="Arial"/>
                <w:sz w:val="13"/>
                <w:szCs w:val="13"/>
                <w:color w:val="auto"/>
              </w:rPr>
              <w:t>3/3/2017</w:t>
            </w:r>
          </w:p>
        </w:tc>
        <w:tc>
          <w:tcPr>
            <w:tcW w:w="9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96"/>
              <w:spacing w:after="0" w:line="140"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line="140" w:lineRule="exact"/>
              <w:rPr>
                <w:sz w:val="20"/>
                <w:szCs w:val="20"/>
                <w:color w:val="auto"/>
              </w:rPr>
            </w:pPr>
            <w:r>
              <w:rPr>
                <w:rFonts w:ascii="Arial" w:cs="Arial" w:eastAsia="Arial" w:hAnsi="Arial"/>
                <w:sz w:val="13"/>
                <w:szCs w:val="13"/>
                <w:color w:val="auto"/>
              </w:rPr>
              <w:t>7,472</w:t>
            </w:r>
          </w:p>
        </w:tc>
        <w:tc>
          <w:tcPr>
            <w:tcW w:w="920" w:type="dxa"/>
            <w:vAlign w:val="bottom"/>
          </w:tcPr>
          <w:p>
            <w:pPr>
              <w:jc w:val="right"/>
              <w:spacing w:after="0" w:line="140" w:lineRule="exact"/>
              <w:rPr>
                <w:sz w:val="20"/>
                <w:szCs w:val="20"/>
                <w:color w:val="auto"/>
              </w:rPr>
            </w:pPr>
            <w:r>
              <w:rPr>
                <w:rFonts w:ascii="Arial" w:cs="Arial" w:eastAsia="Arial" w:hAnsi="Arial"/>
                <w:sz w:val="13"/>
                <w:szCs w:val="13"/>
                <w:color w:val="auto"/>
              </w:rPr>
              <w:t>743,315</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3/2/2018</w:t>
            </w:r>
          </w:p>
        </w:tc>
        <w:tc>
          <w:tcPr>
            <w:tcW w:w="108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3,423</w:t>
            </w:r>
          </w:p>
        </w:tc>
        <w:tc>
          <w:tcPr>
            <w:tcW w:w="1240" w:type="dxa"/>
            <w:vAlign w:val="bottom"/>
          </w:tcPr>
          <w:p>
            <w:pPr>
              <w:jc w:val="right"/>
              <w:ind w:right="76"/>
              <w:spacing w:after="0" w:line="140" w:lineRule="exact"/>
              <w:rPr>
                <w:sz w:val="20"/>
                <w:szCs w:val="20"/>
                <w:color w:val="auto"/>
              </w:rPr>
            </w:pPr>
            <w:r>
              <w:rPr>
                <w:rFonts w:ascii="Arial" w:cs="Arial" w:eastAsia="Arial" w:hAnsi="Arial"/>
                <w:sz w:val="13"/>
                <w:szCs w:val="13"/>
                <w:color w:val="auto"/>
              </w:rPr>
              <w:t>10,269</w:t>
            </w:r>
          </w:p>
        </w:tc>
        <w:tc>
          <w:tcPr>
            <w:tcW w:w="580" w:type="dxa"/>
            <w:vAlign w:val="bottom"/>
          </w:tcPr>
          <w:p>
            <w:pPr>
              <w:jc w:val="right"/>
              <w:ind w:right="36"/>
              <w:spacing w:after="0" w:line="140" w:lineRule="exact"/>
              <w:rPr>
                <w:sz w:val="20"/>
                <w:szCs w:val="20"/>
                <w:color w:val="auto"/>
              </w:rPr>
            </w:pPr>
            <w:r>
              <w:rPr>
                <w:rFonts w:ascii="Arial" w:cs="Arial" w:eastAsia="Arial" w:hAnsi="Arial"/>
                <w:sz w:val="13"/>
                <w:szCs w:val="13"/>
                <w:color w:val="auto"/>
              </w:rPr>
              <w:t>63.76</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3/1/2025</w:t>
            </w:r>
          </w:p>
        </w:tc>
        <w:tc>
          <w:tcPr>
            <w:tcW w:w="180" w:type="dxa"/>
            <w:vAlign w:val="bottom"/>
          </w:tcPr>
          <w:p>
            <w:pPr>
              <w:spacing w:after="0"/>
              <w:rPr>
                <w:sz w:val="12"/>
                <w:szCs w:val="12"/>
                <w:color w:val="auto"/>
              </w:rPr>
            </w:pPr>
          </w:p>
        </w:tc>
        <w:tc>
          <w:tcPr>
            <w:tcW w:w="800" w:type="dxa"/>
            <w:vAlign w:val="bottom"/>
          </w:tcPr>
          <w:p>
            <w:pPr>
              <w:jc w:val="right"/>
              <w:ind w:right="16"/>
              <w:spacing w:after="0" w:line="140" w:lineRule="exact"/>
              <w:rPr>
                <w:sz w:val="20"/>
                <w:szCs w:val="20"/>
                <w:color w:val="auto"/>
              </w:rPr>
            </w:pPr>
            <w:r>
              <w:rPr>
                <w:rFonts w:ascii="Arial" w:cs="Arial" w:eastAsia="Arial" w:hAnsi="Arial"/>
                <w:sz w:val="13"/>
                <w:szCs w:val="13"/>
                <w:color w:val="auto"/>
              </w:rPr>
              <w:t>3/2/2018</w:t>
            </w:r>
          </w:p>
        </w:tc>
        <w:tc>
          <w:tcPr>
            <w:tcW w:w="9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3,397</w:t>
            </w:r>
          </w:p>
        </w:tc>
        <w:tc>
          <w:tcPr>
            <w:tcW w:w="920" w:type="dxa"/>
            <w:vAlign w:val="bottom"/>
          </w:tcPr>
          <w:p>
            <w:pPr>
              <w:jc w:val="right"/>
              <w:ind w:right="96"/>
              <w:spacing w:after="0" w:line="140" w:lineRule="exact"/>
              <w:rPr>
                <w:sz w:val="20"/>
                <w:szCs w:val="20"/>
                <w:color w:val="auto"/>
              </w:rPr>
            </w:pPr>
            <w:r>
              <w:rPr>
                <w:rFonts w:ascii="Arial" w:cs="Arial" w:eastAsia="Arial" w:hAnsi="Arial"/>
                <w:sz w:val="13"/>
                <w:szCs w:val="13"/>
                <w:color w:val="auto"/>
              </w:rPr>
              <w:t>337,934</w:t>
            </w:r>
          </w:p>
        </w:tc>
        <w:tc>
          <w:tcPr>
            <w:tcW w:w="860" w:type="dxa"/>
            <w:vAlign w:val="bottom"/>
          </w:tcPr>
          <w:p>
            <w:pPr>
              <w:jc w:val="right"/>
              <w:ind w:right="16"/>
              <w:spacing w:after="0" w:line="140"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3/8/2019</w:t>
            </w:r>
          </w:p>
        </w:tc>
        <w:tc>
          <w:tcPr>
            <w:tcW w:w="20" w:type="dxa"/>
            <w:vAlign w:val="bottom"/>
          </w:tcPr>
          <w:p>
            <w:pPr>
              <w:spacing w:after="0"/>
              <w:rPr>
                <w:sz w:val="12"/>
                <w:szCs w:val="12"/>
                <w:color w:val="auto"/>
              </w:rPr>
            </w:pPr>
          </w:p>
        </w:tc>
        <w:tc>
          <w:tcPr>
            <w:tcW w:w="106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240" w:type="dxa"/>
            <w:vAlign w:val="bottom"/>
          </w:tcPr>
          <w:p>
            <w:pPr>
              <w:jc w:val="right"/>
              <w:ind w:right="76"/>
              <w:spacing w:after="0" w:line="140" w:lineRule="exact"/>
              <w:rPr>
                <w:sz w:val="20"/>
                <w:szCs w:val="20"/>
                <w:color w:val="auto"/>
              </w:rPr>
            </w:pPr>
            <w:r>
              <w:rPr>
                <w:rFonts w:ascii="Arial" w:cs="Arial" w:eastAsia="Arial" w:hAnsi="Arial"/>
                <w:sz w:val="13"/>
                <w:szCs w:val="13"/>
                <w:color w:val="auto"/>
              </w:rPr>
              <w:t>20,018</w:t>
            </w:r>
          </w:p>
        </w:tc>
        <w:tc>
          <w:tcPr>
            <w:tcW w:w="580" w:type="dxa"/>
            <w:vAlign w:val="bottom"/>
          </w:tcPr>
          <w:p>
            <w:pPr>
              <w:jc w:val="right"/>
              <w:ind w:right="36"/>
              <w:spacing w:after="0" w:line="140" w:lineRule="exact"/>
              <w:rPr>
                <w:sz w:val="20"/>
                <w:szCs w:val="20"/>
                <w:color w:val="auto"/>
              </w:rPr>
            </w:pPr>
            <w:r>
              <w:rPr>
                <w:rFonts w:ascii="Arial" w:cs="Arial" w:eastAsia="Arial" w:hAnsi="Arial"/>
                <w:sz w:val="13"/>
                <w:szCs w:val="13"/>
                <w:color w:val="auto"/>
              </w:rPr>
              <w:t>62.43</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3/7/2026</w:t>
            </w:r>
          </w:p>
        </w:tc>
        <w:tc>
          <w:tcPr>
            <w:tcW w:w="180" w:type="dxa"/>
            <w:vAlign w:val="bottom"/>
          </w:tcPr>
          <w:p>
            <w:pPr>
              <w:spacing w:after="0"/>
              <w:rPr>
                <w:sz w:val="12"/>
                <w:szCs w:val="12"/>
                <w:color w:val="auto"/>
              </w:rPr>
            </w:pPr>
          </w:p>
        </w:tc>
        <w:tc>
          <w:tcPr>
            <w:tcW w:w="800" w:type="dxa"/>
            <w:vAlign w:val="bottom"/>
          </w:tcPr>
          <w:p>
            <w:pPr>
              <w:jc w:val="right"/>
              <w:ind w:right="16"/>
              <w:spacing w:after="0" w:line="140" w:lineRule="exact"/>
              <w:rPr>
                <w:sz w:val="20"/>
                <w:szCs w:val="20"/>
                <w:color w:val="auto"/>
              </w:rPr>
            </w:pPr>
            <w:r>
              <w:rPr>
                <w:rFonts w:ascii="Arial" w:cs="Arial" w:eastAsia="Arial" w:hAnsi="Arial"/>
                <w:sz w:val="13"/>
                <w:szCs w:val="13"/>
                <w:color w:val="auto"/>
              </w:rPr>
              <w:t>3/2/2018</w:t>
            </w:r>
          </w:p>
        </w:tc>
        <w:tc>
          <w:tcPr>
            <w:tcW w:w="9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96"/>
              <w:spacing w:after="0" w:line="140"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line="140" w:lineRule="exact"/>
              <w:rPr>
                <w:sz w:val="20"/>
                <w:szCs w:val="20"/>
                <w:color w:val="auto"/>
              </w:rPr>
            </w:pPr>
            <w:r>
              <w:rPr>
                <w:rFonts w:ascii="Arial" w:cs="Arial" w:eastAsia="Arial" w:hAnsi="Arial"/>
                <w:sz w:val="13"/>
                <w:szCs w:val="13"/>
                <w:color w:val="auto"/>
              </w:rPr>
              <w:t>7,548</w:t>
            </w:r>
          </w:p>
        </w:tc>
        <w:tc>
          <w:tcPr>
            <w:tcW w:w="920" w:type="dxa"/>
            <w:vAlign w:val="bottom"/>
          </w:tcPr>
          <w:p>
            <w:pPr>
              <w:jc w:val="right"/>
              <w:spacing w:after="0" w:line="140" w:lineRule="exact"/>
              <w:rPr>
                <w:sz w:val="20"/>
                <w:szCs w:val="20"/>
                <w:color w:val="auto"/>
              </w:rPr>
            </w:pPr>
            <w:r>
              <w:rPr>
                <w:rFonts w:ascii="Arial" w:cs="Arial" w:eastAsia="Arial" w:hAnsi="Arial"/>
                <w:sz w:val="13"/>
                <w:szCs w:val="13"/>
                <w:color w:val="auto"/>
              </w:rPr>
              <w:t>750,875</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6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240" w:type="dxa"/>
            <w:vAlign w:val="bottom"/>
          </w:tcPr>
          <w:p>
            <w:pPr>
              <w:jc w:val="right"/>
              <w:ind w:right="76"/>
              <w:spacing w:after="0" w:line="140"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36"/>
              <w:spacing w:after="0" w:line="140"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40"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line="140" w:lineRule="exact"/>
              <w:rPr>
                <w:sz w:val="20"/>
                <w:szCs w:val="20"/>
                <w:color w:val="auto"/>
              </w:rPr>
            </w:pPr>
            <w:r>
              <w:rPr>
                <w:rFonts w:ascii="Arial" w:cs="Arial" w:eastAsia="Arial" w:hAnsi="Arial"/>
                <w:sz w:val="13"/>
                <w:szCs w:val="13"/>
                <w:color w:val="auto"/>
              </w:rPr>
              <w:t>3/2/2019</w:t>
            </w:r>
          </w:p>
        </w:tc>
        <w:tc>
          <w:tcPr>
            <w:tcW w:w="9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96"/>
              <w:spacing w:after="0" w:line="140"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line="140" w:lineRule="exact"/>
              <w:rPr>
                <w:sz w:val="20"/>
                <w:szCs w:val="20"/>
                <w:color w:val="auto"/>
              </w:rPr>
            </w:pPr>
            <w:r>
              <w:rPr>
                <w:rFonts w:ascii="Arial" w:cs="Arial" w:eastAsia="Arial" w:hAnsi="Arial"/>
                <w:sz w:val="13"/>
                <w:szCs w:val="13"/>
                <w:color w:val="auto"/>
              </w:rPr>
              <w:t>5,479</w:t>
            </w:r>
          </w:p>
        </w:tc>
        <w:tc>
          <w:tcPr>
            <w:tcW w:w="920" w:type="dxa"/>
            <w:vAlign w:val="bottom"/>
          </w:tcPr>
          <w:p>
            <w:pPr>
              <w:jc w:val="right"/>
              <w:spacing w:after="0" w:line="140" w:lineRule="exact"/>
              <w:rPr>
                <w:sz w:val="20"/>
                <w:szCs w:val="20"/>
                <w:color w:val="auto"/>
              </w:rPr>
            </w:pPr>
            <w:r>
              <w:rPr>
                <w:rFonts w:ascii="Arial" w:cs="Arial" w:eastAsia="Arial" w:hAnsi="Arial"/>
                <w:sz w:val="13"/>
                <w:szCs w:val="13"/>
                <w:color w:val="auto"/>
              </w:rPr>
              <w:t>545,051</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240" w:type="dxa"/>
            <w:vAlign w:val="bottom"/>
          </w:tcPr>
          <w:p>
            <w:pPr>
              <w:jc w:val="right"/>
              <w:ind w:right="76"/>
              <w:spacing w:after="0" w:line="141"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line="141" w:lineRule="exact"/>
              <w:rPr>
                <w:sz w:val="20"/>
                <w:szCs w:val="20"/>
                <w:color w:val="auto"/>
              </w:rPr>
            </w:pPr>
            <w:r>
              <w:rPr>
                <w:rFonts w:ascii="Arial" w:cs="Arial" w:eastAsia="Arial" w:hAnsi="Arial"/>
                <w:sz w:val="13"/>
                <w:szCs w:val="13"/>
                <w:color w:val="auto"/>
              </w:rPr>
              <w:t>3/2/2019</w:t>
            </w:r>
          </w:p>
        </w:tc>
        <w:tc>
          <w:tcPr>
            <w:tcW w:w="9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96"/>
              <w:spacing w:after="0" w:line="14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line="141" w:lineRule="exact"/>
              <w:rPr>
                <w:sz w:val="20"/>
                <w:szCs w:val="20"/>
                <w:color w:val="auto"/>
              </w:rPr>
            </w:pPr>
            <w:r>
              <w:rPr>
                <w:rFonts w:ascii="Arial" w:cs="Arial" w:eastAsia="Arial" w:hAnsi="Arial"/>
                <w:sz w:val="13"/>
                <w:szCs w:val="13"/>
                <w:color w:val="auto"/>
              </w:rPr>
              <w:t>9,131</w:t>
            </w:r>
          </w:p>
        </w:tc>
        <w:tc>
          <w:tcPr>
            <w:tcW w:w="920" w:type="dxa"/>
            <w:vAlign w:val="bottom"/>
          </w:tcPr>
          <w:p>
            <w:pPr>
              <w:jc w:val="right"/>
              <w:spacing w:after="0" w:line="141" w:lineRule="exact"/>
              <w:rPr>
                <w:sz w:val="20"/>
                <w:szCs w:val="20"/>
                <w:color w:val="auto"/>
              </w:rPr>
            </w:pPr>
            <w:r>
              <w:rPr>
                <w:rFonts w:ascii="Arial" w:cs="Arial" w:eastAsia="Arial" w:hAnsi="Arial"/>
                <w:sz w:val="13"/>
                <w:szCs w:val="13"/>
                <w:color w:val="auto"/>
              </w:rPr>
              <w:t>908,352</w:t>
            </w:r>
          </w:p>
        </w:tc>
        <w:tc>
          <w:tcPr>
            <w:tcW w:w="0" w:type="dxa"/>
            <w:vAlign w:val="bottom"/>
          </w:tcPr>
          <w:p>
            <w:pPr>
              <w:spacing w:after="0"/>
              <w:rPr>
                <w:sz w:val="1"/>
                <w:szCs w:val="1"/>
                <w:color w:val="auto"/>
              </w:rPr>
            </w:pPr>
          </w:p>
        </w:tc>
      </w:tr>
      <w:tr>
        <w:trPr>
          <w:trHeight w:val="139"/>
        </w:trPr>
        <w:tc>
          <w:tcPr>
            <w:tcW w:w="1480" w:type="dxa"/>
            <w:vAlign w:val="bottom"/>
            <w:shd w:val="clear" w:color="auto" w:fill="ACABA7"/>
          </w:tcPr>
          <w:p>
            <w:pPr>
              <w:spacing w:after="0" w:line="139" w:lineRule="exact"/>
              <w:rPr>
                <w:sz w:val="20"/>
                <w:szCs w:val="20"/>
                <w:color w:val="auto"/>
              </w:rPr>
            </w:pPr>
            <w:r>
              <w:rPr>
                <w:rFonts w:ascii="Arial" w:cs="Arial" w:eastAsia="Arial" w:hAnsi="Arial"/>
                <w:sz w:val="13"/>
                <w:szCs w:val="13"/>
                <w:color w:val="auto"/>
              </w:rPr>
              <w:t>Mr. Howe</w:t>
            </w:r>
          </w:p>
        </w:tc>
        <w:tc>
          <w:tcPr>
            <w:tcW w:w="720" w:type="dxa"/>
            <w:vAlign w:val="bottom"/>
            <w:shd w:val="clear" w:color="auto" w:fill="ACABA7"/>
          </w:tcPr>
          <w:p>
            <w:pPr>
              <w:jc w:val="right"/>
              <w:spacing w:after="0" w:line="139" w:lineRule="exact"/>
              <w:rPr>
                <w:sz w:val="20"/>
                <w:szCs w:val="20"/>
                <w:color w:val="auto"/>
              </w:rPr>
            </w:pPr>
            <w:r>
              <w:rPr>
                <w:rFonts w:ascii="Arial" w:cs="Arial" w:eastAsia="Arial" w:hAnsi="Arial"/>
                <w:sz w:val="13"/>
                <w:szCs w:val="13"/>
                <w:color w:val="auto"/>
              </w:rPr>
              <w:t>8/11/2017</w:t>
            </w:r>
          </w:p>
        </w:tc>
        <w:tc>
          <w:tcPr>
            <w:tcW w:w="1080" w:type="dxa"/>
            <w:vAlign w:val="bottom"/>
            <w:gridSpan w:val="2"/>
            <w:shd w:val="clear" w:color="auto" w:fill="ACABA7"/>
          </w:tcPr>
          <w:p>
            <w:pPr>
              <w:jc w:val="right"/>
              <w:spacing w:after="0" w:line="139" w:lineRule="exact"/>
              <w:rPr>
                <w:sz w:val="20"/>
                <w:szCs w:val="20"/>
                <w:color w:val="auto"/>
              </w:rPr>
            </w:pPr>
            <w:r>
              <w:rPr>
                <w:rFonts w:ascii="Arial" w:cs="Arial" w:eastAsia="Arial" w:hAnsi="Arial"/>
                <w:sz w:val="13"/>
                <w:szCs w:val="13"/>
                <w:color w:val="auto"/>
              </w:rPr>
              <w:t>3,431</w:t>
            </w:r>
          </w:p>
        </w:tc>
        <w:tc>
          <w:tcPr>
            <w:tcW w:w="1240" w:type="dxa"/>
            <w:vAlign w:val="bottom"/>
            <w:shd w:val="clear" w:color="auto" w:fill="ACABA7"/>
          </w:tcPr>
          <w:p>
            <w:pPr>
              <w:jc w:val="right"/>
              <w:ind w:right="76"/>
              <w:spacing w:after="0" w:line="139" w:lineRule="exact"/>
              <w:rPr>
                <w:sz w:val="20"/>
                <w:szCs w:val="20"/>
                <w:color w:val="auto"/>
              </w:rPr>
            </w:pPr>
            <w:r>
              <w:rPr>
                <w:rFonts w:ascii="Arial" w:cs="Arial" w:eastAsia="Arial" w:hAnsi="Arial"/>
                <w:sz w:val="13"/>
                <w:szCs w:val="13"/>
                <w:color w:val="auto"/>
              </w:rPr>
              <w:t>3,431</w:t>
            </w:r>
          </w:p>
        </w:tc>
        <w:tc>
          <w:tcPr>
            <w:tcW w:w="580" w:type="dxa"/>
            <w:vAlign w:val="bottom"/>
            <w:shd w:val="clear" w:color="auto" w:fill="ACABA7"/>
          </w:tcPr>
          <w:p>
            <w:pPr>
              <w:jc w:val="right"/>
              <w:ind w:right="36"/>
              <w:spacing w:after="0" w:line="139" w:lineRule="exact"/>
              <w:rPr>
                <w:sz w:val="20"/>
                <w:szCs w:val="20"/>
                <w:color w:val="auto"/>
              </w:rPr>
            </w:pPr>
            <w:r>
              <w:rPr>
                <w:rFonts w:ascii="Arial" w:cs="Arial" w:eastAsia="Arial" w:hAnsi="Arial"/>
                <w:sz w:val="13"/>
                <w:szCs w:val="13"/>
                <w:color w:val="auto"/>
              </w:rPr>
              <w:t>56.47</w:t>
            </w:r>
          </w:p>
        </w:tc>
        <w:tc>
          <w:tcPr>
            <w:tcW w:w="700" w:type="dxa"/>
            <w:vAlign w:val="bottom"/>
            <w:shd w:val="clear" w:color="auto" w:fill="ACABA7"/>
          </w:tcPr>
          <w:p>
            <w:pPr>
              <w:jc w:val="right"/>
              <w:spacing w:after="0" w:line="139" w:lineRule="exact"/>
              <w:rPr>
                <w:sz w:val="20"/>
                <w:szCs w:val="20"/>
                <w:color w:val="auto"/>
              </w:rPr>
            </w:pPr>
            <w:r>
              <w:rPr>
                <w:rFonts w:ascii="Arial" w:cs="Arial" w:eastAsia="Arial" w:hAnsi="Arial"/>
                <w:sz w:val="13"/>
                <w:szCs w:val="13"/>
                <w:color w:val="auto"/>
              </w:rPr>
              <w:t>8/10/2024</w:t>
            </w:r>
          </w:p>
        </w:tc>
        <w:tc>
          <w:tcPr>
            <w:tcW w:w="180" w:type="dxa"/>
            <w:vAlign w:val="bottom"/>
            <w:shd w:val="clear" w:color="auto" w:fill="ACABA7"/>
          </w:tcPr>
          <w:p>
            <w:pPr>
              <w:spacing w:after="0"/>
              <w:rPr>
                <w:sz w:val="12"/>
                <w:szCs w:val="12"/>
                <w:color w:val="auto"/>
              </w:rPr>
            </w:pPr>
          </w:p>
        </w:tc>
        <w:tc>
          <w:tcPr>
            <w:tcW w:w="800" w:type="dxa"/>
            <w:vAlign w:val="bottom"/>
            <w:shd w:val="clear" w:color="auto" w:fill="ACABA7"/>
          </w:tcPr>
          <w:p>
            <w:pPr>
              <w:jc w:val="right"/>
              <w:ind w:right="16"/>
              <w:spacing w:after="0" w:line="139" w:lineRule="exact"/>
              <w:rPr>
                <w:sz w:val="20"/>
                <w:szCs w:val="20"/>
                <w:color w:val="auto"/>
              </w:rPr>
            </w:pPr>
            <w:r>
              <w:rPr>
                <w:rFonts w:ascii="Arial" w:cs="Arial" w:eastAsia="Arial" w:hAnsi="Arial"/>
                <w:sz w:val="13"/>
                <w:szCs w:val="13"/>
                <w:color w:val="auto"/>
              </w:rPr>
              <w:t>8/11/2017</w:t>
            </w:r>
          </w:p>
        </w:tc>
        <w:tc>
          <w:tcPr>
            <w:tcW w:w="900" w:type="dxa"/>
            <w:vAlign w:val="bottom"/>
            <w:shd w:val="clear" w:color="auto" w:fill="ACABA7"/>
          </w:tcPr>
          <w:p>
            <w:pPr>
              <w:jc w:val="right"/>
              <w:ind w:right="17"/>
              <w:spacing w:after="0" w:line="139" w:lineRule="exact"/>
              <w:rPr>
                <w:sz w:val="20"/>
                <w:szCs w:val="20"/>
                <w:color w:val="auto"/>
              </w:rPr>
            </w:pPr>
            <w:r>
              <w:rPr>
                <w:rFonts w:ascii="Arial" w:cs="Arial" w:eastAsia="Arial" w:hAnsi="Arial"/>
                <w:sz w:val="13"/>
                <w:szCs w:val="13"/>
                <w:color w:val="auto"/>
              </w:rPr>
              <w:t>1,063</w:t>
            </w:r>
          </w:p>
        </w:tc>
        <w:tc>
          <w:tcPr>
            <w:tcW w:w="920" w:type="dxa"/>
            <w:vAlign w:val="bottom"/>
            <w:shd w:val="clear" w:color="auto" w:fill="ACABA7"/>
          </w:tcPr>
          <w:p>
            <w:pPr>
              <w:jc w:val="right"/>
              <w:ind w:right="96"/>
              <w:spacing w:after="0" w:line="139" w:lineRule="exact"/>
              <w:rPr>
                <w:sz w:val="20"/>
                <w:szCs w:val="20"/>
                <w:color w:val="auto"/>
              </w:rPr>
            </w:pPr>
            <w:r>
              <w:rPr>
                <w:rFonts w:ascii="Arial" w:cs="Arial" w:eastAsia="Arial" w:hAnsi="Arial"/>
                <w:sz w:val="13"/>
                <w:szCs w:val="13"/>
                <w:color w:val="auto"/>
              </w:rPr>
              <w:t>105,747</w:t>
            </w:r>
          </w:p>
        </w:tc>
        <w:tc>
          <w:tcPr>
            <w:tcW w:w="860" w:type="dxa"/>
            <w:vAlign w:val="bottom"/>
            <w:shd w:val="clear" w:color="auto" w:fill="ACABA7"/>
          </w:tcPr>
          <w:p>
            <w:pPr>
              <w:jc w:val="right"/>
              <w:ind w:right="16"/>
              <w:spacing w:after="0" w:line="139" w:lineRule="exact"/>
              <w:rPr>
                <w:sz w:val="20"/>
                <w:szCs w:val="20"/>
                <w:color w:val="auto"/>
              </w:rPr>
            </w:pPr>
            <w:r>
              <w:rPr>
                <w:rFonts w:ascii="Arial" w:cs="Arial" w:eastAsia="Arial" w:hAnsi="Arial"/>
                <w:sz w:val="13"/>
                <w:szCs w:val="13"/>
                <w:color w:val="auto"/>
              </w:rPr>
              <w:t>—</w:t>
            </w:r>
          </w:p>
        </w:tc>
        <w:tc>
          <w:tcPr>
            <w:tcW w:w="920" w:type="dxa"/>
            <w:vAlign w:val="bottom"/>
            <w:shd w:val="clear" w:color="auto" w:fill="ACABA7"/>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1480" w:type="dxa"/>
            <w:vAlign w:val="bottom"/>
            <w:shd w:val="clear" w:color="auto" w:fill="ACABA7"/>
          </w:tcPr>
          <w:p>
            <w:pPr>
              <w:spacing w:after="0"/>
              <w:rPr>
                <w:sz w:val="12"/>
                <w:szCs w:val="12"/>
                <w:color w:val="auto"/>
              </w:rPr>
            </w:pPr>
          </w:p>
        </w:tc>
        <w:tc>
          <w:tcPr>
            <w:tcW w:w="72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3/2/2018</w:t>
            </w:r>
          </w:p>
        </w:tc>
        <w:tc>
          <w:tcPr>
            <w:tcW w:w="1080" w:type="dxa"/>
            <w:vAlign w:val="bottom"/>
            <w:gridSpan w:val="2"/>
            <w:shd w:val="clear" w:color="auto" w:fill="ACABA7"/>
          </w:tcPr>
          <w:p>
            <w:pPr>
              <w:jc w:val="right"/>
              <w:spacing w:after="0" w:line="140" w:lineRule="exact"/>
              <w:rPr>
                <w:sz w:val="20"/>
                <w:szCs w:val="20"/>
                <w:color w:val="auto"/>
              </w:rPr>
            </w:pPr>
            <w:r>
              <w:rPr>
                <w:rFonts w:ascii="Arial" w:cs="Arial" w:eastAsia="Arial" w:hAnsi="Arial"/>
                <w:sz w:val="13"/>
                <w:szCs w:val="13"/>
                <w:color w:val="auto"/>
              </w:rPr>
              <w:t>3,067</w:t>
            </w:r>
          </w:p>
        </w:tc>
        <w:tc>
          <w:tcPr>
            <w:tcW w:w="1240" w:type="dxa"/>
            <w:vAlign w:val="bottom"/>
            <w:shd w:val="clear" w:color="auto" w:fill="ACABA7"/>
          </w:tcPr>
          <w:p>
            <w:pPr>
              <w:jc w:val="right"/>
              <w:ind w:right="76"/>
              <w:spacing w:after="0" w:line="140" w:lineRule="exact"/>
              <w:rPr>
                <w:sz w:val="20"/>
                <w:szCs w:val="20"/>
                <w:color w:val="auto"/>
              </w:rPr>
            </w:pPr>
            <w:r>
              <w:rPr>
                <w:rFonts w:ascii="Arial" w:cs="Arial" w:eastAsia="Arial" w:hAnsi="Arial"/>
                <w:sz w:val="13"/>
                <w:szCs w:val="13"/>
                <w:color w:val="auto"/>
              </w:rPr>
              <w:t>9,202</w:t>
            </w:r>
          </w:p>
        </w:tc>
        <w:tc>
          <w:tcPr>
            <w:tcW w:w="580" w:type="dxa"/>
            <w:vAlign w:val="bottom"/>
            <w:shd w:val="clear" w:color="auto" w:fill="ACABA7"/>
          </w:tcPr>
          <w:p>
            <w:pPr>
              <w:jc w:val="right"/>
              <w:ind w:right="36"/>
              <w:spacing w:after="0" w:line="140" w:lineRule="exact"/>
              <w:rPr>
                <w:sz w:val="20"/>
                <w:szCs w:val="20"/>
                <w:color w:val="auto"/>
              </w:rPr>
            </w:pPr>
            <w:r>
              <w:rPr>
                <w:rFonts w:ascii="Arial" w:cs="Arial" w:eastAsia="Arial" w:hAnsi="Arial"/>
                <w:sz w:val="13"/>
                <w:szCs w:val="13"/>
                <w:color w:val="auto"/>
              </w:rPr>
              <w:t>63.76</w:t>
            </w:r>
          </w:p>
        </w:tc>
        <w:tc>
          <w:tcPr>
            <w:tcW w:w="70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3/1/2025</w:t>
            </w:r>
          </w:p>
        </w:tc>
        <w:tc>
          <w:tcPr>
            <w:tcW w:w="180" w:type="dxa"/>
            <w:vAlign w:val="bottom"/>
            <w:shd w:val="clear" w:color="auto" w:fill="ACABA7"/>
          </w:tcPr>
          <w:p>
            <w:pPr>
              <w:spacing w:after="0"/>
              <w:rPr>
                <w:sz w:val="12"/>
                <w:szCs w:val="12"/>
                <w:color w:val="auto"/>
              </w:rPr>
            </w:pPr>
          </w:p>
        </w:tc>
        <w:tc>
          <w:tcPr>
            <w:tcW w:w="800" w:type="dxa"/>
            <w:vAlign w:val="bottom"/>
            <w:shd w:val="clear" w:color="auto" w:fill="ACABA7"/>
          </w:tcPr>
          <w:p>
            <w:pPr>
              <w:jc w:val="right"/>
              <w:ind w:right="16"/>
              <w:spacing w:after="0" w:line="140" w:lineRule="exact"/>
              <w:rPr>
                <w:sz w:val="20"/>
                <w:szCs w:val="20"/>
                <w:color w:val="auto"/>
              </w:rPr>
            </w:pPr>
            <w:r>
              <w:rPr>
                <w:rFonts w:ascii="Arial" w:cs="Arial" w:eastAsia="Arial" w:hAnsi="Arial"/>
                <w:sz w:val="13"/>
                <w:szCs w:val="13"/>
                <w:color w:val="auto"/>
              </w:rPr>
              <w:t>8/11/2017</w:t>
            </w:r>
          </w:p>
        </w:tc>
        <w:tc>
          <w:tcPr>
            <w:tcW w:w="900" w:type="dxa"/>
            <w:vAlign w:val="bottom"/>
            <w:shd w:val="clear" w:color="auto" w:fill="ACABA7"/>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920" w:type="dxa"/>
            <w:vAlign w:val="bottom"/>
            <w:shd w:val="clear" w:color="auto" w:fill="ACABA7"/>
          </w:tcPr>
          <w:p>
            <w:pPr>
              <w:jc w:val="right"/>
              <w:ind w:right="96"/>
              <w:spacing w:after="0" w:line="140" w:lineRule="exact"/>
              <w:rPr>
                <w:sz w:val="20"/>
                <w:szCs w:val="20"/>
                <w:color w:val="auto"/>
              </w:rPr>
            </w:pPr>
            <w:r>
              <w:rPr>
                <w:rFonts w:ascii="Arial" w:cs="Arial" w:eastAsia="Arial" w:hAnsi="Arial"/>
                <w:sz w:val="13"/>
                <w:szCs w:val="13"/>
                <w:color w:val="auto"/>
              </w:rPr>
              <w:t>—</w:t>
            </w:r>
          </w:p>
        </w:tc>
        <w:tc>
          <w:tcPr>
            <w:tcW w:w="860" w:type="dxa"/>
            <w:vAlign w:val="bottom"/>
            <w:shd w:val="clear" w:color="auto" w:fill="ACABA7"/>
          </w:tcPr>
          <w:p>
            <w:pPr>
              <w:jc w:val="right"/>
              <w:ind w:right="16"/>
              <w:spacing w:after="0" w:line="140" w:lineRule="exact"/>
              <w:rPr>
                <w:sz w:val="20"/>
                <w:szCs w:val="20"/>
                <w:color w:val="auto"/>
              </w:rPr>
            </w:pPr>
            <w:r>
              <w:rPr>
                <w:rFonts w:ascii="Arial" w:cs="Arial" w:eastAsia="Arial" w:hAnsi="Arial"/>
                <w:sz w:val="13"/>
                <w:szCs w:val="13"/>
                <w:color w:val="auto"/>
              </w:rPr>
              <w:t>3,542</w:t>
            </w:r>
          </w:p>
        </w:tc>
        <w:tc>
          <w:tcPr>
            <w:tcW w:w="92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352,358</w:t>
            </w:r>
          </w:p>
        </w:tc>
        <w:tc>
          <w:tcPr>
            <w:tcW w:w="0" w:type="dxa"/>
            <w:vAlign w:val="bottom"/>
          </w:tcPr>
          <w:p>
            <w:pPr>
              <w:spacing w:after="0"/>
              <w:rPr>
                <w:sz w:val="1"/>
                <w:szCs w:val="1"/>
                <w:color w:val="auto"/>
              </w:rPr>
            </w:pPr>
          </w:p>
        </w:tc>
      </w:tr>
      <w:tr>
        <w:trPr>
          <w:trHeight w:val="140"/>
        </w:trPr>
        <w:tc>
          <w:tcPr>
            <w:tcW w:w="1480" w:type="dxa"/>
            <w:vAlign w:val="bottom"/>
            <w:shd w:val="clear" w:color="auto" w:fill="ACABA7"/>
          </w:tcPr>
          <w:p>
            <w:pPr>
              <w:spacing w:after="0"/>
              <w:rPr>
                <w:sz w:val="12"/>
                <w:szCs w:val="12"/>
                <w:color w:val="auto"/>
              </w:rPr>
            </w:pPr>
          </w:p>
        </w:tc>
        <w:tc>
          <w:tcPr>
            <w:tcW w:w="72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3/8/2019</w:t>
            </w:r>
          </w:p>
        </w:tc>
        <w:tc>
          <w:tcPr>
            <w:tcW w:w="20" w:type="dxa"/>
            <w:vAlign w:val="bottom"/>
            <w:shd w:val="clear" w:color="auto" w:fill="ACABA7"/>
          </w:tcPr>
          <w:p>
            <w:pPr>
              <w:spacing w:after="0"/>
              <w:rPr>
                <w:sz w:val="12"/>
                <w:szCs w:val="12"/>
                <w:color w:val="auto"/>
              </w:rPr>
            </w:pPr>
          </w:p>
        </w:tc>
        <w:tc>
          <w:tcPr>
            <w:tcW w:w="106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w:t>
            </w:r>
          </w:p>
        </w:tc>
        <w:tc>
          <w:tcPr>
            <w:tcW w:w="1240" w:type="dxa"/>
            <w:vAlign w:val="bottom"/>
            <w:shd w:val="clear" w:color="auto" w:fill="ACABA7"/>
          </w:tcPr>
          <w:p>
            <w:pPr>
              <w:jc w:val="right"/>
              <w:ind w:right="76"/>
              <w:spacing w:after="0" w:line="140" w:lineRule="exact"/>
              <w:rPr>
                <w:sz w:val="20"/>
                <w:szCs w:val="20"/>
                <w:color w:val="auto"/>
              </w:rPr>
            </w:pPr>
            <w:r>
              <w:rPr>
                <w:rFonts w:ascii="Arial" w:cs="Arial" w:eastAsia="Arial" w:hAnsi="Arial"/>
                <w:sz w:val="13"/>
                <w:szCs w:val="13"/>
                <w:color w:val="auto"/>
              </w:rPr>
              <w:t>18,130</w:t>
            </w:r>
          </w:p>
        </w:tc>
        <w:tc>
          <w:tcPr>
            <w:tcW w:w="580" w:type="dxa"/>
            <w:vAlign w:val="bottom"/>
            <w:shd w:val="clear" w:color="auto" w:fill="ACABA7"/>
          </w:tcPr>
          <w:p>
            <w:pPr>
              <w:jc w:val="right"/>
              <w:ind w:right="36"/>
              <w:spacing w:after="0" w:line="140" w:lineRule="exact"/>
              <w:rPr>
                <w:sz w:val="20"/>
                <w:szCs w:val="20"/>
                <w:color w:val="auto"/>
              </w:rPr>
            </w:pPr>
            <w:r>
              <w:rPr>
                <w:rFonts w:ascii="Arial" w:cs="Arial" w:eastAsia="Arial" w:hAnsi="Arial"/>
                <w:sz w:val="13"/>
                <w:szCs w:val="13"/>
                <w:color w:val="auto"/>
              </w:rPr>
              <w:t>62.43</w:t>
            </w:r>
          </w:p>
        </w:tc>
        <w:tc>
          <w:tcPr>
            <w:tcW w:w="70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3/7/2026</w:t>
            </w:r>
          </w:p>
        </w:tc>
        <w:tc>
          <w:tcPr>
            <w:tcW w:w="180" w:type="dxa"/>
            <w:vAlign w:val="bottom"/>
            <w:shd w:val="clear" w:color="auto" w:fill="ACABA7"/>
          </w:tcPr>
          <w:p>
            <w:pPr>
              <w:spacing w:after="0"/>
              <w:rPr>
                <w:sz w:val="12"/>
                <w:szCs w:val="12"/>
                <w:color w:val="auto"/>
              </w:rPr>
            </w:pPr>
          </w:p>
        </w:tc>
        <w:tc>
          <w:tcPr>
            <w:tcW w:w="800" w:type="dxa"/>
            <w:vAlign w:val="bottom"/>
            <w:shd w:val="clear" w:color="auto" w:fill="ACABA7"/>
          </w:tcPr>
          <w:p>
            <w:pPr>
              <w:jc w:val="right"/>
              <w:ind w:right="16"/>
              <w:spacing w:after="0" w:line="140" w:lineRule="exact"/>
              <w:rPr>
                <w:sz w:val="20"/>
                <w:szCs w:val="20"/>
                <w:color w:val="auto"/>
              </w:rPr>
            </w:pPr>
            <w:r>
              <w:rPr>
                <w:rFonts w:ascii="Arial" w:cs="Arial" w:eastAsia="Arial" w:hAnsi="Arial"/>
                <w:sz w:val="13"/>
                <w:szCs w:val="13"/>
                <w:color w:val="auto"/>
              </w:rPr>
              <w:t>3/2/2018</w:t>
            </w:r>
          </w:p>
        </w:tc>
        <w:tc>
          <w:tcPr>
            <w:tcW w:w="900" w:type="dxa"/>
            <w:vAlign w:val="bottom"/>
            <w:shd w:val="clear" w:color="auto" w:fill="ACABA7"/>
          </w:tcPr>
          <w:p>
            <w:pPr>
              <w:jc w:val="right"/>
              <w:ind w:right="17"/>
              <w:spacing w:after="0" w:line="140" w:lineRule="exact"/>
              <w:rPr>
                <w:sz w:val="20"/>
                <w:szCs w:val="20"/>
                <w:color w:val="auto"/>
              </w:rPr>
            </w:pPr>
            <w:r>
              <w:rPr>
                <w:rFonts w:ascii="Arial" w:cs="Arial" w:eastAsia="Arial" w:hAnsi="Arial"/>
                <w:sz w:val="13"/>
                <w:szCs w:val="13"/>
                <w:color w:val="auto"/>
              </w:rPr>
              <w:t>3,045</w:t>
            </w:r>
          </w:p>
        </w:tc>
        <w:tc>
          <w:tcPr>
            <w:tcW w:w="920" w:type="dxa"/>
            <w:vAlign w:val="bottom"/>
            <w:shd w:val="clear" w:color="auto" w:fill="ACABA7"/>
          </w:tcPr>
          <w:p>
            <w:pPr>
              <w:jc w:val="right"/>
              <w:ind w:right="96"/>
              <w:spacing w:after="0" w:line="140" w:lineRule="exact"/>
              <w:rPr>
                <w:sz w:val="20"/>
                <w:szCs w:val="20"/>
                <w:color w:val="auto"/>
              </w:rPr>
            </w:pPr>
            <w:r>
              <w:rPr>
                <w:rFonts w:ascii="Arial" w:cs="Arial" w:eastAsia="Arial" w:hAnsi="Arial"/>
                <w:sz w:val="13"/>
                <w:szCs w:val="13"/>
                <w:color w:val="auto"/>
              </w:rPr>
              <w:t>302,917</w:t>
            </w:r>
          </w:p>
        </w:tc>
        <w:tc>
          <w:tcPr>
            <w:tcW w:w="860" w:type="dxa"/>
            <w:vAlign w:val="bottom"/>
            <w:shd w:val="clear" w:color="auto" w:fill="ACABA7"/>
          </w:tcPr>
          <w:p>
            <w:pPr>
              <w:jc w:val="right"/>
              <w:ind w:right="16"/>
              <w:spacing w:after="0" w:line="140" w:lineRule="exact"/>
              <w:rPr>
                <w:sz w:val="20"/>
                <w:szCs w:val="20"/>
                <w:color w:val="auto"/>
              </w:rPr>
            </w:pPr>
            <w:r>
              <w:rPr>
                <w:rFonts w:ascii="Arial" w:cs="Arial" w:eastAsia="Arial" w:hAnsi="Arial"/>
                <w:sz w:val="13"/>
                <w:szCs w:val="13"/>
                <w:color w:val="auto"/>
              </w:rPr>
              <w:t>—</w:t>
            </w:r>
          </w:p>
        </w:tc>
        <w:tc>
          <w:tcPr>
            <w:tcW w:w="92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1480" w:type="dxa"/>
            <w:vAlign w:val="bottom"/>
            <w:shd w:val="clear" w:color="auto" w:fill="ACABA7"/>
          </w:tcPr>
          <w:p>
            <w:pPr>
              <w:spacing w:after="0"/>
              <w:rPr>
                <w:sz w:val="12"/>
                <w:szCs w:val="12"/>
                <w:color w:val="auto"/>
              </w:rPr>
            </w:pPr>
          </w:p>
        </w:tc>
        <w:tc>
          <w:tcPr>
            <w:tcW w:w="72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w:t>
            </w:r>
          </w:p>
        </w:tc>
        <w:tc>
          <w:tcPr>
            <w:tcW w:w="20" w:type="dxa"/>
            <w:vAlign w:val="bottom"/>
            <w:shd w:val="clear" w:color="auto" w:fill="ACABA7"/>
          </w:tcPr>
          <w:p>
            <w:pPr>
              <w:spacing w:after="0"/>
              <w:rPr>
                <w:sz w:val="12"/>
                <w:szCs w:val="12"/>
                <w:color w:val="auto"/>
              </w:rPr>
            </w:pPr>
          </w:p>
        </w:tc>
        <w:tc>
          <w:tcPr>
            <w:tcW w:w="106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w:t>
            </w:r>
          </w:p>
        </w:tc>
        <w:tc>
          <w:tcPr>
            <w:tcW w:w="1240" w:type="dxa"/>
            <w:vAlign w:val="bottom"/>
            <w:shd w:val="clear" w:color="auto" w:fill="ACABA7"/>
          </w:tcPr>
          <w:p>
            <w:pPr>
              <w:jc w:val="right"/>
              <w:ind w:right="76"/>
              <w:spacing w:after="0" w:line="140" w:lineRule="exact"/>
              <w:rPr>
                <w:sz w:val="20"/>
                <w:szCs w:val="20"/>
                <w:color w:val="auto"/>
              </w:rPr>
            </w:pPr>
            <w:r>
              <w:rPr>
                <w:rFonts w:ascii="Arial" w:cs="Arial" w:eastAsia="Arial" w:hAnsi="Arial"/>
                <w:sz w:val="13"/>
                <w:szCs w:val="13"/>
                <w:color w:val="auto"/>
              </w:rPr>
              <w:t>—</w:t>
            </w:r>
          </w:p>
        </w:tc>
        <w:tc>
          <w:tcPr>
            <w:tcW w:w="580" w:type="dxa"/>
            <w:vAlign w:val="bottom"/>
            <w:shd w:val="clear" w:color="auto" w:fill="ACABA7"/>
          </w:tcPr>
          <w:p>
            <w:pPr>
              <w:jc w:val="right"/>
              <w:ind w:right="36"/>
              <w:spacing w:after="0" w:line="140"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ACABA7"/>
          </w:tcPr>
          <w:p>
            <w:pPr>
              <w:jc w:val="right"/>
              <w:ind w:right="220"/>
              <w:spacing w:after="0" w:line="140" w:lineRule="exact"/>
              <w:rPr>
                <w:sz w:val="20"/>
                <w:szCs w:val="20"/>
                <w:color w:val="auto"/>
              </w:rPr>
            </w:pPr>
            <w:r>
              <w:rPr>
                <w:rFonts w:ascii="Arial" w:cs="Arial" w:eastAsia="Arial" w:hAnsi="Arial"/>
                <w:sz w:val="13"/>
                <w:szCs w:val="13"/>
                <w:color w:val="auto"/>
              </w:rPr>
              <w:t>—</w:t>
            </w:r>
          </w:p>
        </w:tc>
        <w:tc>
          <w:tcPr>
            <w:tcW w:w="800" w:type="dxa"/>
            <w:vAlign w:val="bottom"/>
            <w:shd w:val="clear" w:color="auto" w:fill="ACABA7"/>
          </w:tcPr>
          <w:p>
            <w:pPr>
              <w:jc w:val="right"/>
              <w:ind w:right="16"/>
              <w:spacing w:after="0" w:line="140" w:lineRule="exact"/>
              <w:rPr>
                <w:sz w:val="20"/>
                <w:szCs w:val="20"/>
                <w:color w:val="auto"/>
              </w:rPr>
            </w:pPr>
            <w:r>
              <w:rPr>
                <w:rFonts w:ascii="Arial" w:cs="Arial" w:eastAsia="Arial" w:hAnsi="Arial"/>
                <w:sz w:val="13"/>
                <w:szCs w:val="13"/>
                <w:color w:val="auto"/>
              </w:rPr>
              <w:t>3/2/2018</w:t>
            </w:r>
          </w:p>
        </w:tc>
        <w:tc>
          <w:tcPr>
            <w:tcW w:w="900" w:type="dxa"/>
            <w:vAlign w:val="bottom"/>
            <w:shd w:val="clear" w:color="auto" w:fill="ACABA7"/>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920" w:type="dxa"/>
            <w:vAlign w:val="bottom"/>
            <w:shd w:val="clear" w:color="auto" w:fill="ACABA7"/>
          </w:tcPr>
          <w:p>
            <w:pPr>
              <w:jc w:val="right"/>
              <w:ind w:right="96"/>
              <w:spacing w:after="0" w:line="140" w:lineRule="exact"/>
              <w:rPr>
                <w:sz w:val="20"/>
                <w:szCs w:val="20"/>
                <w:color w:val="auto"/>
              </w:rPr>
            </w:pPr>
            <w:r>
              <w:rPr>
                <w:rFonts w:ascii="Arial" w:cs="Arial" w:eastAsia="Arial" w:hAnsi="Arial"/>
                <w:sz w:val="13"/>
                <w:szCs w:val="13"/>
                <w:color w:val="auto"/>
              </w:rPr>
              <w:t>—</w:t>
            </w:r>
          </w:p>
        </w:tc>
        <w:tc>
          <w:tcPr>
            <w:tcW w:w="860" w:type="dxa"/>
            <w:vAlign w:val="bottom"/>
            <w:shd w:val="clear" w:color="auto" w:fill="ACABA7"/>
          </w:tcPr>
          <w:p>
            <w:pPr>
              <w:jc w:val="right"/>
              <w:ind w:right="16"/>
              <w:spacing w:after="0" w:line="140" w:lineRule="exact"/>
              <w:rPr>
                <w:sz w:val="20"/>
                <w:szCs w:val="20"/>
                <w:color w:val="auto"/>
              </w:rPr>
            </w:pPr>
            <w:r>
              <w:rPr>
                <w:rFonts w:ascii="Arial" w:cs="Arial" w:eastAsia="Arial" w:hAnsi="Arial"/>
                <w:sz w:val="13"/>
                <w:szCs w:val="13"/>
                <w:color w:val="auto"/>
              </w:rPr>
              <w:t>6,764</w:t>
            </w:r>
          </w:p>
        </w:tc>
        <w:tc>
          <w:tcPr>
            <w:tcW w:w="92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672,883</w:t>
            </w:r>
          </w:p>
        </w:tc>
        <w:tc>
          <w:tcPr>
            <w:tcW w:w="0" w:type="dxa"/>
            <w:vAlign w:val="bottom"/>
          </w:tcPr>
          <w:p>
            <w:pPr>
              <w:spacing w:after="0"/>
              <w:rPr>
                <w:sz w:val="1"/>
                <w:szCs w:val="1"/>
                <w:color w:val="auto"/>
              </w:rPr>
            </w:pPr>
          </w:p>
        </w:tc>
      </w:tr>
      <w:tr>
        <w:trPr>
          <w:trHeight w:val="140"/>
        </w:trPr>
        <w:tc>
          <w:tcPr>
            <w:tcW w:w="1480" w:type="dxa"/>
            <w:vAlign w:val="bottom"/>
            <w:shd w:val="clear" w:color="auto" w:fill="ACABA7"/>
          </w:tcPr>
          <w:p>
            <w:pPr>
              <w:spacing w:after="0"/>
              <w:rPr>
                <w:sz w:val="12"/>
                <w:szCs w:val="12"/>
                <w:color w:val="auto"/>
              </w:rPr>
            </w:pPr>
          </w:p>
        </w:tc>
        <w:tc>
          <w:tcPr>
            <w:tcW w:w="72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w:t>
            </w:r>
          </w:p>
        </w:tc>
        <w:tc>
          <w:tcPr>
            <w:tcW w:w="20" w:type="dxa"/>
            <w:vAlign w:val="bottom"/>
            <w:shd w:val="clear" w:color="auto" w:fill="ACABA7"/>
          </w:tcPr>
          <w:p>
            <w:pPr>
              <w:spacing w:after="0"/>
              <w:rPr>
                <w:sz w:val="12"/>
                <w:szCs w:val="12"/>
                <w:color w:val="auto"/>
              </w:rPr>
            </w:pPr>
          </w:p>
        </w:tc>
        <w:tc>
          <w:tcPr>
            <w:tcW w:w="106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w:t>
            </w:r>
          </w:p>
        </w:tc>
        <w:tc>
          <w:tcPr>
            <w:tcW w:w="1240" w:type="dxa"/>
            <w:vAlign w:val="bottom"/>
            <w:shd w:val="clear" w:color="auto" w:fill="ACABA7"/>
          </w:tcPr>
          <w:p>
            <w:pPr>
              <w:jc w:val="right"/>
              <w:ind w:right="76"/>
              <w:spacing w:after="0" w:line="140" w:lineRule="exact"/>
              <w:rPr>
                <w:sz w:val="20"/>
                <w:szCs w:val="20"/>
                <w:color w:val="auto"/>
              </w:rPr>
            </w:pPr>
            <w:r>
              <w:rPr>
                <w:rFonts w:ascii="Arial" w:cs="Arial" w:eastAsia="Arial" w:hAnsi="Arial"/>
                <w:sz w:val="13"/>
                <w:szCs w:val="13"/>
                <w:color w:val="auto"/>
              </w:rPr>
              <w:t>—</w:t>
            </w:r>
          </w:p>
        </w:tc>
        <w:tc>
          <w:tcPr>
            <w:tcW w:w="580" w:type="dxa"/>
            <w:vAlign w:val="bottom"/>
            <w:shd w:val="clear" w:color="auto" w:fill="ACABA7"/>
          </w:tcPr>
          <w:p>
            <w:pPr>
              <w:jc w:val="right"/>
              <w:ind w:right="36"/>
              <w:spacing w:after="0" w:line="140"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ACABA7"/>
          </w:tcPr>
          <w:p>
            <w:pPr>
              <w:jc w:val="right"/>
              <w:ind w:right="220"/>
              <w:spacing w:after="0" w:line="140" w:lineRule="exact"/>
              <w:rPr>
                <w:sz w:val="20"/>
                <w:szCs w:val="20"/>
                <w:color w:val="auto"/>
              </w:rPr>
            </w:pPr>
            <w:r>
              <w:rPr>
                <w:rFonts w:ascii="Arial" w:cs="Arial" w:eastAsia="Arial" w:hAnsi="Arial"/>
                <w:sz w:val="13"/>
                <w:szCs w:val="13"/>
                <w:color w:val="auto"/>
              </w:rPr>
              <w:t>—</w:t>
            </w:r>
          </w:p>
        </w:tc>
        <w:tc>
          <w:tcPr>
            <w:tcW w:w="800" w:type="dxa"/>
            <w:vAlign w:val="bottom"/>
            <w:shd w:val="clear" w:color="auto" w:fill="ACABA7"/>
          </w:tcPr>
          <w:p>
            <w:pPr>
              <w:jc w:val="right"/>
              <w:ind w:right="16"/>
              <w:spacing w:after="0" w:line="140" w:lineRule="exact"/>
              <w:rPr>
                <w:sz w:val="20"/>
                <w:szCs w:val="20"/>
                <w:color w:val="auto"/>
              </w:rPr>
            </w:pPr>
            <w:r>
              <w:rPr>
                <w:rFonts w:ascii="Arial" w:cs="Arial" w:eastAsia="Arial" w:hAnsi="Arial"/>
                <w:sz w:val="13"/>
                <w:szCs w:val="13"/>
                <w:color w:val="auto"/>
              </w:rPr>
              <w:t>3/8/2019</w:t>
            </w:r>
          </w:p>
        </w:tc>
        <w:tc>
          <w:tcPr>
            <w:tcW w:w="900" w:type="dxa"/>
            <w:vAlign w:val="bottom"/>
            <w:shd w:val="clear" w:color="auto" w:fill="ACABA7"/>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920" w:type="dxa"/>
            <w:vAlign w:val="bottom"/>
            <w:shd w:val="clear" w:color="auto" w:fill="ACABA7"/>
          </w:tcPr>
          <w:p>
            <w:pPr>
              <w:jc w:val="right"/>
              <w:ind w:right="96"/>
              <w:spacing w:after="0" w:line="140" w:lineRule="exact"/>
              <w:rPr>
                <w:sz w:val="20"/>
                <w:szCs w:val="20"/>
                <w:color w:val="auto"/>
              </w:rPr>
            </w:pPr>
            <w:r>
              <w:rPr>
                <w:rFonts w:ascii="Arial" w:cs="Arial" w:eastAsia="Arial" w:hAnsi="Arial"/>
                <w:sz w:val="13"/>
                <w:szCs w:val="13"/>
                <w:color w:val="auto"/>
              </w:rPr>
              <w:t>—</w:t>
            </w:r>
          </w:p>
        </w:tc>
        <w:tc>
          <w:tcPr>
            <w:tcW w:w="860" w:type="dxa"/>
            <w:vAlign w:val="bottom"/>
            <w:shd w:val="clear" w:color="auto" w:fill="ACABA7"/>
          </w:tcPr>
          <w:p>
            <w:pPr>
              <w:jc w:val="right"/>
              <w:ind w:right="16"/>
              <w:spacing w:after="0" w:line="140" w:lineRule="exact"/>
              <w:rPr>
                <w:sz w:val="20"/>
                <w:szCs w:val="20"/>
                <w:color w:val="auto"/>
              </w:rPr>
            </w:pPr>
            <w:r>
              <w:rPr>
                <w:rFonts w:ascii="Arial" w:cs="Arial" w:eastAsia="Arial" w:hAnsi="Arial"/>
                <w:sz w:val="13"/>
                <w:szCs w:val="13"/>
                <w:color w:val="auto"/>
              </w:rPr>
              <w:t>4,962</w:t>
            </w:r>
          </w:p>
        </w:tc>
        <w:tc>
          <w:tcPr>
            <w:tcW w:w="92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493,620</w:t>
            </w:r>
          </w:p>
        </w:tc>
        <w:tc>
          <w:tcPr>
            <w:tcW w:w="0" w:type="dxa"/>
            <w:vAlign w:val="bottom"/>
          </w:tcPr>
          <w:p>
            <w:pPr>
              <w:spacing w:after="0"/>
              <w:rPr>
                <w:sz w:val="1"/>
                <w:szCs w:val="1"/>
                <w:color w:val="auto"/>
              </w:rPr>
            </w:pPr>
          </w:p>
        </w:tc>
      </w:tr>
      <w:tr>
        <w:trPr>
          <w:trHeight w:val="140"/>
        </w:trPr>
        <w:tc>
          <w:tcPr>
            <w:tcW w:w="1480" w:type="dxa"/>
            <w:vAlign w:val="bottom"/>
            <w:shd w:val="clear" w:color="auto" w:fill="ACABA7"/>
          </w:tcPr>
          <w:p>
            <w:pPr>
              <w:spacing w:after="0"/>
              <w:rPr>
                <w:sz w:val="12"/>
                <w:szCs w:val="12"/>
                <w:color w:val="auto"/>
              </w:rPr>
            </w:pPr>
          </w:p>
        </w:tc>
        <w:tc>
          <w:tcPr>
            <w:tcW w:w="720" w:type="dxa"/>
            <w:vAlign w:val="bottom"/>
            <w:shd w:val="clear" w:color="auto" w:fill="ACABA7"/>
          </w:tcPr>
          <w:p>
            <w:pPr>
              <w:jc w:val="right"/>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ACABA7"/>
          </w:tcPr>
          <w:p>
            <w:pPr>
              <w:spacing w:after="0"/>
              <w:rPr>
                <w:sz w:val="12"/>
                <w:szCs w:val="12"/>
                <w:color w:val="auto"/>
              </w:rPr>
            </w:pPr>
          </w:p>
        </w:tc>
        <w:tc>
          <w:tcPr>
            <w:tcW w:w="1060" w:type="dxa"/>
            <w:vAlign w:val="bottom"/>
            <w:shd w:val="clear" w:color="auto" w:fill="ACABA7"/>
          </w:tcPr>
          <w:p>
            <w:pPr>
              <w:jc w:val="right"/>
              <w:spacing w:after="0" w:line="141" w:lineRule="exact"/>
              <w:rPr>
                <w:sz w:val="20"/>
                <w:szCs w:val="20"/>
                <w:color w:val="auto"/>
              </w:rPr>
            </w:pPr>
            <w:r>
              <w:rPr>
                <w:rFonts w:ascii="Arial" w:cs="Arial" w:eastAsia="Arial" w:hAnsi="Arial"/>
                <w:sz w:val="13"/>
                <w:szCs w:val="13"/>
                <w:color w:val="auto"/>
              </w:rPr>
              <w:t>—</w:t>
            </w:r>
          </w:p>
        </w:tc>
        <w:tc>
          <w:tcPr>
            <w:tcW w:w="1240" w:type="dxa"/>
            <w:vAlign w:val="bottom"/>
            <w:shd w:val="clear" w:color="auto" w:fill="ACABA7"/>
          </w:tcPr>
          <w:p>
            <w:pPr>
              <w:jc w:val="right"/>
              <w:ind w:right="76"/>
              <w:spacing w:after="0" w:line="141" w:lineRule="exact"/>
              <w:rPr>
                <w:sz w:val="20"/>
                <w:szCs w:val="20"/>
                <w:color w:val="auto"/>
              </w:rPr>
            </w:pPr>
            <w:r>
              <w:rPr>
                <w:rFonts w:ascii="Arial" w:cs="Arial" w:eastAsia="Arial" w:hAnsi="Arial"/>
                <w:sz w:val="13"/>
                <w:szCs w:val="13"/>
                <w:color w:val="auto"/>
              </w:rPr>
              <w:t>—</w:t>
            </w:r>
          </w:p>
        </w:tc>
        <w:tc>
          <w:tcPr>
            <w:tcW w:w="580" w:type="dxa"/>
            <w:vAlign w:val="bottom"/>
            <w:shd w:val="clear" w:color="auto" w:fill="ACABA7"/>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ACABA7"/>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800" w:type="dxa"/>
            <w:vAlign w:val="bottom"/>
            <w:shd w:val="clear" w:color="auto" w:fill="ACABA7"/>
          </w:tcPr>
          <w:p>
            <w:pPr>
              <w:jc w:val="right"/>
              <w:ind w:right="16"/>
              <w:spacing w:after="0" w:line="141" w:lineRule="exact"/>
              <w:rPr>
                <w:sz w:val="20"/>
                <w:szCs w:val="20"/>
                <w:color w:val="auto"/>
              </w:rPr>
            </w:pPr>
            <w:r>
              <w:rPr>
                <w:rFonts w:ascii="Arial" w:cs="Arial" w:eastAsia="Arial" w:hAnsi="Arial"/>
                <w:sz w:val="13"/>
                <w:szCs w:val="13"/>
                <w:color w:val="auto"/>
              </w:rPr>
              <w:t>3/8/2019</w:t>
            </w:r>
          </w:p>
        </w:tc>
        <w:tc>
          <w:tcPr>
            <w:tcW w:w="900" w:type="dxa"/>
            <w:vAlign w:val="bottom"/>
            <w:shd w:val="clear" w:color="auto" w:fill="ACABA7"/>
          </w:tcPr>
          <w:p>
            <w:pPr>
              <w:jc w:val="right"/>
              <w:ind w:right="17"/>
              <w:spacing w:after="0" w:line="141" w:lineRule="exact"/>
              <w:rPr>
                <w:sz w:val="20"/>
                <w:szCs w:val="20"/>
                <w:color w:val="auto"/>
              </w:rPr>
            </w:pPr>
            <w:r>
              <w:rPr>
                <w:rFonts w:ascii="Arial" w:cs="Arial" w:eastAsia="Arial" w:hAnsi="Arial"/>
                <w:sz w:val="13"/>
                <w:szCs w:val="13"/>
                <w:color w:val="auto"/>
              </w:rPr>
              <w:t>—</w:t>
            </w:r>
          </w:p>
        </w:tc>
        <w:tc>
          <w:tcPr>
            <w:tcW w:w="920" w:type="dxa"/>
            <w:vAlign w:val="bottom"/>
            <w:shd w:val="clear" w:color="auto" w:fill="ACABA7"/>
          </w:tcPr>
          <w:p>
            <w:pPr>
              <w:jc w:val="right"/>
              <w:ind w:right="96"/>
              <w:spacing w:after="0" w:line="141" w:lineRule="exact"/>
              <w:rPr>
                <w:sz w:val="20"/>
                <w:szCs w:val="20"/>
                <w:color w:val="auto"/>
              </w:rPr>
            </w:pPr>
            <w:r>
              <w:rPr>
                <w:rFonts w:ascii="Arial" w:cs="Arial" w:eastAsia="Arial" w:hAnsi="Arial"/>
                <w:sz w:val="13"/>
                <w:szCs w:val="13"/>
                <w:color w:val="auto"/>
              </w:rPr>
              <w:t>—</w:t>
            </w:r>
          </w:p>
        </w:tc>
        <w:tc>
          <w:tcPr>
            <w:tcW w:w="860" w:type="dxa"/>
            <w:vAlign w:val="bottom"/>
            <w:shd w:val="clear" w:color="auto" w:fill="ACABA7"/>
          </w:tcPr>
          <w:p>
            <w:pPr>
              <w:jc w:val="right"/>
              <w:ind w:right="16"/>
              <w:spacing w:after="0" w:line="141" w:lineRule="exact"/>
              <w:rPr>
                <w:sz w:val="20"/>
                <w:szCs w:val="20"/>
                <w:color w:val="auto"/>
              </w:rPr>
            </w:pPr>
            <w:r>
              <w:rPr>
                <w:rFonts w:ascii="Arial" w:cs="Arial" w:eastAsia="Arial" w:hAnsi="Arial"/>
                <w:sz w:val="13"/>
                <w:szCs w:val="13"/>
                <w:color w:val="auto"/>
              </w:rPr>
              <w:t>8,270</w:t>
            </w:r>
          </w:p>
        </w:tc>
        <w:tc>
          <w:tcPr>
            <w:tcW w:w="920" w:type="dxa"/>
            <w:vAlign w:val="bottom"/>
            <w:shd w:val="clear" w:color="auto" w:fill="ACABA7"/>
          </w:tcPr>
          <w:p>
            <w:pPr>
              <w:jc w:val="right"/>
              <w:spacing w:after="0" w:line="141" w:lineRule="exact"/>
              <w:rPr>
                <w:sz w:val="20"/>
                <w:szCs w:val="20"/>
                <w:color w:val="auto"/>
              </w:rPr>
            </w:pPr>
            <w:r>
              <w:rPr>
                <w:rFonts w:ascii="Arial" w:cs="Arial" w:eastAsia="Arial" w:hAnsi="Arial"/>
                <w:sz w:val="13"/>
                <w:szCs w:val="13"/>
                <w:color w:val="auto"/>
              </w:rPr>
              <w:t>822,700</w:t>
            </w:r>
          </w:p>
        </w:tc>
        <w:tc>
          <w:tcPr>
            <w:tcW w:w="0" w:type="dxa"/>
            <w:vAlign w:val="bottom"/>
          </w:tcPr>
          <w:p>
            <w:pPr>
              <w:spacing w:after="0"/>
              <w:rPr>
                <w:sz w:val="1"/>
                <w:szCs w:val="1"/>
                <w:color w:val="auto"/>
              </w:rPr>
            </w:pPr>
          </w:p>
        </w:tc>
      </w:tr>
      <w:tr>
        <w:trPr>
          <w:trHeight w:val="139"/>
        </w:trPr>
        <w:tc>
          <w:tcPr>
            <w:tcW w:w="1480" w:type="dxa"/>
            <w:vAlign w:val="bottom"/>
          </w:tcPr>
          <w:p>
            <w:pPr>
              <w:spacing w:after="0" w:line="139" w:lineRule="exact"/>
              <w:rPr>
                <w:sz w:val="20"/>
                <w:szCs w:val="20"/>
                <w:color w:val="auto"/>
              </w:rPr>
            </w:pPr>
            <w:r>
              <w:rPr>
                <w:rFonts w:ascii="Arial" w:cs="Arial" w:eastAsia="Arial" w:hAnsi="Arial"/>
                <w:sz w:val="13"/>
                <w:szCs w:val="13"/>
                <w:color w:val="auto"/>
              </w:rPr>
              <w:t>Mr. Fasano</w:t>
            </w:r>
          </w:p>
        </w:tc>
        <w:tc>
          <w:tcPr>
            <w:tcW w:w="720" w:type="dxa"/>
            <w:vAlign w:val="bottom"/>
          </w:tcPr>
          <w:p>
            <w:pPr>
              <w:jc w:val="right"/>
              <w:spacing w:after="0" w:line="139" w:lineRule="exact"/>
              <w:rPr>
                <w:sz w:val="20"/>
                <w:szCs w:val="20"/>
                <w:color w:val="auto"/>
              </w:rPr>
            </w:pPr>
            <w:r>
              <w:rPr>
                <w:rFonts w:ascii="Arial" w:cs="Arial" w:eastAsia="Arial" w:hAnsi="Arial"/>
                <w:sz w:val="13"/>
                <w:szCs w:val="13"/>
                <w:color w:val="auto"/>
              </w:rPr>
              <w:t>3/3/2017</w:t>
            </w:r>
          </w:p>
        </w:tc>
        <w:tc>
          <w:tcPr>
            <w:tcW w:w="20" w:type="dxa"/>
            <w:vAlign w:val="bottom"/>
          </w:tcPr>
          <w:p>
            <w:pPr>
              <w:spacing w:after="0"/>
              <w:rPr>
                <w:sz w:val="12"/>
                <w:szCs w:val="12"/>
                <w:color w:val="auto"/>
              </w:rPr>
            </w:pPr>
          </w:p>
        </w:tc>
        <w:tc>
          <w:tcPr>
            <w:tcW w:w="1060" w:type="dxa"/>
            <w:vAlign w:val="bottom"/>
          </w:tcPr>
          <w:p>
            <w:pPr>
              <w:jc w:val="right"/>
              <w:spacing w:after="0" w:line="139" w:lineRule="exact"/>
              <w:rPr>
                <w:sz w:val="20"/>
                <w:szCs w:val="20"/>
                <w:color w:val="auto"/>
              </w:rPr>
            </w:pPr>
            <w:r>
              <w:rPr>
                <w:rFonts w:ascii="Arial" w:cs="Arial" w:eastAsia="Arial" w:hAnsi="Arial"/>
                <w:sz w:val="13"/>
                <w:szCs w:val="13"/>
                <w:color w:val="auto"/>
              </w:rPr>
              <w:t>6,561</w:t>
            </w:r>
          </w:p>
        </w:tc>
        <w:tc>
          <w:tcPr>
            <w:tcW w:w="1240" w:type="dxa"/>
            <w:vAlign w:val="bottom"/>
          </w:tcPr>
          <w:p>
            <w:pPr>
              <w:jc w:val="right"/>
              <w:ind w:right="76"/>
              <w:spacing w:after="0" w:line="139" w:lineRule="exact"/>
              <w:rPr>
                <w:sz w:val="20"/>
                <w:szCs w:val="20"/>
                <w:color w:val="auto"/>
              </w:rPr>
            </w:pPr>
            <w:r>
              <w:rPr>
                <w:rFonts w:ascii="Arial" w:cs="Arial" w:eastAsia="Arial" w:hAnsi="Arial"/>
                <w:sz w:val="13"/>
                <w:szCs w:val="13"/>
                <w:color w:val="auto"/>
              </w:rPr>
              <w:t>6,561</w:t>
            </w:r>
          </w:p>
        </w:tc>
        <w:tc>
          <w:tcPr>
            <w:tcW w:w="580" w:type="dxa"/>
            <w:vAlign w:val="bottom"/>
          </w:tcPr>
          <w:p>
            <w:pPr>
              <w:jc w:val="right"/>
              <w:ind w:right="36"/>
              <w:spacing w:after="0" w:line="139" w:lineRule="exact"/>
              <w:rPr>
                <w:sz w:val="20"/>
                <w:szCs w:val="20"/>
                <w:color w:val="auto"/>
              </w:rPr>
            </w:pPr>
            <w:r>
              <w:rPr>
                <w:rFonts w:ascii="Arial" w:cs="Arial" w:eastAsia="Arial" w:hAnsi="Arial"/>
                <w:sz w:val="13"/>
                <w:szCs w:val="13"/>
                <w:color w:val="auto"/>
              </w:rPr>
              <w:t>53.54</w:t>
            </w:r>
          </w:p>
        </w:tc>
        <w:tc>
          <w:tcPr>
            <w:tcW w:w="700" w:type="dxa"/>
            <w:vAlign w:val="bottom"/>
          </w:tcPr>
          <w:p>
            <w:pPr>
              <w:jc w:val="right"/>
              <w:spacing w:after="0" w:line="139" w:lineRule="exact"/>
              <w:rPr>
                <w:sz w:val="20"/>
                <w:szCs w:val="20"/>
                <w:color w:val="auto"/>
              </w:rPr>
            </w:pPr>
            <w:r>
              <w:rPr>
                <w:rFonts w:ascii="Arial" w:cs="Arial" w:eastAsia="Arial" w:hAnsi="Arial"/>
                <w:sz w:val="13"/>
                <w:szCs w:val="13"/>
                <w:color w:val="auto"/>
              </w:rPr>
              <w:t>3/2/2024</w:t>
            </w:r>
          </w:p>
        </w:tc>
        <w:tc>
          <w:tcPr>
            <w:tcW w:w="180" w:type="dxa"/>
            <w:vAlign w:val="bottom"/>
          </w:tcPr>
          <w:p>
            <w:pPr>
              <w:spacing w:after="0"/>
              <w:rPr>
                <w:sz w:val="12"/>
                <w:szCs w:val="12"/>
                <w:color w:val="auto"/>
              </w:rPr>
            </w:pPr>
          </w:p>
        </w:tc>
        <w:tc>
          <w:tcPr>
            <w:tcW w:w="800" w:type="dxa"/>
            <w:vAlign w:val="bottom"/>
          </w:tcPr>
          <w:p>
            <w:pPr>
              <w:jc w:val="right"/>
              <w:ind w:right="16"/>
              <w:spacing w:after="0" w:line="139" w:lineRule="exact"/>
              <w:rPr>
                <w:sz w:val="20"/>
                <w:szCs w:val="20"/>
                <w:color w:val="auto"/>
              </w:rPr>
            </w:pPr>
            <w:r>
              <w:rPr>
                <w:rFonts w:ascii="Arial" w:cs="Arial" w:eastAsia="Arial" w:hAnsi="Arial"/>
                <w:sz w:val="13"/>
                <w:szCs w:val="13"/>
                <w:color w:val="auto"/>
              </w:rPr>
              <w:t>3/3/2017</w:t>
            </w:r>
          </w:p>
        </w:tc>
        <w:tc>
          <w:tcPr>
            <w:tcW w:w="900" w:type="dxa"/>
            <w:vAlign w:val="bottom"/>
          </w:tcPr>
          <w:p>
            <w:pPr>
              <w:jc w:val="right"/>
              <w:ind w:right="17"/>
              <w:spacing w:after="0" w:line="139" w:lineRule="exact"/>
              <w:rPr>
                <w:sz w:val="20"/>
                <w:szCs w:val="20"/>
                <w:color w:val="auto"/>
              </w:rPr>
            </w:pPr>
            <w:r>
              <w:rPr>
                <w:rFonts w:ascii="Arial" w:cs="Arial" w:eastAsia="Arial" w:hAnsi="Arial"/>
                <w:sz w:val="13"/>
                <w:szCs w:val="13"/>
                <w:color w:val="auto"/>
              </w:rPr>
              <w:t>1,997</w:t>
            </w:r>
          </w:p>
        </w:tc>
        <w:tc>
          <w:tcPr>
            <w:tcW w:w="920" w:type="dxa"/>
            <w:vAlign w:val="bottom"/>
          </w:tcPr>
          <w:p>
            <w:pPr>
              <w:jc w:val="right"/>
              <w:ind w:right="96"/>
              <w:spacing w:after="0" w:line="139" w:lineRule="exact"/>
              <w:rPr>
                <w:sz w:val="20"/>
                <w:szCs w:val="20"/>
                <w:color w:val="auto"/>
              </w:rPr>
            </w:pPr>
            <w:r>
              <w:rPr>
                <w:rFonts w:ascii="Arial" w:cs="Arial" w:eastAsia="Arial" w:hAnsi="Arial"/>
                <w:sz w:val="13"/>
                <w:szCs w:val="13"/>
                <w:color w:val="auto"/>
              </w:rPr>
              <w:t>198,662</w:t>
            </w:r>
          </w:p>
        </w:tc>
        <w:tc>
          <w:tcPr>
            <w:tcW w:w="860" w:type="dxa"/>
            <w:vAlign w:val="bottom"/>
          </w:tcPr>
          <w:p>
            <w:pPr>
              <w:jc w:val="right"/>
              <w:ind w:right="16"/>
              <w:spacing w:after="0" w:line="139"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3/2/2018</w:t>
            </w:r>
          </w:p>
        </w:tc>
        <w:tc>
          <w:tcPr>
            <w:tcW w:w="108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2,534</w:t>
            </w:r>
          </w:p>
        </w:tc>
        <w:tc>
          <w:tcPr>
            <w:tcW w:w="1240" w:type="dxa"/>
            <w:vAlign w:val="bottom"/>
          </w:tcPr>
          <w:p>
            <w:pPr>
              <w:jc w:val="right"/>
              <w:ind w:right="76"/>
              <w:spacing w:after="0" w:line="140" w:lineRule="exact"/>
              <w:rPr>
                <w:sz w:val="20"/>
                <w:szCs w:val="20"/>
                <w:color w:val="auto"/>
              </w:rPr>
            </w:pPr>
            <w:r>
              <w:rPr>
                <w:rFonts w:ascii="Arial" w:cs="Arial" w:eastAsia="Arial" w:hAnsi="Arial"/>
                <w:sz w:val="13"/>
                <w:szCs w:val="13"/>
                <w:color w:val="auto"/>
              </w:rPr>
              <w:t>7,602</w:t>
            </w:r>
          </w:p>
        </w:tc>
        <w:tc>
          <w:tcPr>
            <w:tcW w:w="580" w:type="dxa"/>
            <w:vAlign w:val="bottom"/>
          </w:tcPr>
          <w:p>
            <w:pPr>
              <w:jc w:val="right"/>
              <w:ind w:right="36"/>
              <w:spacing w:after="0" w:line="140" w:lineRule="exact"/>
              <w:rPr>
                <w:sz w:val="20"/>
                <w:szCs w:val="20"/>
                <w:color w:val="auto"/>
              </w:rPr>
            </w:pPr>
            <w:r>
              <w:rPr>
                <w:rFonts w:ascii="Arial" w:cs="Arial" w:eastAsia="Arial" w:hAnsi="Arial"/>
                <w:sz w:val="13"/>
                <w:szCs w:val="13"/>
                <w:color w:val="auto"/>
              </w:rPr>
              <w:t>63.76</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3/1/2025</w:t>
            </w:r>
          </w:p>
        </w:tc>
        <w:tc>
          <w:tcPr>
            <w:tcW w:w="180" w:type="dxa"/>
            <w:vAlign w:val="bottom"/>
          </w:tcPr>
          <w:p>
            <w:pPr>
              <w:spacing w:after="0"/>
              <w:rPr>
                <w:sz w:val="12"/>
                <w:szCs w:val="12"/>
                <w:color w:val="auto"/>
              </w:rPr>
            </w:pPr>
          </w:p>
        </w:tc>
        <w:tc>
          <w:tcPr>
            <w:tcW w:w="800" w:type="dxa"/>
            <w:vAlign w:val="bottom"/>
          </w:tcPr>
          <w:p>
            <w:pPr>
              <w:jc w:val="right"/>
              <w:ind w:right="16"/>
              <w:spacing w:after="0" w:line="140" w:lineRule="exact"/>
              <w:rPr>
                <w:sz w:val="20"/>
                <w:szCs w:val="20"/>
                <w:color w:val="auto"/>
              </w:rPr>
            </w:pPr>
            <w:r>
              <w:rPr>
                <w:rFonts w:ascii="Arial" w:cs="Arial" w:eastAsia="Arial" w:hAnsi="Arial"/>
                <w:sz w:val="13"/>
                <w:szCs w:val="13"/>
                <w:color w:val="auto"/>
              </w:rPr>
              <w:t>3/3/2017</w:t>
            </w:r>
          </w:p>
        </w:tc>
        <w:tc>
          <w:tcPr>
            <w:tcW w:w="9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96"/>
              <w:spacing w:after="0" w:line="140"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line="140" w:lineRule="exact"/>
              <w:rPr>
                <w:sz w:val="20"/>
                <w:szCs w:val="20"/>
                <w:color w:val="auto"/>
              </w:rPr>
            </w:pPr>
            <w:r>
              <w:rPr>
                <w:rFonts w:ascii="Arial" w:cs="Arial" w:eastAsia="Arial" w:hAnsi="Arial"/>
                <w:sz w:val="13"/>
                <w:szCs w:val="13"/>
                <w:color w:val="auto"/>
              </w:rPr>
              <w:t>6,654</w:t>
            </w:r>
          </w:p>
        </w:tc>
        <w:tc>
          <w:tcPr>
            <w:tcW w:w="920" w:type="dxa"/>
            <w:vAlign w:val="bottom"/>
          </w:tcPr>
          <w:p>
            <w:pPr>
              <w:jc w:val="right"/>
              <w:spacing w:after="0" w:line="140" w:lineRule="exact"/>
              <w:rPr>
                <w:sz w:val="20"/>
                <w:szCs w:val="20"/>
                <w:color w:val="auto"/>
              </w:rPr>
            </w:pPr>
            <w:r>
              <w:rPr>
                <w:rFonts w:ascii="Arial" w:cs="Arial" w:eastAsia="Arial" w:hAnsi="Arial"/>
                <w:sz w:val="13"/>
                <w:szCs w:val="13"/>
                <w:color w:val="auto"/>
              </w:rPr>
              <w:t>661,940</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3/8/2019</w:t>
            </w:r>
          </w:p>
        </w:tc>
        <w:tc>
          <w:tcPr>
            <w:tcW w:w="20" w:type="dxa"/>
            <w:vAlign w:val="bottom"/>
          </w:tcPr>
          <w:p>
            <w:pPr>
              <w:spacing w:after="0"/>
              <w:rPr>
                <w:sz w:val="12"/>
                <w:szCs w:val="12"/>
                <w:color w:val="auto"/>
              </w:rPr>
            </w:pPr>
          </w:p>
        </w:tc>
        <w:tc>
          <w:tcPr>
            <w:tcW w:w="106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240" w:type="dxa"/>
            <w:vAlign w:val="bottom"/>
          </w:tcPr>
          <w:p>
            <w:pPr>
              <w:jc w:val="right"/>
              <w:ind w:right="76"/>
              <w:spacing w:after="0" w:line="140" w:lineRule="exact"/>
              <w:rPr>
                <w:sz w:val="20"/>
                <w:szCs w:val="20"/>
                <w:color w:val="auto"/>
              </w:rPr>
            </w:pPr>
            <w:r>
              <w:rPr>
                <w:rFonts w:ascii="Arial" w:cs="Arial" w:eastAsia="Arial" w:hAnsi="Arial"/>
                <w:sz w:val="13"/>
                <w:szCs w:val="13"/>
                <w:color w:val="auto"/>
              </w:rPr>
              <w:t>18,438</w:t>
            </w:r>
          </w:p>
        </w:tc>
        <w:tc>
          <w:tcPr>
            <w:tcW w:w="580" w:type="dxa"/>
            <w:vAlign w:val="bottom"/>
          </w:tcPr>
          <w:p>
            <w:pPr>
              <w:jc w:val="right"/>
              <w:ind w:right="36"/>
              <w:spacing w:after="0" w:line="140" w:lineRule="exact"/>
              <w:rPr>
                <w:sz w:val="20"/>
                <w:szCs w:val="20"/>
                <w:color w:val="auto"/>
              </w:rPr>
            </w:pPr>
            <w:r>
              <w:rPr>
                <w:rFonts w:ascii="Arial" w:cs="Arial" w:eastAsia="Arial" w:hAnsi="Arial"/>
                <w:sz w:val="13"/>
                <w:szCs w:val="13"/>
                <w:color w:val="auto"/>
              </w:rPr>
              <w:t>62.43</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3/7/2026</w:t>
            </w:r>
          </w:p>
        </w:tc>
        <w:tc>
          <w:tcPr>
            <w:tcW w:w="180" w:type="dxa"/>
            <w:vAlign w:val="bottom"/>
          </w:tcPr>
          <w:p>
            <w:pPr>
              <w:spacing w:after="0"/>
              <w:rPr>
                <w:sz w:val="12"/>
                <w:szCs w:val="12"/>
                <w:color w:val="auto"/>
              </w:rPr>
            </w:pPr>
          </w:p>
        </w:tc>
        <w:tc>
          <w:tcPr>
            <w:tcW w:w="800" w:type="dxa"/>
            <w:vAlign w:val="bottom"/>
          </w:tcPr>
          <w:p>
            <w:pPr>
              <w:jc w:val="right"/>
              <w:ind w:right="16"/>
              <w:spacing w:after="0" w:line="140" w:lineRule="exact"/>
              <w:rPr>
                <w:sz w:val="20"/>
                <w:szCs w:val="20"/>
                <w:color w:val="auto"/>
              </w:rPr>
            </w:pPr>
            <w:r>
              <w:rPr>
                <w:rFonts w:ascii="Arial" w:cs="Arial" w:eastAsia="Arial" w:hAnsi="Arial"/>
                <w:sz w:val="13"/>
                <w:szCs w:val="13"/>
                <w:color w:val="auto"/>
              </w:rPr>
              <w:t>3/2/2018</w:t>
            </w:r>
          </w:p>
        </w:tc>
        <w:tc>
          <w:tcPr>
            <w:tcW w:w="9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2,515</w:t>
            </w:r>
          </w:p>
        </w:tc>
        <w:tc>
          <w:tcPr>
            <w:tcW w:w="920" w:type="dxa"/>
            <w:vAlign w:val="bottom"/>
          </w:tcPr>
          <w:p>
            <w:pPr>
              <w:jc w:val="right"/>
              <w:ind w:right="96"/>
              <w:spacing w:after="0" w:line="140" w:lineRule="exact"/>
              <w:rPr>
                <w:sz w:val="20"/>
                <w:szCs w:val="20"/>
                <w:color w:val="auto"/>
              </w:rPr>
            </w:pPr>
            <w:r>
              <w:rPr>
                <w:rFonts w:ascii="Arial" w:cs="Arial" w:eastAsia="Arial" w:hAnsi="Arial"/>
                <w:sz w:val="13"/>
                <w:szCs w:val="13"/>
                <w:color w:val="auto"/>
              </w:rPr>
              <w:t>250,192</w:t>
            </w:r>
          </w:p>
        </w:tc>
        <w:tc>
          <w:tcPr>
            <w:tcW w:w="860" w:type="dxa"/>
            <w:vAlign w:val="bottom"/>
          </w:tcPr>
          <w:p>
            <w:pPr>
              <w:jc w:val="right"/>
              <w:ind w:right="16"/>
              <w:spacing w:after="0" w:line="140"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6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240" w:type="dxa"/>
            <w:vAlign w:val="bottom"/>
          </w:tcPr>
          <w:p>
            <w:pPr>
              <w:jc w:val="right"/>
              <w:ind w:right="76"/>
              <w:spacing w:after="0" w:line="140"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36"/>
              <w:spacing w:after="0" w:line="140"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40"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line="140" w:lineRule="exact"/>
              <w:rPr>
                <w:sz w:val="20"/>
                <w:szCs w:val="20"/>
                <w:color w:val="auto"/>
              </w:rPr>
            </w:pPr>
            <w:r>
              <w:rPr>
                <w:rFonts w:ascii="Arial" w:cs="Arial" w:eastAsia="Arial" w:hAnsi="Arial"/>
                <w:sz w:val="13"/>
                <w:szCs w:val="13"/>
                <w:color w:val="auto"/>
              </w:rPr>
              <w:t>3/2/2018</w:t>
            </w:r>
          </w:p>
        </w:tc>
        <w:tc>
          <w:tcPr>
            <w:tcW w:w="9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96"/>
              <w:spacing w:after="0" w:line="140"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line="140" w:lineRule="exact"/>
              <w:rPr>
                <w:sz w:val="20"/>
                <w:szCs w:val="20"/>
                <w:color w:val="auto"/>
              </w:rPr>
            </w:pPr>
            <w:r>
              <w:rPr>
                <w:rFonts w:ascii="Arial" w:cs="Arial" w:eastAsia="Arial" w:hAnsi="Arial"/>
                <w:sz w:val="13"/>
                <w:szCs w:val="13"/>
                <w:color w:val="auto"/>
              </w:rPr>
              <w:t>5,588</w:t>
            </w:r>
          </w:p>
        </w:tc>
        <w:tc>
          <w:tcPr>
            <w:tcW w:w="920" w:type="dxa"/>
            <w:vAlign w:val="bottom"/>
          </w:tcPr>
          <w:p>
            <w:pPr>
              <w:jc w:val="right"/>
              <w:spacing w:after="0" w:line="140" w:lineRule="exact"/>
              <w:rPr>
                <w:sz w:val="20"/>
                <w:szCs w:val="20"/>
                <w:color w:val="auto"/>
              </w:rPr>
            </w:pPr>
            <w:r>
              <w:rPr>
                <w:rFonts w:ascii="Arial" w:cs="Arial" w:eastAsia="Arial" w:hAnsi="Arial"/>
                <w:sz w:val="13"/>
                <w:szCs w:val="13"/>
                <w:color w:val="auto"/>
              </w:rPr>
              <w:t>555,894</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6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240" w:type="dxa"/>
            <w:vAlign w:val="bottom"/>
          </w:tcPr>
          <w:p>
            <w:pPr>
              <w:jc w:val="right"/>
              <w:ind w:right="76"/>
              <w:spacing w:after="0" w:line="140"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36"/>
              <w:spacing w:after="0" w:line="140"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40"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line="140" w:lineRule="exact"/>
              <w:rPr>
                <w:sz w:val="20"/>
                <w:szCs w:val="20"/>
                <w:color w:val="auto"/>
              </w:rPr>
            </w:pPr>
            <w:r>
              <w:rPr>
                <w:rFonts w:ascii="Arial" w:cs="Arial" w:eastAsia="Arial" w:hAnsi="Arial"/>
                <w:sz w:val="13"/>
                <w:szCs w:val="13"/>
                <w:color w:val="auto"/>
              </w:rPr>
              <w:t>3/8/2019</w:t>
            </w:r>
          </w:p>
        </w:tc>
        <w:tc>
          <w:tcPr>
            <w:tcW w:w="9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96"/>
              <w:spacing w:after="0" w:line="140"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line="140" w:lineRule="exact"/>
              <w:rPr>
                <w:sz w:val="20"/>
                <w:szCs w:val="20"/>
                <w:color w:val="auto"/>
              </w:rPr>
            </w:pPr>
            <w:r>
              <w:rPr>
                <w:rFonts w:ascii="Arial" w:cs="Arial" w:eastAsia="Arial" w:hAnsi="Arial"/>
                <w:sz w:val="13"/>
                <w:szCs w:val="13"/>
                <w:color w:val="auto"/>
              </w:rPr>
              <w:t>5,046</w:t>
            </w:r>
          </w:p>
        </w:tc>
        <w:tc>
          <w:tcPr>
            <w:tcW w:w="920" w:type="dxa"/>
            <w:vAlign w:val="bottom"/>
          </w:tcPr>
          <w:p>
            <w:pPr>
              <w:jc w:val="right"/>
              <w:spacing w:after="0" w:line="140" w:lineRule="exact"/>
              <w:rPr>
                <w:sz w:val="20"/>
                <w:szCs w:val="20"/>
                <w:color w:val="auto"/>
              </w:rPr>
            </w:pPr>
            <w:r>
              <w:rPr>
                <w:rFonts w:ascii="Arial" w:cs="Arial" w:eastAsia="Arial" w:hAnsi="Arial"/>
                <w:sz w:val="13"/>
                <w:szCs w:val="13"/>
                <w:color w:val="auto"/>
              </w:rPr>
              <w:t>501,976</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240" w:type="dxa"/>
            <w:vAlign w:val="bottom"/>
          </w:tcPr>
          <w:p>
            <w:pPr>
              <w:jc w:val="right"/>
              <w:ind w:right="76"/>
              <w:spacing w:after="0" w:line="141"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line="141" w:lineRule="exact"/>
              <w:rPr>
                <w:sz w:val="20"/>
                <w:szCs w:val="20"/>
                <w:color w:val="auto"/>
              </w:rPr>
            </w:pPr>
            <w:r>
              <w:rPr>
                <w:rFonts w:ascii="Arial" w:cs="Arial" w:eastAsia="Arial" w:hAnsi="Arial"/>
                <w:sz w:val="13"/>
                <w:szCs w:val="13"/>
                <w:color w:val="auto"/>
              </w:rPr>
              <w:t>3/8/2019</w:t>
            </w:r>
          </w:p>
        </w:tc>
        <w:tc>
          <w:tcPr>
            <w:tcW w:w="9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96"/>
              <w:spacing w:after="0" w:line="14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line="141" w:lineRule="exact"/>
              <w:rPr>
                <w:sz w:val="20"/>
                <w:szCs w:val="20"/>
                <w:color w:val="auto"/>
              </w:rPr>
            </w:pPr>
            <w:r>
              <w:rPr>
                <w:rFonts w:ascii="Arial" w:cs="Arial" w:eastAsia="Arial" w:hAnsi="Arial"/>
                <w:sz w:val="13"/>
                <w:szCs w:val="13"/>
                <w:color w:val="auto"/>
              </w:rPr>
              <w:t>8,410</w:t>
            </w:r>
          </w:p>
        </w:tc>
        <w:tc>
          <w:tcPr>
            <w:tcW w:w="920" w:type="dxa"/>
            <w:vAlign w:val="bottom"/>
          </w:tcPr>
          <w:p>
            <w:pPr>
              <w:jc w:val="right"/>
              <w:spacing w:after="0" w:line="141" w:lineRule="exact"/>
              <w:rPr>
                <w:sz w:val="20"/>
                <w:szCs w:val="20"/>
                <w:color w:val="auto"/>
              </w:rPr>
            </w:pPr>
            <w:r>
              <w:rPr>
                <w:rFonts w:ascii="Arial" w:cs="Arial" w:eastAsia="Arial" w:hAnsi="Arial"/>
                <w:sz w:val="13"/>
                <w:szCs w:val="13"/>
                <w:color w:val="auto"/>
              </w:rPr>
              <w:t>836,627</w:t>
            </w:r>
          </w:p>
        </w:tc>
        <w:tc>
          <w:tcPr>
            <w:tcW w:w="0" w:type="dxa"/>
            <w:vAlign w:val="bottom"/>
          </w:tcPr>
          <w:p>
            <w:pPr>
              <w:spacing w:after="0"/>
              <w:rPr>
                <w:sz w:val="1"/>
                <w:szCs w:val="1"/>
                <w:color w:val="auto"/>
              </w:rPr>
            </w:pPr>
          </w:p>
        </w:tc>
      </w:tr>
      <w:tr>
        <w:trPr>
          <w:trHeight w:val="139"/>
        </w:trPr>
        <w:tc>
          <w:tcPr>
            <w:tcW w:w="1480" w:type="dxa"/>
            <w:vAlign w:val="bottom"/>
            <w:shd w:val="clear" w:color="auto" w:fill="ACABA7"/>
          </w:tcPr>
          <w:p>
            <w:pPr>
              <w:spacing w:after="0" w:line="139" w:lineRule="exact"/>
              <w:rPr>
                <w:sz w:val="20"/>
                <w:szCs w:val="20"/>
                <w:color w:val="auto"/>
              </w:rPr>
            </w:pPr>
            <w:r>
              <w:rPr>
                <w:rFonts w:ascii="Arial" w:cs="Arial" w:eastAsia="Arial" w:hAnsi="Arial"/>
                <w:sz w:val="13"/>
                <w:szCs w:val="13"/>
                <w:color w:val="auto"/>
              </w:rPr>
              <w:t>Ms. Heise</w:t>
            </w:r>
          </w:p>
        </w:tc>
        <w:tc>
          <w:tcPr>
            <w:tcW w:w="720" w:type="dxa"/>
            <w:vAlign w:val="bottom"/>
            <w:shd w:val="clear" w:color="auto" w:fill="ACABA7"/>
          </w:tcPr>
          <w:p>
            <w:pPr>
              <w:jc w:val="right"/>
              <w:spacing w:after="0" w:line="139" w:lineRule="exact"/>
              <w:rPr>
                <w:sz w:val="20"/>
                <w:szCs w:val="20"/>
                <w:color w:val="auto"/>
              </w:rPr>
            </w:pPr>
            <w:r>
              <w:rPr>
                <w:rFonts w:ascii="Arial" w:cs="Arial" w:eastAsia="Arial" w:hAnsi="Arial"/>
                <w:sz w:val="13"/>
                <w:szCs w:val="13"/>
                <w:color w:val="auto"/>
              </w:rPr>
              <w:t>—</w:t>
            </w:r>
          </w:p>
        </w:tc>
        <w:tc>
          <w:tcPr>
            <w:tcW w:w="20" w:type="dxa"/>
            <w:vAlign w:val="bottom"/>
            <w:shd w:val="clear" w:color="auto" w:fill="ACABA7"/>
          </w:tcPr>
          <w:p>
            <w:pPr>
              <w:spacing w:after="0"/>
              <w:rPr>
                <w:sz w:val="12"/>
                <w:szCs w:val="12"/>
                <w:color w:val="auto"/>
              </w:rPr>
            </w:pPr>
          </w:p>
        </w:tc>
        <w:tc>
          <w:tcPr>
            <w:tcW w:w="1060" w:type="dxa"/>
            <w:vAlign w:val="bottom"/>
            <w:shd w:val="clear" w:color="auto" w:fill="ACABA7"/>
          </w:tcPr>
          <w:p>
            <w:pPr>
              <w:jc w:val="right"/>
              <w:spacing w:after="0" w:line="139" w:lineRule="exact"/>
              <w:rPr>
                <w:sz w:val="20"/>
                <w:szCs w:val="20"/>
                <w:color w:val="auto"/>
              </w:rPr>
            </w:pPr>
            <w:r>
              <w:rPr>
                <w:rFonts w:ascii="Arial" w:cs="Arial" w:eastAsia="Arial" w:hAnsi="Arial"/>
                <w:sz w:val="13"/>
                <w:szCs w:val="13"/>
                <w:color w:val="auto"/>
              </w:rPr>
              <w:t>—</w:t>
            </w:r>
          </w:p>
        </w:tc>
        <w:tc>
          <w:tcPr>
            <w:tcW w:w="1240" w:type="dxa"/>
            <w:vAlign w:val="bottom"/>
            <w:shd w:val="clear" w:color="auto" w:fill="ACABA7"/>
          </w:tcPr>
          <w:p>
            <w:pPr>
              <w:jc w:val="right"/>
              <w:ind w:right="76"/>
              <w:spacing w:after="0" w:line="139" w:lineRule="exact"/>
              <w:rPr>
                <w:sz w:val="20"/>
                <w:szCs w:val="20"/>
                <w:color w:val="auto"/>
              </w:rPr>
            </w:pPr>
            <w:r>
              <w:rPr>
                <w:rFonts w:ascii="Arial" w:cs="Arial" w:eastAsia="Arial" w:hAnsi="Arial"/>
                <w:sz w:val="13"/>
                <w:szCs w:val="13"/>
                <w:color w:val="auto"/>
              </w:rPr>
              <w:t>—</w:t>
            </w:r>
          </w:p>
        </w:tc>
        <w:tc>
          <w:tcPr>
            <w:tcW w:w="580" w:type="dxa"/>
            <w:vAlign w:val="bottom"/>
            <w:shd w:val="clear" w:color="auto" w:fill="ACABA7"/>
          </w:tcPr>
          <w:p>
            <w:pPr>
              <w:jc w:val="right"/>
              <w:ind w:right="36"/>
              <w:spacing w:after="0" w:line="139"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ACABA7"/>
          </w:tcPr>
          <w:p>
            <w:pPr>
              <w:jc w:val="right"/>
              <w:ind w:right="220"/>
              <w:spacing w:after="0" w:line="139" w:lineRule="exact"/>
              <w:rPr>
                <w:sz w:val="20"/>
                <w:szCs w:val="20"/>
                <w:color w:val="auto"/>
              </w:rPr>
            </w:pPr>
            <w:r>
              <w:rPr>
                <w:rFonts w:ascii="Arial" w:cs="Arial" w:eastAsia="Arial" w:hAnsi="Arial"/>
                <w:sz w:val="13"/>
                <w:szCs w:val="13"/>
                <w:color w:val="auto"/>
              </w:rPr>
              <w:t>—</w:t>
            </w:r>
          </w:p>
        </w:tc>
        <w:tc>
          <w:tcPr>
            <w:tcW w:w="800" w:type="dxa"/>
            <w:vAlign w:val="bottom"/>
            <w:shd w:val="clear" w:color="auto" w:fill="ACABA7"/>
          </w:tcPr>
          <w:p>
            <w:pPr>
              <w:jc w:val="right"/>
              <w:ind w:right="16"/>
              <w:spacing w:after="0" w:line="139" w:lineRule="exact"/>
              <w:rPr>
                <w:sz w:val="20"/>
                <w:szCs w:val="20"/>
                <w:color w:val="auto"/>
              </w:rPr>
            </w:pPr>
            <w:r>
              <w:rPr>
                <w:rFonts w:ascii="Arial" w:cs="Arial" w:eastAsia="Arial" w:hAnsi="Arial"/>
                <w:sz w:val="13"/>
                <w:szCs w:val="13"/>
                <w:color w:val="auto"/>
              </w:rPr>
              <w:t>3/3/2017</w:t>
            </w:r>
          </w:p>
        </w:tc>
        <w:tc>
          <w:tcPr>
            <w:tcW w:w="900" w:type="dxa"/>
            <w:vAlign w:val="bottom"/>
            <w:shd w:val="clear" w:color="auto" w:fill="ACABA7"/>
          </w:tcPr>
          <w:p>
            <w:pPr>
              <w:jc w:val="right"/>
              <w:ind w:right="17"/>
              <w:spacing w:after="0" w:line="139" w:lineRule="exact"/>
              <w:rPr>
                <w:sz w:val="20"/>
                <w:szCs w:val="20"/>
                <w:color w:val="auto"/>
              </w:rPr>
            </w:pPr>
            <w:r>
              <w:rPr>
                <w:rFonts w:ascii="Arial" w:cs="Arial" w:eastAsia="Arial" w:hAnsi="Arial"/>
                <w:sz w:val="13"/>
                <w:szCs w:val="13"/>
                <w:color w:val="auto"/>
              </w:rPr>
              <w:t>—</w:t>
            </w:r>
          </w:p>
        </w:tc>
        <w:tc>
          <w:tcPr>
            <w:tcW w:w="920" w:type="dxa"/>
            <w:vAlign w:val="bottom"/>
            <w:shd w:val="clear" w:color="auto" w:fill="ACABA7"/>
          </w:tcPr>
          <w:p>
            <w:pPr>
              <w:jc w:val="right"/>
              <w:ind w:right="96"/>
              <w:spacing w:after="0" w:line="139" w:lineRule="exact"/>
              <w:rPr>
                <w:sz w:val="20"/>
                <w:szCs w:val="20"/>
                <w:color w:val="auto"/>
              </w:rPr>
            </w:pPr>
            <w:r>
              <w:rPr>
                <w:rFonts w:ascii="Arial" w:cs="Arial" w:eastAsia="Arial" w:hAnsi="Arial"/>
                <w:sz w:val="13"/>
                <w:szCs w:val="13"/>
                <w:color w:val="auto"/>
              </w:rPr>
              <w:t>—</w:t>
            </w:r>
          </w:p>
        </w:tc>
        <w:tc>
          <w:tcPr>
            <w:tcW w:w="860" w:type="dxa"/>
            <w:vAlign w:val="bottom"/>
            <w:shd w:val="clear" w:color="auto" w:fill="ACABA7"/>
          </w:tcPr>
          <w:p>
            <w:pPr>
              <w:jc w:val="right"/>
              <w:ind w:right="16"/>
              <w:spacing w:after="0" w:line="139" w:lineRule="exact"/>
              <w:rPr>
                <w:sz w:val="20"/>
                <w:szCs w:val="20"/>
                <w:color w:val="auto"/>
              </w:rPr>
            </w:pPr>
            <w:r>
              <w:rPr>
                <w:rFonts w:ascii="Arial" w:cs="Arial" w:eastAsia="Arial" w:hAnsi="Arial"/>
                <w:sz w:val="13"/>
                <w:szCs w:val="13"/>
                <w:color w:val="auto"/>
              </w:rPr>
              <w:t>7,122</w:t>
            </w:r>
          </w:p>
        </w:tc>
        <w:tc>
          <w:tcPr>
            <w:tcW w:w="920" w:type="dxa"/>
            <w:vAlign w:val="bottom"/>
            <w:shd w:val="clear" w:color="auto" w:fill="ACABA7"/>
          </w:tcPr>
          <w:p>
            <w:pPr>
              <w:jc w:val="right"/>
              <w:spacing w:after="0" w:line="139" w:lineRule="exact"/>
              <w:rPr>
                <w:sz w:val="20"/>
                <w:szCs w:val="20"/>
                <w:color w:val="auto"/>
              </w:rPr>
            </w:pPr>
            <w:r>
              <w:rPr>
                <w:rFonts w:ascii="Arial" w:cs="Arial" w:eastAsia="Arial" w:hAnsi="Arial"/>
                <w:sz w:val="13"/>
                <w:szCs w:val="13"/>
                <w:color w:val="auto"/>
              </w:rPr>
              <w:t>708,497</w:t>
            </w:r>
          </w:p>
        </w:tc>
        <w:tc>
          <w:tcPr>
            <w:tcW w:w="0" w:type="dxa"/>
            <w:vAlign w:val="bottom"/>
          </w:tcPr>
          <w:p>
            <w:pPr>
              <w:spacing w:after="0"/>
              <w:rPr>
                <w:sz w:val="1"/>
                <w:szCs w:val="1"/>
                <w:color w:val="auto"/>
              </w:rPr>
            </w:pPr>
          </w:p>
        </w:tc>
      </w:tr>
      <w:tr>
        <w:trPr>
          <w:trHeight w:val="140"/>
        </w:trPr>
        <w:tc>
          <w:tcPr>
            <w:tcW w:w="1480" w:type="dxa"/>
            <w:vAlign w:val="bottom"/>
            <w:shd w:val="clear" w:color="auto" w:fill="ACABA7"/>
          </w:tcPr>
          <w:p>
            <w:pPr>
              <w:spacing w:after="0"/>
              <w:rPr>
                <w:sz w:val="12"/>
                <w:szCs w:val="12"/>
                <w:color w:val="auto"/>
              </w:rPr>
            </w:pPr>
          </w:p>
        </w:tc>
        <w:tc>
          <w:tcPr>
            <w:tcW w:w="72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w:t>
            </w:r>
          </w:p>
        </w:tc>
        <w:tc>
          <w:tcPr>
            <w:tcW w:w="20" w:type="dxa"/>
            <w:vAlign w:val="bottom"/>
            <w:shd w:val="clear" w:color="auto" w:fill="ACABA7"/>
          </w:tcPr>
          <w:p>
            <w:pPr>
              <w:spacing w:after="0"/>
              <w:rPr>
                <w:sz w:val="12"/>
                <w:szCs w:val="12"/>
                <w:color w:val="auto"/>
              </w:rPr>
            </w:pPr>
          </w:p>
        </w:tc>
        <w:tc>
          <w:tcPr>
            <w:tcW w:w="106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w:t>
            </w:r>
          </w:p>
        </w:tc>
        <w:tc>
          <w:tcPr>
            <w:tcW w:w="1240" w:type="dxa"/>
            <w:vAlign w:val="bottom"/>
            <w:shd w:val="clear" w:color="auto" w:fill="ACABA7"/>
          </w:tcPr>
          <w:p>
            <w:pPr>
              <w:jc w:val="right"/>
              <w:ind w:right="76"/>
              <w:spacing w:after="0" w:line="140" w:lineRule="exact"/>
              <w:rPr>
                <w:sz w:val="20"/>
                <w:szCs w:val="20"/>
                <w:color w:val="auto"/>
              </w:rPr>
            </w:pPr>
            <w:r>
              <w:rPr>
                <w:rFonts w:ascii="Arial" w:cs="Arial" w:eastAsia="Arial" w:hAnsi="Arial"/>
                <w:sz w:val="13"/>
                <w:szCs w:val="13"/>
                <w:color w:val="auto"/>
              </w:rPr>
              <w:t>—</w:t>
            </w:r>
          </w:p>
        </w:tc>
        <w:tc>
          <w:tcPr>
            <w:tcW w:w="580" w:type="dxa"/>
            <w:vAlign w:val="bottom"/>
            <w:shd w:val="clear" w:color="auto" w:fill="ACABA7"/>
          </w:tcPr>
          <w:p>
            <w:pPr>
              <w:jc w:val="right"/>
              <w:ind w:right="36"/>
              <w:spacing w:after="0" w:line="140"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ACABA7"/>
          </w:tcPr>
          <w:p>
            <w:pPr>
              <w:jc w:val="right"/>
              <w:ind w:right="220"/>
              <w:spacing w:after="0" w:line="140" w:lineRule="exact"/>
              <w:rPr>
                <w:sz w:val="20"/>
                <w:szCs w:val="20"/>
                <w:color w:val="auto"/>
              </w:rPr>
            </w:pPr>
            <w:r>
              <w:rPr>
                <w:rFonts w:ascii="Arial" w:cs="Arial" w:eastAsia="Arial" w:hAnsi="Arial"/>
                <w:sz w:val="13"/>
                <w:szCs w:val="13"/>
                <w:color w:val="auto"/>
              </w:rPr>
              <w:t>—</w:t>
            </w:r>
          </w:p>
        </w:tc>
        <w:tc>
          <w:tcPr>
            <w:tcW w:w="800" w:type="dxa"/>
            <w:vAlign w:val="bottom"/>
            <w:shd w:val="clear" w:color="auto" w:fill="ACABA7"/>
          </w:tcPr>
          <w:p>
            <w:pPr>
              <w:jc w:val="right"/>
              <w:ind w:right="16"/>
              <w:spacing w:after="0" w:line="140" w:lineRule="exact"/>
              <w:rPr>
                <w:sz w:val="20"/>
                <w:szCs w:val="20"/>
                <w:color w:val="auto"/>
              </w:rPr>
            </w:pPr>
            <w:r>
              <w:rPr>
                <w:rFonts w:ascii="Arial" w:cs="Arial" w:eastAsia="Arial" w:hAnsi="Arial"/>
                <w:sz w:val="13"/>
                <w:szCs w:val="13"/>
                <w:color w:val="auto"/>
              </w:rPr>
              <w:t>3/2/2018</w:t>
            </w:r>
          </w:p>
        </w:tc>
        <w:tc>
          <w:tcPr>
            <w:tcW w:w="900" w:type="dxa"/>
            <w:vAlign w:val="bottom"/>
            <w:shd w:val="clear" w:color="auto" w:fill="ACABA7"/>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920" w:type="dxa"/>
            <w:vAlign w:val="bottom"/>
            <w:shd w:val="clear" w:color="auto" w:fill="ACABA7"/>
          </w:tcPr>
          <w:p>
            <w:pPr>
              <w:jc w:val="right"/>
              <w:ind w:right="96"/>
              <w:spacing w:after="0" w:line="140" w:lineRule="exact"/>
              <w:rPr>
                <w:sz w:val="20"/>
                <w:szCs w:val="20"/>
                <w:color w:val="auto"/>
              </w:rPr>
            </w:pPr>
            <w:r>
              <w:rPr>
                <w:rFonts w:ascii="Arial" w:cs="Arial" w:eastAsia="Arial" w:hAnsi="Arial"/>
                <w:sz w:val="13"/>
                <w:szCs w:val="13"/>
                <w:color w:val="auto"/>
              </w:rPr>
              <w:t>—</w:t>
            </w:r>
          </w:p>
        </w:tc>
        <w:tc>
          <w:tcPr>
            <w:tcW w:w="860" w:type="dxa"/>
            <w:vAlign w:val="bottom"/>
            <w:shd w:val="clear" w:color="auto" w:fill="ACABA7"/>
          </w:tcPr>
          <w:p>
            <w:pPr>
              <w:jc w:val="right"/>
              <w:ind w:right="16"/>
              <w:spacing w:after="0" w:line="140" w:lineRule="exact"/>
              <w:rPr>
                <w:sz w:val="20"/>
                <w:szCs w:val="20"/>
                <w:color w:val="auto"/>
              </w:rPr>
            </w:pPr>
            <w:r>
              <w:rPr>
                <w:rFonts w:ascii="Arial" w:cs="Arial" w:eastAsia="Arial" w:hAnsi="Arial"/>
                <w:sz w:val="13"/>
                <w:szCs w:val="13"/>
                <w:color w:val="auto"/>
              </w:rPr>
              <w:t>4,696</w:t>
            </w:r>
          </w:p>
        </w:tc>
        <w:tc>
          <w:tcPr>
            <w:tcW w:w="92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467,158</w:t>
            </w:r>
          </w:p>
        </w:tc>
        <w:tc>
          <w:tcPr>
            <w:tcW w:w="0" w:type="dxa"/>
            <w:vAlign w:val="bottom"/>
          </w:tcPr>
          <w:p>
            <w:pPr>
              <w:spacing w:after="0"/>
              <w:rPr>
                <w:sz w:val="1"/>
                <w:szCs w:val="1"/>
                <w:color w:val="auto"/>
              </w:rPr>
            </w:pPr>
          </w:p>
        </w:tc>
      </w:tr>
      <w:tr>
        <w:trPr>
          <w:trHeight w:val="140"/>
        </w:trPr>
        <w:tc>
          <w:tcPr>
            <w:tcW w:w="1480" w:type="dxa"/>
            <w:vAlign w:val="bottom"/>
            <w:shd w:val="clear" w:color="auto" w:fill="ACABA7"/>
          </w:tcPr>
          <w:p>
            <w:pPr>
              <w:spacing w:after="0"/>
              <w:rPr>
                <w:sz w:val="12"/>
                <w:szCs w:val="12"/>
                <w:color w:val="auto"/>
              </w:rPr>
            </w:pPr>
          </w:p>
        </w:tc>
        <w:tc>
          <w:tcPr>
            <w:tcW w:w="72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w:t>
            </w:r>
          </w:p>
        </w:tc>
        <w:tc>
          <w:tcPr>
            <w:tcW w:w="20" w:type="dxa"/>
            <w:vAlign w:val="bottom"/>
            <w:shd w:val="clear" w:color="auto" w:fill="ACABA7"/>
          </w:tcPr>
          <w:p>
            <w:pPr>
              <w:spacing w:after="0"/>
              <w:rPr>
                <w:sz w:val="12"/>
                <w:szCs w:val="12"/>
                <w:color w:val="auto"/>
              </w:rPr>
            </w:pPr>
          </w:p>
        </w:tc>
        <w:tc>
          <w:tcPr>
            <w:tcW w:w="106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w:t>
            </w:r>
          </w:p>
        </w:tc>
        <w:tc>
          <w:tcPr>
            <w:tcW w:w="1240" w:type="dxa"/>
            <w:vAlign w:val="bottom"/>
            <w:shd w:val="clear" w:color="auto" w:fill="ACABA7"/>
          </w:tcPr>
          <w:p>
            <w:pPr>
              <w:jc w:val="right"/>
              <w:ind w:right="76"/>
              <w:spacing w:after="0" w:line="140" w:lineRule="exact"/>
              <w:rPr>
                <w:sz w:val="20"/>
                <w:szCs w:val="20"/>
                <w:color w:val="auto"/>
              </w:rPr>
            </w:pPr>
            <w:r>
              <w:rPr>
                <w:rFonts w:ascii="Arial" w:cs="Arial" w:eastAsia="Arial" w:hAnsi="Arial"/>
                <w:sz w:val="13"/>
                <w:szCs w:val="13"/>
                <w:color w:val="auto"/>
              </w:rPr>
              <w:t>—</w:t>
            </w:r>
          </w:p>
        </w:tc>
        <w:tc>
          <w:tcPr>
            <w:tcW w:w="580" w:type="dxa"/>
            <w:vAlign w:val="bottom"/>
            <w:shd w:val="clear" w:color="auto" w:fill="ACABA7"/>
          </w:tcPr>
          <w:p>
            <w:pPr>
              <w:jc w:val="right"/>
              <w:ind w:right="36"/>
              <w:spacing w:after="0" w:line="140"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ACABA7"/>
          </w:tcPr>
          <w:p>
            <w:pPr>
              <w:jc w:val="right"/>
              <w:ind w:right="220"/>
              <w:spacing w:after="0" w:line="140" w:lineRule="exact"/>
              <w:rPr>
                <w:sz w:val="20"/>
                <w:szCs w:val="20"/>
                <w:color w:val="auto"/>
              </w:rPr>
            </w:pPr>
            <w:r>
              <w:rPr>
                <w:rFonts w:ascii="Arial" w:cs="Arial" w:eastAsia="Arial" w:hAnsi="Arial"/>
                <w:sz w:val="13"/>
                <w:szCs w:val="13"/>
                <w:color w:val="auto"/>
              </w:rPr>
              <w:t>—</w:t>
            </w:r>
          </w:p>
        </w:tc>
        <w:tc>
          <w:tcPr>
            <w:tcW w:w="800" w:type="dxa"/>
            <w:vAlign w:val="bottom"/>
            <w:shd w:val="clear" w:color="auto" w:fill="ACABA7"/>
          </w:tcPr>
          <w:p>
            <w:pPr>
              <w:jc w:val="right"/>
              <w:ind w:right="16"/>
              <w:spacing w:after="0" w:line="140" w:lineRule="exact"/>
              <w:rPr>
                <w:sz w:val="20"/>
                <w:szCs w:val="20"/>
                <w:color w:val="auto"/>
              </w:rPr>
            </w:pPr>
            <w:r>
              <w:rPr>
                <w:rFonts w:ascii="Arial" w:cs="Arial" w:eastAsia="Arial" w:hAnsi="Arial"/>
                <w:sz w:val="13"/>
                <w:szCs w:val="13"/>
                <w:color w:val="auto"/>
              </w:rPr>
              <w:t>3/8/2019</w:t>
            </w:r>
          </w:p>
        </w:tc>
        <w:tc>
          <w:tcPr>
            <w:tcW w:w="900" w:type="dxa"/>
            <w:vAlign w:val="bottom"/>
            <w:shd w:val="clear" w:color="auto" w:fill="ACABA7"/>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920" w:type="dxa"/>
            <w:vAlign w:val="bottom"/>
            <w:shd w:val="clear" w:color="auto" w:fill="ACABA7"/>
          </w:tcPr>
          <w:p>
            <w:pPr>
              <w:jc w:val="right"/>
              <w:ind w:right="96"/>
              <w:spacing w:after="0" w:line="140" w:lineRule="exact"/>
              <w:rPr>
                <w:sz w:val="20"/>
                <w:szCs w:val="20"/>
                <w:color w:val="auto"/>
              </w:rPr>
            </w:pPr>
            <w:r>
              <w:rPr>
                <w:rFonts w:ascii="Arial" w:cs="Arial" w:eastAsia="Arial" w:hAnsi="Arial"/>
                <w:sz w:val="13"/>
                <w:szCs w:val="13"/>
                <w:color w:val="auto"/>
              </w:rPr>
              <w:t>—</w:t>
            </w:r>
          </w:p>
        </w:tc>
        <w:tc>
          <w:tcPr>
            <w:tcW w:w="860" w:type="dxa"/>
            <w:vAlign w:val="bottom"/>
            <w:shd w:val="clear" w:color="auto" w:fill="ACABA7"/>
          </w:tcPr>
          <w:p>
            <w:pPr>
              <w:jc w:val="right"/>
              <w:ind w:right="16"/>
              <w:spacing w:after="0" w:line="140" w:lineRule="exact"/>
              <w:rPr>
                <w:sz w:val="20"/>
                <w:szCs w:val="20"/>
                <w:color w:val="auto"/>
              </w:rPr>
            </w:pPr>
            <w:r>
              <w:rPr>
                <w:rFonts w:ascii="Arial" w:cs="Arial" w:eastAsia="Arial" w:hAnsi="Arial"/>
                <w:sz w:val="13"/>
                <w:szCs w:val="13"/>
                <w:color w:val="auto"/>
              </w:rPr>
              <w:t>1,017</w:t>
            </w:r>
          </w:p>
        </w:tc>
        <w:tc>
          <w:tcPr>
            <w:tcW w:w="920" w:type="dxa"/>
            <w:vAlign w:val="bottom"/>
            <w:shd w:val="clear" w:color="auto" w:fill="ACABA7"/>
          </w:tcPr>
          <w:p>
            <w:pPr>
              <w:jc w:val="right"/>
              <w:spacing w:after="0" w:line="140" w:lineRule="exact"/>
              <w:rPr>
                <w:sz w:val="20"/>
                <w:szCs w:val="20"/>
                <w:color w:val="auto"/>
              </w:rPr>
            </w:pPr>
            <w:r>
              <w:rPr>
                <w:rFonts w:ascii="Arial" w:cs="Arial" w:eastAsia="Arial" w:hAnsi="Arial"/>
                <w:sz w:val="13"/>
                <w:szCs w:val="13"/>
                <w:color w:val="auto"/>
              </w:rPr>
              <w:t>101,171</w:t>
            </w:r>
          </w:p>
        </w:tc>
        <w:tc>
          <w:tcPr>
            <w:tcW w:w="0" w:type="dxa"/>
            <w:vAlign w:val="bottom"/>
          </w:tcPr>
          <w:p>
            <w:pPr>
              <w:spacing w:after="0"/>
              <w:rPr>
                <w:sz w:val="1"/>
                <w:szCs w:val="1"/>
                <w:color w:val="auto"/>
              </w:rPr>
            </w:pPr>
          </w:p>
        </w:tc>
      </w:tr>
      <w:tr>
        <w:trPr>
          <w:trHeight w:val="140"/>
        </w:trPr>
        <w:tc>
          <w:tcPr>
            <w:tcW w:w="1480" w:type="dxa"/>
            <w:vAlign w:val="bottom"/>
            <w:shd w:val="clear" w:color="auto" w:fill="ACABA7"/>
          </w:tcPr>
          <w:p>
            <w:pPr>
              <w:spacing w:after="0"/>
              <w:rPr>
                <w:sz w:val="12"/>
                <w:szCs w:val="12"/>
                <w:color w:val="auto"/>
              </w:rPr>
            </w:pPr>
          </w:p>
        </w:tc>
        <w:tc>
          <w:tcPr>
            <w:tcW w:w="720" w:type="dxa"/>
            <w:vAlign w:val="bottom"/>
            <w:shd w:val="clear" w:color="auto" w:fill="ACABA7"/>
          </w:tcPr>
          <w:p>
            <w:pPr>
              <w:jc w:val="right"/>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ACABA7"/>
          </w:tcPr>
          <w:p>
            <w:pPr>
              <w:spacing w:after="0"/>
              <w:rPr>
                <w:sz w:val="12"/>
                <w:szCs w:val="12"/>
                <w:color w:val="auto"/>
              </w:rPr>
            </w:pPr>
          </w:p>
        </w:tc>
        <w:tc>
          <w:tcPr>
            <w:tcW w:w="1060" w:type="dxa"/>
            <w:vAlign w:val="bottom"/>
            <w:shd w:val="clear" w:color="auto" w:fill="ACABA7"/>
          </w:tcPr>
          <w:p>
            <w:pPr>
              <w:jc w:val="right"/>
              <w:spacing w:after="0" w:line="141" w:lineRule="exact"/>
              <w:rPr>
                <w:sz w:val="20"/>
                <w:szCs w:val="20"/>
                <w:color w:val="auto"/>
              </w:rPr>
            </w:pPr>
            <w:r>
              <w:rPr>
                <w:rFonts w:ascii="Arial" w:cs="Arial" w:eastAsia="Arial" w:hAnsi="Arial"/>
                <w:sz w:val="13"/>
                <w:szCs w:val="13"/>
                <w:color w:val="auto"/>
              </w:rPr>
              <w:t>—</w:t>
            </w:r>
          </w:p>
        </w:tc>
        <w:tc>
          <w:tcPr>
            <w:tcW w:w="1240" w:type="dxa"/>
            <w:vAlign w:val="bottom"/>
            <w:shd w:val="clear" w:color="auto" w:fill="ACABA7"/>
          </w:tcPr>
          <w:p>
            <w:pPr>
              <w:jc w:val="right"/>
              <w:ind w:right="76"/>
              <w:spacing w:after="0" w:line="141" w:lineRule="exact"/>
              <w:rPr>
                <w:sz w:val="20"/>
                <w:szCs w:val="20"/>
                <w:color w:val="auto"/>
              </w:rPr>
            </w:pPr>
            <w:r>
              <w:rPr>
                <w:rFonts w:ascii="Arial" w:cs="Arial" w:eastAsia="Arial" w:hAnsi="Arial"/>
                <w:sz w:val="13"/>
                <w:szCs w:val="13"/>
                <w:color w:val="auto"/>
              </w:rPr>
              <w:t>—</w:t>
            </w:r>
          </w:p>
        </w:tc>
        <w:tc>
          <w:tcPr>
            <w:tcW w:w="580" w:type="dxa"/>
            <w:vAlign w:val="bottom"/>
            <w:shd w:val="clear" w:color="auto" w:fill="ACABA7"/>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ACABA7"/>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800" w:type="dxa"/>
            <w:vAlign w:val="bottom"/>
            <w:shd w:val="clear" w:color="auto" w:fill="ACABA7"/>
          </w:tcPr>
          <w:p>
            <w:pPr>
              <w:jc w:val="right"/>
              <w:ind w:right="16"/>
              <w:spacing w:after="0" w:line="141" w:lineRule="exact"/>
              <w:rPr>
                <w:sz w:val="20"/>
                <w:szCs w:val="20"/>
                <w:color w:val="auto"/>
              </w:rPr>
            </w:pPr>
            <w:r>
              <w:rPr>
                <w:rFonts w:ascii="Arial" w:cs="Arial" w:eastAsia="Arial" w:hAnsi="Arial"/>
                <w:sz w:val="13"/>
                <w:szCs w:val="13"/>
                <w:color w:val="auto"/>
              </w:rPr>
              <w:t>3/8/2019</w:t>
            </w:r>
          </w:p>
        </w:tc>
        <w:tc>
          <w:tcPr>
            <w:tcW w:w="900" w:type="dxa"/>
            <w:vAlign w:val="bottom"/>
            <w:shd w:val="clear" w:color="auto" w:fill="ACABA7"/>
          </w:tcPr>
          <w:p>
            <w:pPr>
              <w:jc w:val="right"/>
              <w:ind w:right="17"/>
              <w:spacing w:after="0" w:line="141" w:lineRule="exact"/>
              <w:rPr>
                <w:sz w:val="20"/>
                <w:szCs w:val="20"/>
                <w:color w:val="auto"/>
              </w:rPr>
            </w:pPr>
            <w:r>
              <w:rPr>
                <w:rFonts w:ascii="Arial" w:cs="Arial" w:eastAsia="Arial" w:hAnsi="Arial"/>
                <w:sz w:val="13"/>
                <w:szCs w:val="13"/>
                <w:color w:val="auto"/>
              </w:rPr>
              <w:t>—</w:t>
            </w:r>
          </w:p>
        </w:tc>
        <w:tc>
          <w:tcPr>
            <w:tcW w:w="920" w:type="dxa"/>
            <w:vAlign w:val="bottom"/>
            <w:shd w:val="clear" w:color="auto" w:fill="ACABA7"/>
          </w:tcPr>
          <w:p>
            <w:pPr>
              <w:jc w:val="right"/>
              <w:ind w:right="96"/>
              <w:spacing w:after="0" w:line="141" w:lineRule="exact"/>
              <w:rPr>
                <w:sz w:val="20"/>
                <w:szCs w:val="20"/>
                <w:color w:val="auto"/>
              </w:rPr>
            </w:pPr>
            <w:r>
              <w:rPr>
                <w:rFonts w:ascii="Arial" w:cs="Arial" w:eastAsia="Arial" w:hAnsi="Arial"/>
                <w:sz w:val="13"/>
                <w:szCs w:val="13"/>
                <w:color w:val="auto"/>
              </w:rPr>
              <w:t>—</w:t>
            </w:r>
          </w:p>
        </w:tc>
        <w:tc>
          <w:tcPr>
            <w:tcW w:w="860" w:type="dxa"/>
            <w:vAlign w:val="bottom"/>
            <w:shd w:val="clear" w:color="auto" w:fill="ACABA7"/>
          </w:tcPr>
          <w:p>
            <w:pPr>
              <w:jc w:val="right"/>
              <w:ind w:right="16"/>
              <w:spacing w:after="0" w:line="141" w:lineRule="exact"/>
              <w:rPr>
                <w:sz w:val="20"/>
                <w:szCs w:val="20"/>
                <w:color w:val="auto"/>
              </w:rPr>
            </w:pPr>
            <w:r>
              <w:rPr>
                <w:rFonts w:ascii="Arial" w:cs="Arial" w:eastAsia="Arial" w:hAnsi="Arial"/>
                <w:sz w:val="13"/>
                <w:szCs w:val="13"/>
                <w:color w:val="auto"/>
              </w:rPr>
              <w:t>2,947</w:t>
            </w:r>
          </w:p>
        </w:tc>
        <w:tc>
          <w:tcPr>
            <w:tcW w:w="920" w:type="dxa"/>
            <w:vAlign w:val="bottom"/>
            <w:shd w:val="clear" w:color="auto" w:fill="ACABA7"/>
          </w:tcPr>
          <w:p>
            <w:pPr>
              <w:jc w:val="right"/>
              <w:spacing w:after="0" w:line="141" w:lineRule="exact"/>
              <w:rPr>
                <w:sz w:val="20"/>
                <w:szCs w:val="20"/>
                <w:color w:val="auto"/>
              </w:rPr>
            </w:pPr>
            <w:r>
              <w:rPr>
                <w:rFonts w:ascii="Arial" w:cs="Arial" w:eastAsia="Arial" w:hAnsi="Arial"/>
                <w:sz w:val="13"/>
                <w:szCs w:val="13"/>
                <w:color w:val="auto"/>
              </w:rPr>
              <w:t>293,168</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840" w:right="60" w:hanging="400"/>
        <w:spacing w:after="0" w:line="243" w:lineRule="auto"/>
        <w:tabs>
          <w:tab w:leader="none" w:pos="8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Information in these columns relates to options to purchase shares of common stock held by our named executive officers at the end of fiscal 2019. Options vest 25% on the first, second, third and fourth anniversaries of the grant date.</w:t>
      </w:r>
    </w:p>
    <w:p>
      <w:pPr>
        <w:spacing w:after="0" w:line="110" w:lineRule="exact"/>
        <w:rPr>
          <w:sz w:val="20"/>
          <w:szCs w:val="20"/>
          <w:color w:val="auto"/>
        </w:rPr>
      </w:pPr>
    </w:p>
    <w:p>
      <w:pPr>
        <w:ind w:left="8680"/>
        <w:spacing w:after="0"/>
        <w:tabs>
          <w:tab w:leader="none" w:pos="10400" w:val="left"/>
          <w:tab w:leader="none" w:pos="1062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35</w:t>
      </w:r>
    </w:p>
    <w:p>
      <w:pPr>
        <w:sectPr>
          <w:pgSz w:w="11900" w:h="16838" w:orient="portrait"/>
          <w:cols w:equalWidth="0" w:num="1">
            <w:col w:w="10820"/>
          </w:cols>
          <w:pgMar w:left="320" w:top="441" w:right="75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840" w:right="520" w:hanging="400"/>
        <w:spacing w:after="0" w:line="236" w:lineRule="auto"/>
        <w:tabs>
          <w:tab w:leader="none" w:pos="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Information in this column relates to restricted stock units held by our named executive officers at the end of fiscal 2019, including restricted stock units subject to performance conditions which have been met. Restricted stock units vest 25% on the first, second, third and fourth anniversaries of the grant date, in each case if the applicable performance condition is met, except for restricted stock units granted to Mr. Krone on March 3, 2017 in the amount of 14,009, which vest 100% on the third anniversary of the grant date. Performance share awards vest 100% at the end of the three year fiscal performance cycle to the extent earned based on achievement of the applicable performance conditions, subject to the Human Resources and Compensation Committee’s discretion to decrease the number of shares that are ultimately issued at the end of the three year performance period.</w:t>
      </w:r>
    </w:p>
    <w:p>
      <w:pPr>
        <w:spacing w:after="0" w:line="102" w:lineRule="exact"/>
        <w:rPr>
          <w:rFonts w:ascii="Arial" w:cs="Arial" w:eastAsia="Arial" w:hAnsi="Arial"/>
          <w:sz w:val="17"/>
          <w:szCs w:val="17"/>
          <w:color w:val="auto"/>
        </w:rPr>
      </w:pPr>
    </w:p>
    <w:p>
      <w:pPr>
        <w:ind w:left="840" w:hanging="400"/>
        <w:spacing w:after="0"/>
        <w:tabs>
          <w:tab w:leader="none" w:pos="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$99.48, the closing sales price of our common stock on the NYSE on January 3, 2020.</w:t>
      </w:r>
    </w:p>
    <w:p>
      <w:pPr>
        <w:spacing w:after="0" w:line="109" w:lineRule="exact"/>
        <w:rPr>
          <w:rFonts w:ascii="Arial" w:cs="Arial" w:eastAsia="Arial" w:hAnsi="Arial"/>
          <w:sz w:val="17"/>
          <w:szCs w:val="17"/>
          <w:color w:val="auto"/>
        </w:rPr>
      </w:pPr>
    </w:p>
    <w:p>
      <w:pPr>
        <w:ind w:left="840" w:right="680" w:hanging="400"/>
        <w:spacing w:after="0" w:line="243" w:lineRule="auto"/>
        <w:tabs>
          <w:tab w:leader="none" w:pos="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Amounts in this column represent the target shares for performance share awards granted in 2017, 2018 and 2019 and the target shares for the performance restricted stock units granted in fiscal 2019.</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Option Exercises and Stock Vested</w:t>
      </w:r>
    </w:p>
    <w:p>
      <w:pPr>
        <w:spacing w:after="0" w:line="218" w:lineRule="exact"/>
        <w:rPr>
          <w:sz w:val="20"/>
          <w:szCs w:val="20"/>
          <w:color w:val="auto"/>
        </w:rPr>
      </w:pPr>
    </w:p>
    <w:p>
      <w:pPr>
        <w:ind w:left="440" w:right="560"/>
        <w:spacing w:after="0" w:line="239" w:lineRule="auto"/>
        <w:rPr>
          <w:sz w:val="20"/>
          <w:szCs w:val="20"/>
          <w:color w:val="auto"/>
        </w:rPr>
      </w:pPr>
      <w:r>
        <w:rPr>
          <w:rFonts w:ascii="Arial" w:cs="Arial" w:eastAsia="Arial" w:hAnsi="Arial"/>
          <w:sz w:val="17"/>
          <w:szCs w:val="17"/>
          <w:color w:val="auto"/>
        </w:rPr>
        <w:t>The following table sets forth information regarding shares of common stock acquired by our named executive officers during fiscal 2019 upon the exercise of stock options and the vesting of restricted stock units, including awards deferred into our Key Executive Stock Deferral Plan.</w:t>
      </w:r>
    </w:p>
    <w:p>
      <w:pPr>
        <w:spacing w:after="0" w:line="212"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3000" w:type="dxa"/>
            <w:vAlign w:val="bottom"/>
            <w:tcBorders>
              <w:bottom w:val="single" w:sz="8" w:color="483E65"/>
            </w:tcBorders>
          </w:tcPr>
          <w:p>
            <w:pPr>
              <w:jc w:val="right"/>
              <w:spacing w:after="0"/>
              <w:rPr>
                <w:sz w:val="20"/>
                <w:szCs w:val="20"/>
                <w:color w:val="auto"/>
              </w:rPr>
            </w:pPr>
            <w:r>
              <w:rPr>
                <w:rFonts w:ascii="Arial" w:cs="Arial" w:eastAsia="Arial" w:hAnsi="Arial"/>
                <w:sz w:val="17"/>
                <w:szCs w:val="17"/>
                <w:color w:val="483E65"/>
              </w:rPr>
              <w:t>Option Awards</w:t>
            </w:r>
          </w:p>
        </w:tc>
        <w:tc>
          <w:tcPr>
            <w:tcW w:w="1820" w:type="dxa"/>
            <w:vAlign w:val="bottom"/>
            <w:tcBorders>
              <w:bottom w:val="single" w:sz="8" w:color="483E65"/>
            </w:tcBorders>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Borders>
              <w:bottom w:val="single" w:sz="8" w:color="483E65"/>
            </w:tcBorders>
          </w:tcPr>
          <w:p>
            <w:pPr>
              <w:jc w:val="right"/>
              <w:spacing w:after="0"/>
              <w:rPr>
                <w:sz w:val="20"/>
                <w:szCs w:val="20"/>
                <w:color w:val="auto"/>
              </w:rPr>
            </w:pPr>
            <w:r>
              <w:rPr>
                <w:rFonts w:ascii="Arial" w:cs="Arial" w:eastAsia="Arial" w:hAnsi="Arial"/>
                <w:sz w:val="17"/>
                <w:szCs w:val="17"/>
                <w:color w:val="483E65"/>
              </w:rPr>
              <w:t>Stock Awards</w:t>
            </w:r>
          </w:p>
        </w:tc>
        <w:tc>
          <w:tcPr>
            <w:tcW w:w="1820" w:type="dxa"/>
            <w:vAlign w:val="bottom"/>
            <w:tcBorders>
              <w:bottom w:val="single" w:sz="8" w:color="483E65"/>
            </w:tcBorders>
          </w:tcPr>
          <w:p>
            <w:pPr>
              <w:spacing w:after="0"/>
              <w:rPr>
                <w:sz w:val="16"/>
                <w:szCs w:val="16"/>
                <w:color w:val="auto"/>
              </w:rPr>
            </w:pPr>
          </w:p>
        </w:tc>
      </w:tr>
      <w:tr>
        <w:trPr>
          <w:trHeight w:val="180"/>
        </w:trPr>
        <w:tc>
          <w:tcPr>
            <w:tcW w:w="1040" w:type="dxa"/>
            <w:vAlign w:val="bottom"/>
          </w:tcPr>
          <w:p>
            <w:pPr>
              <w:spacing w:after="0"/>
              <w:rPr>
                <w:sz w:val="15"/>
                <w:szCs w:val="15"/>
                <w:color w:val="auto"/>
              </w:rPr>
            </w:pPr>
          </w:p>
        </w:tc>
        <w:tc>
          <w:tcPr>
            <w:tcW w:w="3000" w:type="dxa"/>
            <w:vAlign w:val="bottom"/>
          </w:tcPr>
          <w:p>
            <w:pPr>
              <w:jc w:val="right"/>
              <w:ind w:right="995"/>
              <w:spacing w:after="0" w:line="180" w:lineRule="exact"/>
              <w:rPr>
                <w:sz w:val="20"/>
                <w:szCs w:val="20"/>
                <w:color w:val="auto"/>
              </w:rPr>
            </w:pPr>
            <w:r>
              <w:rPr>
                <w:rFonts w:ascii="Arial" w:cs="Arial" w:eastAsia="Arial" w:hAnsi="Arial"/>
                <w:sz w:val="17"/>
                <w:szCs w:val="17"/>
                <w:color w:val="483E65"/>
              </w:rPr>
              <w:t>Number of shares</w:t>
            </w:r>
          </w:p>
        </w:tc>
        <w:tc>
          <w:tcPr>
            <w:tcW w:w="1820" w:type="dxa"/>
            <w:vAlign w:val="bottom"/>
          </w:tcPr>
          <w:p>
            <w:pPr>
              <w:jc w:val="center"/>
              <w:ind w:right="355"/>
              <w:spacing w:after="0" w:line="180" w:lineRule="exact"/>
              <w:rPr>
                <w:sz w:val="20"/>
                <w:szCs w:val="20"/>
                <w:color w:val="auto"/>
              </w:rPr>
            </w:pPr>
            <w:r>
              <w:rPr>
                <w:rFonts w:ascii="Arial" w:cs="Arial" w:eastAsia="Arial" w:hAnsi="Arial"/>
                <w:sz w:val="17"/>
                <w:szCs w:val="17"/>
                <w:color w:val="483E65"/>
                <w:w w:val="98"/>
              </w:rPr>
              <w:t>Value realized on</w:t>
            </w:r>
          </w:p>
        </w:tc>
        <w:tc>
          <w:tcPr>
            <w:tcW w:w="100" w:type="dxa"/>
            <w:vAlign w:val="bottom"/>
          </w:tcPr>
          <w:p>
            <w:pPr>
              <w:spacing w:after="0"/>
              <w:rPr>
                <w:sz w:val="15"/>
                <w:szCs w:val="15"/>
                <w:color w:val="auto"/>
              </w:rPr>
            </w:pPr>
          </w:p>
        </w:tc>
        <w:tc>
          <w:tcPr>
            <w:tcW w:w="2980" w:type="dxa"/>
            <w:vAlign w:val="bottom"/>
          </w:tcPr>
          <w:p>
            <w:pPr>
              <w:jc w:val="right"/>
              <w:ind w:right="975"/>
              <w:spacing w:after="0" w:line="180" w:lineRule="exact"/>
              <w:rPr>
                <w:sz w:val="20"/>
                <w:szCs w:val="20"/>
                <w:color w:val="auto"/>
              </w:rPr>
            </w:pPr>
            <w:r>
              <w:rPr>
                <w:rFonts w:ascii="Arial" w:cs="Arial" w:eastAsia="Arial" w:hAnsi="Arial"/>
                <w:sz w:val="17"/>
                <w:szCs w:val="17"/>
                <w:color w:val="483E65"/>
              </w:rPr>
              <w:t>Number of shares</w:t>
            </w:r>
          </w:p>
        </w:tc>
        <w:tc>
          <w:tcPr>
            <w:tcW w:w="1820" w:type="dxa"/>
            <w:vAlign w:val="bottom"/>
          </w:tcPr>
          <w:p>
            <w:pPr>
              <w:jc w:val="right"/>
              <w:ind w:right="375"/>
              <w:spacing w:after="0" w:line="180" w:lineRule="exact"/>
              <w:rPr>
                <w:sz w:val="20"/>
                <w:szCs w:val="20"/>
                <w:color w:val="auto"/>
              </w:rPr>
            </w:pPr>
            <w:r>
              <w:rPr>
                <w:rFonts w:ascii="Arial" w:cs="Arial" w:eastAsia="Arial" w:hAnsi="Arial"/>
                <w:sz w:val="17"/>
                <w:szCs w:val="17"/>
                <w:color w:val="483E65"/>
              </w:rPr>
              <w:t>Value realized on</w:t>
            </w:r>
          </w:p>
        </w:tc>
      </w:tr>
      <w:tr>
        <w:trPr>
          <w:trHeight w:val="207"/>
        </w:trPr>
        <w:tc>
          <w:tcPr>
            <w:tcW w:w="1040" w:type="dxa"/>
            <w:vAlign w:val="bottom"/>
            <w:tcBorders>
              <w:bottom w:val="single" w:sz="8" w:color="483E65"/>
            </w:tcBorders>
          </w:tcPr>
          <w:p>
            <w:pPr>
              <w:ind w:left="100"/>
              <w:spacing w:after="0"/>
              <w:rPr>
                <w:sz w:val="20"/>
                <w:szCs w:val="20"/>
                <w:color w:val="auto"/>
              </w:rPr>
            </w:pPr>
            <w:r>
              <w:rPr>
                <w:rFonts w:ascii="Arial" w:cs="Arial" w:eastAsia="Arial" w:hAnsi="Arial"/>
                <w:sz w:val="17"/>
                <w:szCs w:val="17"/>
                <w:color w:val="483E65"/>
              </w:rPr>
              <w:t>Name</w:t>
            </w:r>
          </w:p>
        </w:tc>
        <w:tc>
          <w:tcPr>
            <w:tcW w:w="3000" w:type="dxa"/>
            <w:vAlign w:val="bottom"/>
            <w:tcBorders>
              <w:bottom w:val="single" w:sz="8" w:color="483E65"/>
            </w:tcBorders>
          </w:tcPr>
          <w:p>
            <w:pPr>
              <w:jc w:val="right"/>
              <w:ind w:right="755"/>
              <w:spacing w:after="0"/>
              <w:rPr>
                <w:sz w:val="20"/>
                <w:szCs w:val="20"/>
                <w:color w:val="auto"/>
              </w:rPr>
            </w:pPr>
            <w:r>
              <w:rPr>
                <w:rFonts w:ascii="Arial" w:cs="Arial" w:eastAsia="Arial" w:hAnsi="Arial"/>
                <w:sz w:val="17"/>
                <w:szCs w:val="17"/>
                <w:color w:val="483E65"/>
              </w:rPr>
              <w:t>acquired on exercise (#)</w:t>
            </w:r>
          </w:p>
        </w:tc>
        <w:tc>
          <w:tcPr>
            <w:tcW w:w="1920" w:type="dxa"/>
            <w:vAlign w:val="bottom"/>
            <w:tcBorders>
              <w:bottom w:val="single" w:sz="8" w:color="483E65"/>
            </w:tcBorders>
            <w:gridSpan w:val="2"/>
          </w:tcPr>
          <w:p>
            <w:pPr>
              <w:jc w:val="center"/>
              <w:ind w:right="540"/>
              <w:spacing w:after="0"/>
              <w:rPr>
                <w:sz w:val="20"/>
                <w:szCs w:val="20"/>
                <w:color w:val="auto"/>
              </w:rPr>
            </w:pPr>
            <w:r>
              <w:rPr>
                <w:rFonts w:ascii="Arial" w:cs="Arial" w:eastAsia="Arial" w:hAnsi="Arial"/>
                <w:sz w:val="17"/>
                <w:szCs w:val="17"/>
                <w:color w:val="483E65"/>
                <w:w w:val="99"/>
              </w:rPr>
              <w:t>exercises ($)</w:t>
            </w:r>
            <w:r>
              <w:rPr>
                <w:rFonts w:ascii="Arial" w:cs="Arial" w:eastAsia="Arial" w:hAnsi="Arial"/>
                <w:sz w:val="14"/>
                <w:szCs w:val="14"/>
                <w:color w:val="483E65"/>
                <w:w w:val="99"/>
              </w:rPr>
              <w:t>(1)</w:t>
            </w:r>
          </w:p>
        </w:tc>
        <w:tc>
          <w:tcPr>
            <w:tcW w:w="2980" w:type="dxa"/>
            <w:vAlign w:val="bottom"/>
            <w:tcBorders>
              <w:bottom w:val="single" w:sz="8" w:color="483E65"/>
            </w:tcBorders>
          </w:tcPr>
          <w:p>
            <w:pPr>
              <w:jc w:val="right"/>
              <w:ind w:right="715"/>
              <w:spacing w:after="0"/>
              <w:rPr>
                <w:sz w:val="20"/>
                <w:szCs w:val="20"/>
                <w:color w:val="auto"/>
              </w:rPr>
            </w:pPr>
            <w:r>
              <w:rPr>
                <w:rFonts w:ascii="Arial" w:cs="Arial" w:eastAsia="Arial" w:hAnsi="Arial"/>
                <w:sz w:val="17"/>
                <w:szCs w:val="17"/>
                <w:color w:val="483E65"/>
              </w:rPr>
              <w:t>acquired on vesting(#)</w:t>
            </w:r>
            <w:r>
              <w:rPr>
                <w:rFonts w:ascii="Arial" w:cs="Arial" w:eastAsia="Arial" w:hAnsi="Arial"/>
                <w:sz w:val="14"/>
                <w:szCs w:val="14"/>
                <w:color w:val="483E65"/>
              </w:rPr>
              <w:t>(2)</w:t>
            </w:r>
          </w:p>
        </w:tc>
        <w:tc>
          <w:tcPr>
            <w:tcW w:w="1820" w:type="dxa"/>
            <w:vAlign w:val="bottom"/>
            <w:tcBorders>
              <w:bottom w:val="single" w:sz="8" w:color="483E65"/>
            </w:tcBorders>
          </w:tcPr>
          <w:p>
            <w:pPr>
              <w:jc w:val="right"/>
              <w:ind w:right="575"/>
              <w:spacing w:after="0"/>
              <w:rPr>
                <w:sz w:val="20"/>
                <w:szCs w:val="20"/>
                <w:color w:val="auto"/>
              </w:rPr>
            </w:pPr>
            <w:r>
              <w:rPr>
                <w:rFonts w:ascii="Arial" w:cs="Arial" w:eastAsia="Arial" w:hAnsi="Arial"/>
                <w:sz w:val="17"/>
                <w:szCs w:val="17"/>
                <w:color w:val="483E65"/>
              </w:rPr>
              <w:t>vesting ($)</w:t>
            </w:r>
            <w:r>
              <w:rPr>
                <w:rFonts w:ascii="Arial" w:cs="Arial" w:eastAsia="Arial" w:hAnsi="Arial"/>
                <w:sz w:val="14"/>
                <w:szCs w:val="14"/>
                <w:color w:val="483E65"/>
              </w:rPr>
              <w:t>(3)</w:t>
            </w:r>
          </w:p>
        </w:tc>
      </w:tr>
      <w:tr>
        <w:trPr>
          <w:trHeight w:val="183"/>
        </w:trPr>
        <w:tc>
          <w:tcPr>
            <w:tcW w:w="1040" w:type="dxa"/>
            <w:vAlign w:val="bottom"/>
          </w:tcPr>
          <w:p>
            <w:pPr>
              <w:ind w:left="100"/>
              <w:spacing w:after="0" w:line="184" w:lineRule="exact"/>
              <w:rPr>
                <w:sz w:val="20"/>
                <w:szCs w:val="20"/>
                <w:color w:val="auto"/>
              </w:rPr>
            </w:pPr>
            <w:r>
              <w:rPr>
                <w:rFonts w:ascii="Arial" w:cs="Arial" w:eastAsia="Arial" w:hAnsi="Arial"/>
                <w:sz w:val="17"/>
                <w:szCs w:val="17"/>
                <w:color w:val="auto"/>
              </w:rPr>
              <w:t>Mr. Krone</w:t>
            </w:r>
          </w:p>
        </w:tc>
        <w:tc>
          <w:tcPr>
            <w:tcW w:w="3000" w:type="dxa"/>
            <w:vAlign w:val="bottom"/>
          </w:tcPr>
          <w:p>
            <w:pPr>
              <w:jc w:val="right"/>
              <w:ind w:right="1375"/>
              <w:spacing w:after="0" w:line="184" w:lineRule="exact"/>
              <w:rPr>
                <w:sz w:val="20"/>
                <w:szCs w:val="20"/>
                <w:color w:val="auto"/>
              </w:rPr>
            </w:pPr>
            <w:r>
              <w:rPr>
                <w:rFonts w:ascii="Arial" w:cs="Arial" w:eastAsia="Arial" w:hAnsi="Arial"/>
                <w:sz w:val="17"/>
                <w:szCs w:val="17"/>
                <w:color w:val="auto"/>
              </w:rPr>
              <w:t>—</w:t>
            </w:r>
          </w:p>
        </w:tc>
        <w:tc>
          <w:tcPr>
            <w:tcW w:w="1920" w:type="dxa"/>
            <w:vAlign w:val="bottom"/>
            <w:gridSpan w:val="2"/>
          </w:tcPr>
          <w:p>
            <w:pPr>
              <w:jc w:val="right"/>
              <w:ind w:right="820"/>
              <w:spacing w:after="0" w:line="184" w:lineRule="exact"/>
              <w:rPr>
                <w:sz w:val="20"/>
                <w:szCs w:val="20"/>
                <w:color w:val="auto"/>
              </w:rPr>
            </w:pPr>
            <w:r>
              <w:rPr>
                <w:rFonts w:ascii="Arial" w:cs="Arial" w:eastAsia="Arial" w:hAnsi="Arial"/>
                <w:sz w:val="17"/>
                <w:szCs w:val="17"/>
                <w:color w:val="auto"/>
              </w:rPr>
              <w:t>—</w:t>
            </w:r>
          </w:p>
        </w:tc>
        <w:tc>
          <w:tcPr>
            <w:tcW w:w="2980" w:type="dxa"/>
            <w:vAlign w:val="bottom"/>
          </w:tcPr>
          <w:p>
            <w:pPr>
              <w:jc w:val="right"/>
              <w:ind w:right="1355"/>
              <w:spacing w:after="0" w:line="184" w:lineRule="exact"/>
              <w:rPr>
                <w:sz w:val="20"/>
                <w:szCs w:val="20"/>
                <w:color w:val="auto"/>
              </w:rPr>
            </w:pPr>
            <w:r>
              <w:rPr>
                <w:rFonts w:ascii="Arial" w:cs="Arial" w:eastAsia="Arial" w:hAnsi="Arial"/>
                <w:sz w:val="17"/>
                <w:szCs w:val="17"/>
                <w:color w:val="auto"/>
              </w:rPr>
              <w:t>99,135</w:t>
            </w:r>
          </w:p>
        </w:tc>
        <w:tc>
          <w:tcPr>
            <w:tcW w:w="1820" w:type="dxa"/>
            <w:vAlign w:val="bottom"/>
          </w:tcPr>
          <w:p>
            <w:pPr>
              <w:jc w:val="right"/>
              <w:ind w:right="615"/>
              <w:spacing w:after="0" w:line="184" w:lineRule="exact"/>
              <w:rPr>
                <w:sz w:val="20"/>
                <w:szCs w:val="20"/>
                <w:color w:val="auto"/>
              </w:rPr>
            </w:pPr>
            <w:r>
              <w:rPr>
                <w:rFonts w:ascii="Arial" w:cs="Arial" w:eastAsia="Arial" w:hAnsi="Arial"/>
                <w:sz w:val="17"/>
                <w:szCs w:val="17"/>
                <w:color w:val="auto"/>
              </w:rPr>
              <w:t>6,511,480</w:t>
            </w:r>
          </w:p>
        </w:tc>
      </w:tr>
      <w:tr>
        <w:trPr>
          <w:trHeight w:val="191"/>
        </w:trPr>
        <w:tc>
          <w:tcPr>
            <w:tcW w:w="104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Mr. Reagan</w:t>
            </w:r>
          </w:p>
        </w:tc>
        <w:tc>
          <w:tcPr>
            <w:tcW w:w="3000" w:type="dxa"/>
            <w:vAlign w:val="bottom"/>
            <w:shd w:val="clear" w:color="auto" w:fill="ACABA7"/>
          </w:tcPr>
          <w:p>
            <w:pPr>
              <w:jc w:val="right"/>
              <w:ind w:right="1375"/>
              <w:spacing w:after="0" w:line="191" w:lineRule="exact"/>
              <w:rPr>
                <w:sz w:val="20"/>
                <w:szCs w:val="20"/>
                <w:color w:val="auto"/>
              </w:rPr>
            </w:pPr>
            <w:r>
              <w:rPr>
                <w:rFonts w:ascii="Arial" w:cs="Arial" w:eastAsia="Arial" w:hAnsi="Arial"/>
                <w:sz w:val="17"/>
                <w:szCs w:val="17"/>
                <w:color w:val="auto"/>
              </w:rPr>
              <w:t>—</w:t>
            </w:r>
          </w:p>
        </w:tc>
        <w:tc>
          <w:tcPr>
            <w:tcW w:w="1920" w:type="dxa"/>
            <w:vAlign w:val="bottom"/>
            <w:gridSpan w:val="2"/>
            <w:shd w:val="clear" w:color="auto" w:fill="ACABA7"/>
          </w:tcPr>
          <w:p>
            <w:pPr>
              <w:jc w:val="right"/>
              <w:ind w:right="820"/>
              <w:spacing w:after="0" w:line="191" w:lineRule="exact"/>
              <w:rPr>
                <w:sz w:val="20"/>
                <w:szCs w:val="20"/>
                <w:color w:val="auto"/>
              </w:rPr>
            </w:pPr>
            <w:r>
              <w:rPr>
                <w:rFonts w:ascii="Arial" w:cs="Arial" w:eastAsia="Arial" w:hAnsi="Arial"/>
                <w:sz w:val="17"/>
                <w:szCs w:val="17"/>
                <w:color w:val="auto"/>
              </w:rPr>
              <w:t>—</w:t>
            </w:r>
          </w:p>
        </w:tc>
        <w:tc>
          <w:tcPr>
            <w:tcW w:w="2980" w:type="dxa"/>
            <w:vAlign w:val="bottom"/>
            <w:shd w:val="clear" w:color="auto" w:fill="ACABA7"/>
          </w:tcPr>
          <w:p>
            <w:pPr>
              <w:jc w:val="right"/>
              <w:ind w:right="1355"/>
              <w:spacing w:after="0" w:line="191" w:lineRule="exact"/>
              <w:rPr>
                <w:sz w:val="20"/>
                <w:szCs w:val="20"/>
                <w:color w:val="auto"/>
              </w:rPr>
            </w:pPr>
            <w:r>
              <w:rPr>
                <w:rFonts w:ascii="Arial" w:cs="Arial" w:eastAsia="Arial" w:hAnsi="Arial"/>
                <w:sz w:val="17"/>
                <w:szCs w:val="17"/>
                <w:color w:val="auto"/>
              </w:rPr>
              <w:t>26,221</w:t>
            </w:r>
          </w:p>
        </w:tc>
        <w:tc>
          <w:tcPr>
            <w:tcW w:w="1820" w:type="dxa"/>
            <w:vAlign w:val="bottom"/>
            <w:shd w:val="clear" w:color="auto" w:fill="ACABA7"/>
          </w:tcPr>
          <w:p>
            <w:pPr>
              <w:jc w:val="right"/>
              <w:ind w:right="615"/>
              <w:spacing w:after="0" w:line="191" w:lineRule="exact"/>
              <w:rPr>
                <w:sz w:val="20"/>
                <w:szCs w:val="20"/>
                <w:color w:val="auto"/>
              </w:rPr>
            </w:pPr>
            <w:r>
              <w:rPr>
                <w:rFonts w:ascii="Arial" w:cs="Arial" w:eastAsia="Arial" w:hAnsi="Arial"/>
                <w:sz w:val="17"/>
                <w:szCs w:val="17"/>
                <w:color w:val="auto"/>
              </w:rPr>
              <w:t>1,751,701</w:t>
            </w:r>
          </w:p>
        </w:tc>
      </w:tr>
      <w:tr>
        <w:trPr>
          <w:trHeight w:val="191"/>
        </w:trPr>
        <w:tc>
          <w:tcPr>
            <w:tcW w:w="1040" w:type="dxa"/>
            <w:vAlign w:val="bottom"/>
          </w:tcPr>
          <w:p>
            <w:pPr>
              <w:ind w:left="100"/>
              <w:spacing w:after="0" w:line="191" w:lineRule="exact"/>
              <w:rPr>
                <w:sz w:val="20"/>
                <w:szCs w:val="20"/>
                <w:color w:val="auto"/>
              </w:rPr>
            </w:pPr>
            <w:r>
              <w:rPr>
                <w:rFonts w:ascii="Arial" w:cs="Arial" w:eastAsia="Arial" w:hAnsi="Arial"/>
                <w:sz w:val="17"/>
                <w:szCs w:val="17"/>
                <w:color w:val="auto"/>
              </w:rPr>
              <w:t>Mr. Scholl</w:t>
            </w:r>
          </w:p>
        </w:tc>
        <w:tc>
          <w:tcPr>
            <w:tcW w:w="3000" w:type="dxa"/>
            <w:vAlign w:val="bottom"/>
          </w:tcPr>
          <w:p>
            <w:pPr>
              <w:jc w:val="right"/>
              <w:ind w:right="1375"/>
              <w:spacing w:after="0" w:line="191" w:lineRule="exact"/>
              <w:rPr>
                <w:sz w:val="20"/>
                <w:szCs w:val="20"/>
                <w:color w:val="auto"/>
              </w:rPr>
            </w:pPr>
            <w:r>
              <w:rPr>
                <w:rFonts w:ascii="Arial" w:cs="Arial" w:eastAsia="Arial" w:hAnsi="Arial"/>
                <w:sz w:val="17"/>
                <w:szCs w:val="17"/>
                <w:color w:val="auto"/>
              </w:rPr>
              <w:t>—</w:t>
            </w:r>
          </w:p>
        </w:tc>
        <w:tc>
          <w:tcPr>
            <w:tcW w:w="1920" w:type="dxa"/>
            <w:vAlign w:val="bottom"/>
            <w:gridSpan w:val="2"/>
          </w:tcPr>
          <w:p>
            <w:pPr>
              <w:jc w:val="right"/>
              <w:ind w:right="820"/>
              <w:spacing w:after="0" w:line="191" w:lineRule="exact"/>
              <w:rPr>
                <w:sz w:val="20"/>
                <w:szCs w:val="20"/>
                <w:color w:val="auto"/>
              </w:rPr>
            </w:pPr>
            <w:r>
              <w:rPr>
                <w:rFonts w:ascii="Arial" w:cs="Arial" w:eastAsia="Arial" w:hAnsi="Arial"/>
                <w:sz w:val="17"/>
                <w:szCs w:val="17"/>
                <w:color w:val="auto"/>
              </w:rPr>
              <w:t>—</w:t>
            </w:r>
          </w:p>
        </w:tc>
        <w:tc>
          <w:tcPr>
            <w:tcW w:w="2980" w:type="dxa"/>
            <w:vAlign w:val="bottom"/>
          </w:tcPr>
          <w:p>
            <w:pPr>
              <w:jc w:val="right"/>
              <w:ind w:right="1355"/>
              <w:spacing w:after="0" w:line="191" w:lineRule="exact"/>
              <w:rPr>
                <w:sz w:val="20"/>
                <w:szCs w:val="20"/>
                <w:color w:val="auto"/>
              </w:rPr>
            </w:pPr>
            <w:r>
              <w:rPr>
                <w:rFonts w:ascii="Arial" w:cs="Arial" w:eastAsia="Arial" w:hAnsi="Arial"/>
                <w:sz w:val="17"/>
                <w:szCs w:val="17"/>
                <w:color w:val="auto"/>
              </w:rPr>
              <w:t>12,830</w:t>
            </w:r>
          </w:p>
        </w:tc>
        <w:tc>
          <w:tcPr>
            <w:tcW w:w="1820" w:type="dxa"/>
            <w:vAlign w:val="bottom"/>
          </w:tcPr>
          <w:p>
            <w:pPr>
              <w:jc w:val="right"/>
              <w:ind w:right="615"/>
              <w:spacing w:after="0" w:line="191" w:lineRule="exact"/>
              <w:rPr>
                <w:sz w:val="20"/>
                <w:szCs w:val="20"/>
                <w:color w:val="auto"/>
              </w:rPr>
            </w:pPr>
            <w:r>
              <w:rPr>
                <w:rFonts w:ascii="Arial" w:cs="Arial" w:eastAsia="Arial" w:hAnsi="Arial"/>
                <w:sz w:val="17"/>
                <w:szCs w:val="17"/>
                <w:color w:val="auto"/>
              </w:rPr>
              <w:t>993,588</w:t>
            </w:r>
          </w:p>
        </w:tc>
      </w:tr>
      <w:tr>
        <w:trPr>
          <w:trHeight w:val="191"/>
        </w:trPr>
        <w:tc>
          <w:tcPr>
            <w:tcW w:w="104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Mr. Howe</w:t>
            </w:r>
          </w:p>
        </w:tc>
        <w:tc>
          <w:tcPr>
            <w:tcW w:w="3000" w:type="dxa"/>
            <w:vAlign w:val="bottom"/>
            <w:shd w:val="clear" w:color="auto" w:fill="ACABA7"/>
          </w:tcPr>
          <w:p>
            <w:pPr>
              <w:jc w:val="right"/>
              <w:ind w:right="1375"/>
              <w:spacing w:after="0" w:line="191" w:lineRule="exact"/>
              <w:rPr>
                <w:sz w:val="20"/>
                <w:szCs w:val="20"/>
                <w:color w:val="auto"/>
              </w:rPr>
            </w:pPr>
            <w:r>
              <w:rPr>
                <w:rFonts w:ascii="Arial" w:cs="Arial" w:eastAsia="Arial" w:hAnsi="Arial"/>
                <w:sz w:val="17"/>
                <w:szCs w:val="17"/>
                <w:color w:val="auto"/>
              </w:rPr>
              <w:t>—</w:t>
            </w:r>
          </w:p>
        </w:tc>
        <w:tc>
          <w:tcPr>
            <w:tcW w:w="1920" w:type="dxa"/>
            <w:vAlign w:val="bottom"/>
            <w:gridSpan w:val="2"/>
            <w:shd w:val="clear" w:color="auto" w:fill="ACABA7"/>
          </w:tcPr>
          <w:p>
            <w:pPr>
              <w:jc w:val="right"/>
              <w:ind w:right="820"/>
              <w:spacing w:after="0" w:line="191" w:lineRule="exact"/>
              <w:rPr>
                <w:sz w:val="20"/>
                <w:szCs w:val="20"/>
                <w:color w:val="auto"/>
              </w:rPr>
            </w:pPr>
            <w:r>
              <w:rPr>
                <w:rFonts w:ascii="Arial" w:cs="Arial" w:eastAsia="Arial" w:hAnsi="Arial"/>
                <w:sz w:val="17"/>
                <w:szCs w:val="17"/>
                <w:color w:val="auto"/>
              </w:rPr>
              <w:t>—</w:t>
            </w:r>
          </w:p>
        </w:tc>
        <w:tc>
          <w:tcPr>
            <w:tcW w:w="2980" w:type="dxa"/>
            <w:vAlign w:val="bottom"/>
            <w:shd w:val="clear" w:color="auto" w:fill="ACABA7"/>
          </w:tcPr>
          <w:p>
            <w:pPr>
              <w:jc w:val="right"/>
              <w:ind w:right="1355"/>
              <w:spacing w:after="0" w:line="191" w:lineRule="exact"/>
              <w:rPr>
                <w:sz w:val="20"/>
                <w:szCs w:val="20"/>
                <w:color w:val="auto"/>
              </w:rPr>
            </w:pPr>
            <w:r>
              <w:rPr>
                <w:rFonts w:ascii="Arial" w:cs="Arial" w:eastAsia="Arial" w:hAnsi="Arial"/>
                <w:sz w:val="17"/>
                <w:szCs w:val="17"/>
                <w:color w:val="auto"/>
              </w:rPr>
              <w:t>1,582</w:t>
            </w:r>
          </w:p>
        </w:tc>
        <w:tc>
          <w:tcPr>
            <w:tcW w:w="1820" w:type="dxa"/>
            <w:vAlign w:val="bottom"/>
            <w:shd w:val="clear" w:color="auto" w:fill="ACABA7"/>
          </w:tcPr>
          <w:p>
            <w:pPr>
              <w:jc w:val="right"/>
              <w:ind w:right="615"/>
              <w:spacing w:after="0" w:line="191" w:lineRule="exact"/>
              <w:rPr>
                <w:sz w:val="20"/>
                <w:szCs w:val="20"/>
                <w:color w:val="auto"/>
              </w:rPr>
            </w:pPr>
            <w:r>
              <w:rPr>
                <w:rFonts w:ascii="Arial" w:cs="Arial" w:eastAsia="Arial" w:hAnsi="Arial"/>
                <w:sz w:val="17"/>
                <w:szCs w:val="17"/>
                <w:color w:val="auto"/>
              </w:rPr>
              <w:t>112,737</w:t>
            </w:r>
          </w:p>
        </w:tc>
      </w:tr>
      <w:tr>
        <w:trPr>
          <w:trHeight w:val="191"/>
        </w:trPr>
        <w:tc>
          <w:tcPr>
            <w:tcW w:w="1040" w:type="dxa"/>
            <w:vAlign w:val="bottom"/>
          </w:tcPr>
          <w:p>
            <w:pPr>
              <w:ind w:left="100"/>
              <w:spacing w:after="0" w:line="191" w:lineRule="exact"/>
              <w:rPr>
                <w:sz w:val="20"/>
                <w:szCs w:val="20"/>
                <w:color w:val="auto"/>
              </w:rPr>
            </w:pPr>
            <w:r>
              <w:rPr>
                <w:rFonts w:ascii="Arial" w:cs="Arial" w:eastAsia="Arial" w:hAnsi="Arial"/>
                <w:sz w:val="17"/>
                <w:szCs w:val="17"/>
                <w:color w:val="auto"/>
              </w:rPr>
              <w:t>Mr. Fasano</w:t>
            </w:r>
          </w:p>
        </w:tc>
        <w:tc>
          <w:tcPr>
            <w:tcW w:w="3000" w:type="dxa"/>
            <w:vAlign w:val="bottom"/>
          </w:tcPr>
          <w:p>
            <w:pPr>
              <w:jc w:val="right"/>
              <w:ind w:right="1375"/>
              <w:spacing w:after="0" w:line="191" w:lineRule="exact"/>
              <w:rPr>
                <w:sz w:val="20"/>
                <w:szCs w:val="20"/>
                <w:color w:val="auto"/>
              </w:rPr>
            </w:pPr>
            <w:r>
              <w:rPr>
                <w:rFonts w:ascii="Arial" w:cs="Arial" w:eastAsia="Arial" w:hAnsi="Arial"/>
                <w:sz w:val="17"/>
                <w:szCs w:val="17"/>
                <w:color w:val="auto"/>
              </w:rPr>
              <w:t>23,785</w:t>
            </w:r>
          </w:p>
        </w:tc>
        <w:tc>
          <w:tcPr>
            <w:tcW w:w="1820" w:type="dxa"/>
            <w:vAlign w:val="bottom"/>
          </w:tcPr>
          <w:p>
            <w:pPr>
              <w:jc w:val="right"/>
              <w:ind w:right="635"/>
              <w:spacing w:after="0" w:line="191" w:lineRule="exact"/>
              <w:rPr>
                <w:sz w:val="20"/>
                <w:szCs w:val="20"/>
                <w:color w:val="auto"/>
              </w:rPr>
            </w:pPr>
            <w:r>
              <w:rPr>
                <w:rFonts w:ascii="Arial" w:cs="Arial" w:eastAsia="Arial" w:hAnsi="Arial"/>
                <w:sz w:val="17"/>
                <w:szCs w:val="17"/>
                <w:color w:val="auto"/>
              </w:rPr>
              <w:t>1,139,777</w:t>
            </w:r>
          </w:p>
        </w:tc>
        <w:tc>
          <w:tcPr>
            <w:tcW w:w="100" w:type="dxa"/>
            <w:vAlign w:val="bottom"/>
          </w:tcPr>
          <w:p>
            <w:pPr>
              <w:spacing w:after="0"/>
              <w:rPr>
                <w:sz w:val="16"/>
                <w:szCs w:val="16"/>
                <w:color w:val="auto"/>
              </w:rPr>
            </w:pPr>
          </w:p>
        </w:tc>
        <w:tc>
          <w:tcPr>
            <w:tcW w:w="2980" w:type="dxa"/>
            <w:vAlign w:val="bottom"/>
          </w:tcPr>
          <w:p>
            <w:pPr>
              <w:jc w:val="right"/>
              <w:ind w:right="1355"/>
              <w:spacing w:after="0" w:line="191" w:lineRule="exact"/>
              <w:rPr>
                <w:sz w:val="20"/>
                <w:szCs w:val="20"/>
                <w:color w:val="auto"/>
              </w:rPr>
            </w:pPr>
            <w:r>
              <w:rPr>
                <w:rFonts w:ascii="Arial" w:cs="Arial" w:eastAsia="Arial" w:hAnsi="Arial"/>
                <w:sz w:val="17"/>
                <w:szCs w:val="17"/>
                <w:color w:val="auto"/>
              </w:rPr>
              <w:t>26,064</w:t>
            </w:r>
          </w:p>
        </w:tc>
        <w:tc>
          <w:tcPr>
            <w:tcW w:w="1820" w:type="dxa"/>
            <w:vAlign w:val="bottom"/>
          </w:tcPr>
          <w:p>
            <w:pPr>
              <w:jc w:val="right"/>
              <w:ind w:right="615"/>
              <w:spacing w:after="0" w:line="191" w:lineRule="exact"/>
              <w:rPr>
                <w:sz w:val="20"/>
                <w:szCs w:val="20"/>
                <w:color w:val="auto"/>
              </w:rPr>
            </w:pPr>
            <w:r>
              <w:rPr>
                <w:rFonts w:ascii="Arial" w:cs="Arial" w:eastAsia="Arial" w:hAnsi="Arial"/>
                <w:sz w:val="17"/>
                <w:szCs w:val="17"/>
                <w:color w:val="auto"/>
              </w:rPr>
              <w:t>1,760,875</w:t>
            </w:r>
          </w:p>
        </w:tc>
      </w:tr>
      <w:tr>
        <w:trPr>
          <w:trHeight w:val="191"/>
        </w:trPr>
        <w:tc>
          <w:tcPr>
            <w:tcW w:w="104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Ms. Heise</w:t>
            </w:r>
          </w:p>
        </w:tc>
        <w:tc>
          <w:tcPr>
            <w:tcW w:w="3000" w:type="dxa"/>
            <w:vAlign w:val="bottom"/>
            <w:shd w:val="clear" w:color="auto" w:fill="ACABA7"/>
          </w:tcPr>
          <w:p>
            <w:pPr>
              <w:jc w:val="right"/>
              <w:ind w:right="1375"/>
              <w:spacing w:after="0" w:line="191" w:lineRule="exact"/>
              <w:rPr>
                <w:sz w:val="20"/>
                <w:szCs w:val="20"/>
                <w:color w:val="auto"/>
              </w:rPr>
            </w:pPr>
            <w:r>
              <w:rPr>
                <w:rFonts w:ascii="Arial" w:cs="Arial" w:eastAsia="Arial" w:hAnsi="Arial"/>
                <w:sz w:val="17"/>
                <w:szCs w:val="17"/>
                <w:color w:val="auto"/>
              </w:rPr>
              <w:t>43,221</w:t>
            </w:r>
          </w:p>
        </w:tc>
        <w:tc>
          <w:tcPr>
            <w:tcW w:w="1820" w:type="dxa"/>
            <w:vAlign w:val="bottom"/>
            <w:shd w:val="clear" w:color="auto" w:fill="ACABA7"/>
          </w:tcPr>
          <w:p>
            <w:pPr>
              <w:jc w:val="right"/>
              <w:ind w:right="635"/>
              <w:spacing w:after="0" w:line="191" w:lineRule="exact"/>
              <w:rPr>
                <w:sz w:val="20"/>
                <w:szCs w:val="20"/>
                <w:color w:val="auto"/>
              </w:rPr>
            </w:pPr>
            <w:r>
              <w:rPr>
                <w:rFonts w:ascii="Arial" w:cs="Arial" w:eastAsia="Arial" w:hAnsi="Arial"/>
                <w:sz w:val="17"/>
                <w:szCs w:val="17"/>
                <w:color w:val="auto"/>
              </w:rPr>
              <w:t>1,849,051</w:t>
            </w:r>
          </w:p>
        </w:tc>
        <w:tc>
          <w:tcPr>
            <w:tcW w:w="100" w:type="dxa"/>
            <w:vAlign w:val="bottom"/>
            <w:shd w:val="clear" w:color="auto" w:fill="ACABA7"/>
          </w:tcPr>
          <w:p>
            <w:pPr>
              <w:spacing w:after="0"/>
              <w:rPr>
                <w:sz w:val="16"/>
                <w:szCs w:val="16"/>
                <w:color w:val="auto"/>
              </w:rPr>
            </w:pPr>
          </w:p>
        </w:tc>
        <w:tc>
          <w:tcPr>
            <w:tcW w:w="2980" w:type="dxa"/>
            <w:vAlign w:val="bottom"/>
            <w:shd w:val="clear" w:color="auto" w:fill="ACABA7"/>
          </w:tcPr>
          <w:p>
            <w:pPr>
              <w:jc w:val="right"/>
              <w:ind w:right="1355"/>
              <w:spacing w:after="0" w:line="191" w:lineRule="exact"/>
              <w:rPr>
                <w:sz w:val="20"/>
                <w:szCs w:val="20"/>
                <w:color w:val="auto"/>
              </w:rPr>
            </w:pPr>
            <w:r>
              <w:rPr>
                <w:rFonts w:ascii="Arial" w:cs="Arial" w:eastAsia="Arial" w:hAnsi="Arial"/>
                <w:sz w:val="17"/>
                <w:szCs w:val="17"/>
                <w:color w:val="auto"/>
              </w:rPr>
              <w:t>22,263</w:t>
            </w:r>
          </w:p>
        </w:tc>
        <w:tc>
          <w:tcPr>
            <w:tcW w:w="1820" w:type="dxa"/>
            <w:vAlign w:val="bottom"/>
            <w:shd w:val="clear" w:color="auto" w:fill="ACABA7"/>
          </w:tcPr>
          <w:p>
            <w:pPr>
              <w:jc w:val="right"/>
              <w:ind w:right="615"/>
              <w:spacing w:after="0" w:line="191" w:lineRule="exact"/>
              <w:rPr>
                <w:sz w:val="20"/>
                <w:szCs w:val="20"/>
                <w:color w:val="auto"/>
              </w:rPr>
            </w:pPr>
            <w:r>
              <w:rPr>
                <w:rFonts w:ascii="Arial" w:cs="Arial" w:eastAsia="Arial" w:hAnsi="Arial"/>
                <w:sz w:val="17"/>
                <w:szCs w:val="17"/>
                <w:color w:val="auto"/>
              </w:rPr>
              <w:t>1,566,080</w:t>
            </w:r>
          </w:p>
        </w:tc>
      </w:tr>
    </w:tbl>
    <w:p>
      <w:pPr>
        <w:spacing w:after="0" w:line="114" w:lineRule="exact"/>
        <w:rPr>
          <w:sz w:val="20"/>
          <w:szCs w:val="20"/>
          <w:color w:val="auto"/>
        </w:rPr>
      </w:pPr>
    </w:p>
    <w:p>
      <w:pPr>
        <w:ind w:left="840" w:hanging="400"/>
        <w:spacing w:after="0"/>
        <w:tabs>
          <w:tab w:leader="none" w:pos="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the closing price of our common stock on the day before the date of exercise.</w:t>
      </w:r>
    </w:p>
    <w:p>
      <w:pPr>
        <w:spacing w:after="0" w:line="109" w:lineRule="exact"/>
        <w:rPr>
          <w:rFonts w:ascii="Arial" w:cs="Arial" w:eastAsia="Arial" w:hAnsi="Arial"/>
          <w:sz w:val="17"/>
          <w:szCs w:val="17"/>
          <w:color w:val="auto"/>
        </w:rPr>
      </w:pPr>
    </w:p>
    <w:p>
      <w:pPr>
        <w:ind w:left="840" w:right="540" w:hanging="400"/>
        <w:spacing w:after="0" w:line="239" w:lineRule="auto"/>
        <w:tabs>
          <w:tab w:leader="none" w:pos="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accrued dividends and includes stock units deferred into our Key Executive Stock Deferral Plan that vested during fiscal 2019. Any stock awards that vested in the current year and were deferred by our named executive officers are reflected in the table under the caption “Nonqualified Deferred Compensation.”</w:t>
      </w:r>
    </w:p>
    <w:p>
      <w:pPr>
        <w:spacing w:after="0" w:line="102" w:lineRule="exact"/>
        <w:rPr>
          <w:rFonts w:ascii="Arial" w:cs="Arial" w:eastAsia="Arial" w:hAnsi="Arial"/>
          <w:sz w:val="17"/>
          <w:szCs w:val="17"/>
          <w:color w:val="auto"/>
        </w:rPr>
      </w:pPr>
    </w:p>
    <w:p>
      <w:pPr>
        <w:ind w:left="840" w:hanging="400"/>
        <w:spacing w:after="0"/>
        <w:tabs>
          <w:tab w:leader="none" w:pos="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the closing price of our common stock on the day before the date of vesting. Includes accrued dividends.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Nonqualified Deferred Compensation</w:t>
      </w:r>
    </w:p>
    <w:p>
      <w:pPr>
        <w:spacing w:after="0" w:line="218" w:lineRule="exact"/>
        <w:rPr>
          <w:sz w:val="20"/>
          <w:szCs w:val="20"/>
          <w:color w:val="auto"/>
        </w:rPr>
      </w:pPr>
    </w:p>
    <w:p>
      <w:pPr>
        <w:ind w:left="440" w:right="700"/>
        <w:spacing w:after="0" w:line="243" w:lineRule="auto"/>
        <w:rPr>
          <w:sz w:val="20"/>
          <w:szCs w:val="20"/>
          <w:color w:val="auto"/>
        </w:rPr>
      </w:pPr>
      <w:r>
        <w:rPr>
          <w:rFonts w:ascii="Arial" w:cs="Arial" w:eastAsia="Arial" w:hAnsi="Arial"/>
          <w:sz w:val="17"/>
          <w:szCs w:val="17"/>
          <w:color w:val="auto"/>
        </w:rPr>
        <w:t>We provided benefits to our named executive officers during fiscal 2019 under the following nonqualified deferred compensation plans, which are summarized below:</w:t>
      </w:r>
    </w:p>
    <w:p>
      <w:pPr>
        <w:spacing w:after="0" w:line="171" w:lineRule="exact"/>
        <w:rPr>
          <w:sz w:val="20"/>
          <w:szCs w:val="20"/>
          <w:color w:val="auto"/>
        </w:rPr>
      </w:pPr>
    </w:p>
    <w:p>
      <w:pPr>
        <w:jc w:val="both"/>
        <w:ind w:left="440" w:right="400"/>
        <w:spacing w:after="0" w:line="241" w:lineRule="auto"/>
        <w:rPr>
          <w:sz w:val="20"/>
          <w:szCs w:val="20"/>
          <w:color w:val="auto"/>
        </w:rPr>
      </w:pPr>
      <w:r>
        <w:rPr>
          <w:rFonts w:ascii="Arial" w:cs="Arial" w:eastAsia="Arial" w:hAnsi="Arial"/>
          <w:sz w:val="17"/>
          <w:szCs w:val="17"/>
          <w:i w:val="1"/>
          <w:iCs w:val="1"/>
          <w:color w:val="483E65"/>
        </w:rPr>
        <w:t xml:space="preserve">The Leidos Keystaff Deferral Plan </w:t>
      </w:r>
      <w:r>
        <w:rPr>
          <w:rFonts w:ascii="Arial" w:cs="Arial" w:eastAsia="Arial" w:hAnsi="Arial"/>
          <w:sz w:val="17"/>
          <w:szCs w:val="17"/>
          <w:color w:val="000000"/>
        </w:rPr>
        <w:t>allows eligible participants to elect to defer all or a portion of salary and any cash bonus granted to them</w:t>
      </w:r>
      <w:r>
        <w:rPr>
          <w:rFonts w:ascii="Arial" w:cs="Arial" w:eastAsia="Arial" w:hAnsi="Arial"/>
          <w:sz w:val="17"/>
          <w:szCs w:val="17"/>
          <w:i w:val="1"/>
          <w:iCs w:val="1"/>
          <w:color w:val="483E65"/>
        </w:rPr>
        <w:t xml:space="preserve"> </w:t>
      </w:r>
      <w:r>
        <w:rPr>
          <w:rFonts w:ascii="Arial" w:cs="Arial" w:eastAsia="Arial" w:hAnsi="Arial"/>
          <w:sz w:val="17"/>
          <w:szCs w:val="17"/>
          <w:color w:val="000000"/>
        </w:rPr>
        <w:t>under our cash incentive plan. We make no contributions to participants’ accounts under the Keystaff Deferral Plan. Participants can direct their deferrals into investment options similar to those available in the Leidos Retirement Plan other than the Leidos Stock Funds.</w:t>
      </w:r>
    </w:p>
    <w:p>
      <w:pPr>
        <w:spacing w:after="0" w:line="1" w:lineRule="exact"/>
        <w:rPr>
          <w:sz w:val="20"/>
          <w:szCs w:val="20"/>
          <w:color w:val="auto"/>
        </w:rPr>
      </w:pPr>
    </w:p>
    <w:p>
      <w:pPr>
        <w:ind w:left="440" w:right="600"/>
        <w:spacing w:after="0" w:line="243" w:lineRule="auto"/>
        <w:rPr>
          <w:sz w:val="20"/>
          <w:szCs w:val="20"/>
          <w:color w:val="auto"/>
        </w:rPr>
      </w:pPr>
      <w:r>
        <w:rPr>
          <w:rFonts w:ascii="Arial" w:cs="Arial" w:eastAsia="Arial" w:hAnsi="Arial"/>
          <w:sz w:val="17"/>
          <w:szCs w:val="17"/>
          <w:color w:val="auto"/>
        </w:rPr>
        <w:t>Distributions under the Keystaff Deferral Plan are then made to participants in cash. Deferred balances under this plan will be paid upon the elected specified date, retirement or separation from service.</w:t>
      </w:r>
    </w:p>
    <w:p>
      <w:pPr>
        <w:spacing w:after="0" w:line="171" w:lineRule="exact"/>
        <w:rPr>
          <w:sz w:val="20"/>
          <w:szCs w:val="20"/>
          <w:color w:val="auto"/>
        </w:rPr>
      </w:pPr>
    </w:p>
    <w:p>
      <w:pPr>
        <w:ind w:left="440" w:right="540"/>
        <w:spacing w:after="0" w:line="241" w:lineRule="auto"/>
        <w:rPr>
          <w:sz w:val="20"/>
          <w:szCs w:val="20"/>
          <w:color w:val="auto"/>
        </w:rPr>
      </w:pPr>
      <w:r>
        <w:rPr>
          <w:rFonts w:ascii="Arial" w:cs="Arial" w:eastAsia="Arial" w:hAnsi="Arial"/>
          <w:sz w:val="17"/>
          <w:szCs w:val="17"/>
          <w:i w:val="1"/>
          <w:iCs w:val="1"/>
          <w:color w:val="483E65"/>
        </w:rPr>
        <w:t xml:space="preserve">The Leidos Key Executive Stock Deferral Plan </w:t>
      </w:r>
      <w:r>
        <w:rPr>
          <w:rFonts w:ascii="Arial" w:cs="Arial" w:eastAsia="Arial" w:hAnsi="Arial"/>
          <w:sz w:val="17"/>
          <w:szCs w:val="17"/>
          <w:color w:val="000000"/>
        </w:rPr>
        <w:t>allows eligible participants to elect to defer all or a portion of their cash or certain equity</w:t>
      </w:r>
      <w:r>
        <w:rPr>
          <w:rFonts w:ascii="Arial" w:cs="Arial" w:eastAsia="Arial" w:hAnsi="Arial"/>
          <w:sz w:val="17"/>
          <w:szCs w:val="17"/>
          <w:i w:val="1"/>
          <w:iCs w:val="1"/>
          <w:color w:val="483E65"/>
        </w:rPr>
        <w:t xml:space="preserve"> </w:t>
      </w:r>
      <w:r>
        <w:rPr>
          <w:rFonts w:ascii="Arial" w:cs="Arial" w:eastAsia="Arial" w:hAnsi="Arial"/>
          <w:sz w:val="17"/>
          <w:szCs w:val="17"/>
          <w:color w:val="000000"/>
        </w:rPr>
        <w:t>incentive awards granted to them under our cash incentive or stock incentive plans. Participant deferrals in other forms are converted to stock units of our common stock. Participant accounts are credited with additional units corresponding to their outstanding account balance for each company dividend payable. We make no contributions to participants’ accounts under the Key Executive Stock Deferral Plan. Distributions under the Key Executive Stock Deferral</w:t>
      </w:r>
    </w:p>
    <w:p>
      <w:pPr>
        <w:spacing w:after="0" w:line="114" w:lineRule="exact"/>
        <w:rPr>
          <w:sz w:val="20"/>
          <w:szCs w:val="20"/>
          <w:color w:val="auto"/>
        </w:r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36</w:t>
        <w:tab/>
        <w:t>|</w:t>
        <w:tab/>
        <w:t>2020 Proxy Statement</w:t>
      </w:r>
    </w:p>
    <w:p>
      <w:pPr>
        <w:sectPr>
          <w:pgSz w:w="11900" w:h="16838" w:orient="portrait"/>
          <w:cols w:equalWidth="0" w:num="1">
            <w:col w:w="11200"/>
          </w:cols>
          <w:pgMar w:left="320" w:top="441" w:right="37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Plan are then made to participants in shares of common stock corresponding to the number of vested stock units held for the participant.</w:t>
      </w:r>
    </w:p>
    <w:p>
      <w:pPr>
        <w:ind w:left="440"/>
        <w:spacing w:after="0"/>
        <w:rPr>
          <w:sz w:val="20"/>
          <w:szCs w:val="20"/>
          <w:color w:val="auto"/>
        </w:rPr>
      </w:pPr>
      <w:r>
        <w:rPr>
          <w:rFonts w:ascii="Arial" w:cs="Arial" w:eastAsia="Arial" w:hAnsi="Arial"/>
          <w:sz w:val="17"/>
          <w:szCs w:val="17"/>
          <w:color w:val="auto"/>
        </w:rPr>
        <w:t>Vested deferred balances under this plan will be paid upon the elected specified date, retirement or separation from service.</w:t>
      </w:r>
    </w:p>
    <w:p>
      <w:pPr>
        <w:spacing w:after="0" w:line="180" w:lineRule="exact"/>
        <w:rPr>
          <w:sz w:val="20"/>
          <w:szCs w:val="20"/>
          <w:color w:val="auto"/>
        </w:rPr>
      </w:pPr>
    </w:p>
    <w:p>
      <w:pPr>
        <w:ind w:left="440" w:right="420"/>
        <w:spacing w:after="0" w:line="241" w:lineRule="auto"/>
        <w:rPr>
          <w:sz w:val="20"/>
          <w:szCs w:val="20"/>
          <w:color w:val="auto"/>
        </w:rPr>
      </w:pPr>
      <w:r>
        <w:rPr>
          <w:rFonts w:ascii="Arial" w:cs="Arial" w:eastAsia="Arial" w:hAnsi="Arial"/>
          <w:sz w:val="17"/>
          <w:szCs w:val="17"/>
          <w:i w:val="1"/>
          <w:iCs w:val="1"/>
          <w:color w:val="483E65"/>
        </w:rPr>
        <w:t xml:space="preserve">The Leidos 401(k) Excess Deferral Plan (Excess Plan) </w:t>
      </w:r>
      <w:r>
        <w:rPr>
          <w:rFonts w:ascii="Arial" w:cs="Arial" w:eastAsia="Arial" w:hAnsi="Arial"/>
          <w:sz w:val="17"/>
          <w:szCs w:val="17"/>
          <w:color w:val="000000"/>
        </w:rPr>
        <w:t>is a pre-tax savings plan that, through December 31, 2016, allowed eligible</w:t>
      </w:r>
      <w:r>
        <w:rPr>
          <w:rFonts w:ascii="Arial" w:cs="Arial" w:eastAsia="Arial" w:hAnsi="Arial"/>
          <w:sz w:val="17"/>
          <w:szCs w:val="17"/>
          <w:i w:val="1"/>
          <w:iCs w:val="1"/>
          <w:color w:val="483E65"/>
        </w:rPr>
        <w:t xml:space="preserve"> </w:t>
      </w:r>
      <w:r>
        <w:rPr>
          <w:rFonts w:ascii="Arial" w:cs="Arial" w:eastAsia="Arial" w:hAnsi="Arial"/>
          <w:sz w:val="17"/>
          <w:szCs w:val="17"/>
          <w:color w:val="000000"/>
        </w:rPr>
        <w:t>participants to defer up to 20% of their eligible compensation after meeting the annual IRS contribution limit for the Leidos Retirement Plan. Bonuses were not eligible for deferral to the Excess Plan. The investment options in the Excess Plan are similar to those in the Leidos Retirement Plan but do not include the Leidos Stock Funds. Vested deferred balances under this plan will generally be paid following separation from service.</w:t>
      </w:r>
    </w:p>
    <w:p>
      <w:pPr>
        <w:spacing w:after="0" w:line="175" w:lineRule="exact"/>
        <w:rPr>
          <w:sz w:val="20"/>
          <w:szCs w:val="20"/>
          <w:color w:val="auto"/>
        </w:rPr>
      </w:pPr>
    </w:p>
    <w:p>
      <w:pPr>
        <w:ind w:left="440" w:right="60"/>
        <w:spacing w:after="0" w:line="241" w:lineRule="auto"/>
        <w:rPr>
          <w:sz w:val="20"/>
          <w:szCs w:val="20"/>
          <w:color w:val="auto"/>
        </w:rPr>
      </w:pPr>
      <w:r>
        <w:rPr>
          <w:rFonts w:ascii="Arial" w:cs="Arial" w:eastAsia="Arial" w:hAnsi="Arial"/>
          <w:sz w:val="17"/>
          <w:szCs w:val="17"/>
          <w:i w:val="1"/>
          <w:iCs w:val="1"/>
          <w:color w:val="483E65"/>
        </w:rPr>
        <w:t xml:space="preserve">The Leidos Deferred Compensation Plan for Former IS&amp;GS Employees </w:t>
      </w:r>
      <w:r>
        <w:rPr>
          <w:rFonts w:ascii="Arial" w:cs="Arial" w:eastAsia="Arial" w:hAnsi="Arial"/>
          <w:sz w:val="17"/>
          <w:szCs w:val="17"/>
          <w:color w:val="000000"/>
        </w:rPr>
        <w:t>is a pre-tax savings plan that allowed eligible participants to defer</w:t>
      </w:r>
      <w:r>
        <w:rPr>
          <w:rFonts w:ascii="Arial" w:cs="Arial" w:eastAsia="Arial" w:hAnsi="Arial"/>
          <w:sz w:val="17"/>
          <w:szCs w:val="17"/>
          <w:i w:val="1"/>
          <w:iCs w:val="1"/>
          <w:color w:val="483E65"/>
        </w:rPr>
        <w:t xml:space="preserve"> </w:t>
      </w:r>
      <w:r>
        <w:rPr>
          <w:rFonts w:ascii="Arial" w:cs="Arial" w:eastAsia="Arial" w:hAnsi="Arial"/>
          <w:sz w:val="17"/>
          <w:szCs w:val="17"/>
          <w:color w:val="000000"/>
        </w:rPr>
        <w:t>salary and receive certain company contributions. Salary deferrals in this plan did not start until after an eligible participant met the annual IRS contribution limit for the Leidos Retirement Plan for Former IS&amp;GS Employees. Bonuses were not eligible for deferral to this plan. The investment options in the Deferred Compensation Plan are similar to those in the Leidos Retirement Plan but do not include the Leidos Stock Funds. Deferred balances under this plan will generally be paid following separation from service.</w:t>
      </w:r>
    </w:p>
    <w:p>
      <w:pPr>
        <w:spacing w:after="0" w:line="193" w:lineRule="exact"/>
        <w:rPr>
          <w:sz w:val="20"/>
          <w:szCs w:val="20"/>
          <w:color w:val="auto"/>
        </w:rPr>
      </w:pPr>
    </w:p>
    <w:p>
      <w:pPr>
        <w:ind w:left="440" w:right="340"/>
        <w:spacing w:after="0" w:line="243" w:lineRule="auto"/>
        <w:rPr>
          <w:sz w:val="20"/>
          <w:szCs w:val="20"/>
          <w:color w:val="auto"/>
        </w:rPr>
      </w:pPr>
      <w:r>
        <w:rPr>
          <w:rFonts w:ascii="Arial" w:cs="Arial" w:eastAsia="Arial" w:hAnsi="Arial"/>
          <w:sz w:val="17"/>
          <w:szCs w:val="17"/>
          <w:color w:val="auto"/>
        </w:rPr>
        <w:t>The following table sets forth information regarding deferrals under and aggregate earnings and withdrawals in fiscal 2019 through our nonqualified deferred compensation plans in which our named executive officers participate:</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483E65"/>
                <w:w w:val="95"/>
              </w:rPr>
              <w:t>Aggregate</w:t>
            </w:r>
          </w:p>
        </w:tc>
      </w:tr>
      <w:tr>
        <w:trPr>
          <w:trHeight w:val="152"/>
        </w:trPr>
        <w:tc>
          <w:tcPr>
            <w:tcW w:w="10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80" w:type="dxa"/>
            <w:vAlign w:val="bottom"/>
          </w:tcPr>
          <w:p>
            <w:pPr>
              <w:jc w:val="center"/>
              <w:spacing w:after="0" w:line="153" w:lineRule="exact"/>
              <w:rPr>
                <w:sz w:val="20"/>
                <w:szCs w:val="20"/>
                <w:color w:val="auto"/>
              </w:rPr>
            </w:pPr>
            <w:r>
              <w:rPr>
                <w:rFonts w:ascii="Arial" w:cs="Arial" w:eastAsia="Arial" w:hAnsi="Arial"/>
                <w:sz w:val="14"/>
                <w:szCs w:val="14"/>
                <w:color w:val="483E65"/>
                <w:w w:val="95"/>
              </w:rPr>
              <w:t>Aggregate</w:t>
            </w:r>
          </w:p>
        </w:tc>
        <w:tc>
          <w:tcPr>
            <w:tcW w:w="960" w:type="dxa"/>
            <w:vAlign w:val="bottom"/>
          </w:tcPr>
          <w:p>
            <w:pPr>
              <w:jc w:val="center"/>
              <w:spacing w:after="0" w:line="153" w:lineRule="exact"/>
              <w:rPr>
                <w:sz w:val="20"/>
                <w:szCs w:val="20"/>
                <w:color w:val="auto"/>
              </w:rPr>
            </w:pPr>
            <w:r>
              <w:rPr>
                <w:rFonts w:ascii="Arial" w:cs="Arial" w:eastAsia="Arial" w:hAnsi="Arial"/>
                <w:sz w:val="14"/>
                <w:szCs w:val="14"/>
                <w:color w:val="483E65"/>
                <w:w w:val="95"/>
              </w:rPr>
              <w:t>balance at</w:t>
            </w:r>
          </w:p>
        </w:tc>
      </w:tr>
      <w:tr>
        <w:trPr>
          <w:trHeight w:val="145"/>
        </w:trPr>
        <w:tc>
          <w:tcPr>
            <w:tcW w:w="10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120" w:type="dxa"/>
            <w:vAlign w:val="bottom"/>
          </w:tcPr>
          <w:p>
            <w:pPr>
              <w:jc w:val="right"/>
              <w:ind w:right="658"/>
              <w:spacing w:after="0" w:line="145" w:lineRule="exact"/>
              <w:rPr>
                <w:sz w:val="20"/>
                <w:szCs w:val="20"/>
                <w:color w:val="auto"/>
              </w:rPr>
            </w:pPr>
            <w:r>
              <w:rPr>
                <w:rFonts w:ascii="Arial" w:cs="Arial" w:eastAsia="Arial" w:hAnsi="Arial"/>
                <w:sz w:val="14"/>
                <w:szCs w:val="14"/>
                <w:color w:val="483E65"/>
              </w:rPr>
              <w:t>Executive</w:t>
            </w:r>
          </w:p>
        </w:tc>
        <w:tc>
          <w:tcPr>
            <w:tcW w:w="1180" w:type="dxa"/>
            <w:vAlign w:val="bottom"/>
          </w:tcPr>
          <w:p>
            <w:pPr>
              <w:ind w:left="280"/>
              <w:spacing w:after="0" w:line="145" w:lineRule="exact"/>
              <w:rPr>
                <w:sz w:val="20"/>
                <w:szCs w:val="20"/>
                <w:color w:val="auto"/>
              </w:rPr>
            </w:pPr>
            <w:r>
              <w:rPr>
                <w:rFonts w:ascii="Arial" w:cs="Arial" w:eastAsia="Arial" w:hAnsi="Arial"/>
                <w:sz w:val="14"/>
                <w:szCs w:val="14"/>
                <w:color w:val="483E65"/>
              </w:rPr>
              <w:t>Registrant</w:t>
            </w:r>
          </w:p>
        </w:tc>
        <w:tc>
          <w:tcPr>
            <w:tcW w:w="1080" w:type="dxa"/>
            <w:vAlign w:val="bottom"/>
          </w:tcPr>
          <w:p>
            <w:pPr>
              <w:jc w:val="right"/>
              <w:ind w:right="178"/>
              <w:spacing w:after="0" w:line="145" w:lineRule="exact"/>
              <w:rPr>
                <w:sz w:val="20"/>
                <w:szCs w:val="20"/>
                <w:color w:val="auto"/>
              </w:rPr>
            </w:pPr>
            <w:r>
              <w:rPr>
                <w:rFonts w:ascii="Arial" w:cs="Arial" w:eastAsia="Arial" w:hAnsi="Arial"/>
                <w:sz w:val="14"/>
                <w:szCs w:val="14"/>
                <w:color w:val="483E65"/>
              </w:rPr>
              <w:t>Aggregate</w:t>
            </w:r>
          </w:p>
        </w:tc>
        <w:tc>
          <w:tcPr>
            <w:tcW w:w="1280" w:type="dxa"/>
            <w:vAlign w:val="bottom"/>
          </w:tcPr>
          <w:p>
            <w:pPr>
              <w:jc w:val="center"/>
              <w:spacing w:after="0" w:line="145" w:lineRule="exact"/>
              <w:rPr>
                <w:sz w:val="20"/>
                <w:szCs w:val="20"/>
                <w:color w:val="auto"/>
              </w:rPr>
            </w:pPr>
            <w:r>
              <w:rPr>
                <w:rFonts w:ascii="Arial" w:cs="Arial" w:eastAsia="Arial" w:hAnsi="Arial"/>
                <w:sz w:val="14"/>
                <w:szCs w:val="14"/>
                <w:color w:val="483E65"/>
                <w:w w:val="96"/>
              </w:rPr>
              <w:t>withdrawals/</w:t>
            </w:r>
          </w:p>
        </w:tc>
        <w:tc>
          <w:tcPr>
            <w:tcW w:w="960" w:type="dxa"/>
            <w:vAlign w:val="bottom"/>
          </w:tcPr>
          <w:p>
            <w:pPr>
              <w:jc w:val="center"/>
              <w:spacing w:after="0" w:line="145" w:lineRule="exact"/>
              <w:rPr>
                <w:sz w:val="20"/>
                <w:szCs w:val="20"/>
                <w:color w:val="auto"/>
              </w:rPr>
            </w:pPr>
            <w:r>
              <w:rPr>
                <w:rFonts w:ascii="Arial" w:cs="Arial" w:eastAsia="Arial" w:hAnsi="Arial"/>
                <w:sz w:val="14"/>
                <w:szCs w:val="14"/>
                <w:color w:val="483E65"/>
                <w:w w:val="97"/>
              </w:rPr>
              <w:t>fiscal year-</w:t>
            </w:r>
          </w:p>
        </w:tc>
      </w:tr>
      <w:tr>
        <w:trPr>
          <w:trHeight w:val="193"/>
        </w:trPr>
        <w:tc>
          <w:tcPr>
            <w:tcW w:w="1040" w:type="dxa"/>
            <w:vAlign w:val="bottom"/>
            <w:tcBorders>
              <w:bottom w:val="single" w:sz="8" w:color="483E65"/>
            </w:tcBorders>
          </w:tcPr>
          <w:p>
            <w:pPr>
              <w:ind w:left="80"/>
              <w:spacing w:after="0"/>
              <w:rPr>
                <w:sz w:val="20"/>
                <w:szCs w:val="20"/>
                <w:color w:val="auto"/>
              </w:rPr>
            </w:pPr>
            <w:r>
              <w:rPr>
                <w:rFonts w:ascii="Arial" w:cs="Arial" w:eastAsia="Arial" w:hAnsi="Arial"/>
                <w:sz w:val="14"/>
                <w:szCs w:val="14"/>
                <w:color w:val="483E65"/>
              </w:rPr>
              <w:t>Name</w:t>
            </w:r>
          </w:p>
        </w:tc>
        <w:tc>
          <w:tcPr>
            <w:tcW w:w="2720" w:type="dxa"/>
            <w:vAlign w:val="bottom"/>
            <w:tcBorders>
              <w:bottom w:val="single" w:sz="8" w:color="483E65"/>
            </w:tcBorders>
          </w:tcPr>
          <w:p>
            <w:pPr>
              <w:ind w:left="180"/>
              <w:spacing w:after="0"/>
              <w:rPr>
                <w:sz w:val="20"/>
                <w:szCs w:val="20"/>
                <w:color w:val="auto"/>
              </w:rPr>
            </w:pPr>
            <w:r>
              <w:rPr>
                <w:rFonts w:ascii="Arial" w:cs="Arial" w:eastAsia="Arial" w:hAnsi="Arial"/>
                <w:sz w:val="14"/>
                <w:szCs w:val="14"/>
                <w:color w:val="483E65"/>
              </w:rPr>
              <w:t>Plan</w:t>
            </w:r>
          </w:p>
        </w:tc>
        <w:tc>
          <w:tcPr>
            <w:tcW w:w="2120" w:type="dxa"/>
            <w:vAlign w:val="bottom"/>
            <w:tcBorders>
              <w:bottom w:val="single" w:sz="8" w:color="483E65"/>
            </w:tcBorders>
          </w:tcPr>
          <w:p>
            <w:pPr>
              <w:jc w:val="right"/>
              <w:ind w:right="18"/>
              <w:spacing w:after="0" w:line="193" w:lineRule="exact"/>
              <w:rPr>
                <w:sz w:val="20"/>
                <w:szCs w:val="20"/>
                <w:color w:val="auto"/>
              </w:rPr>
            </w:pPr>
            <w:r>
              <w:rPr>
                <w:rFonts w:ascii="Arial" w:cs="Arial" w:eastAsia="Arial" w:hAnsi="Arial"/>
                <w:sz w:val="13"/>
                <w:szCs w:val="13"/>
                <w:color w:val="483E65"/>
              </w:rPr>
              <w:t>contributions ($)</w:t>
            </w:r>
            <w:r>
              <w:rPr>
                <w:rFonts w:ascii="Arial" w:cs="Arial" w:eastAsia="Arial" w:hAnsi="Arial"/>
                <w:sz w:val="22"/>
                <w:szCs w:val="22"/>
                <w:color w:val="483E65"/>
                <w:vertAlign w:val="superscript"/>
              </w:rPr>
              <w:t>(1)</w:t>
            </w:r>
          </w:p>
        </w:tc>
        <w:tc>
          <w:tcPr>
            <w:tcW w:w="1180" w:type="dxa"/>
            <w:vAlign w:val="bottom"/>
            <w:tcBorders>
              <w:bottom w:val="single" w:sz="8" w:color="483E65"/>
            </w:tcBorders>
          </w:tcPr>
          <w:p>
            <w:pPr>
              <w:ind w:left="80"/>
              <w:spacing w:after="0"/>
              <w:rPr>
                <w:sz w:val="20"/>
                <w:szCs w:val="20"/>
                <w:color w:val="auto"/>
              </w:rPr>
            </w:pPr>
            <w:r>
              <w:rPr>
                <w:rFonts w:ascii="Arial" w:cs="Arial" w:eastAsia="Arial" w:hAnsi="Arial"/>
                <w:sz w:val="14"/>
                <w:szCs w:val="14"/>
                <w:color w:val="483E65"/>
              </w:rPr>
              <w:t>Contributions ($)</w:t>
            </w:r>
          </w:p>
        </w:tc>
        <w:tc>
          <w:tcPr>
            <w:tcW w:w="1080" w:type="dxa"/>
            <w:vAlign w:val="bottom"/>
            <w:tcBorders>
              <w:bottom w:val="single" w:sz="8" w:color="483E65"/>
            </w:tcBorders>
          </w:tcPr>
          <w:p>
            <w:pPr>
              <w:jc w:val="right"/>
              <w:ind w:right="58"/>
              <w:spacing w:after="0" w:line="193" w:lineRule="exact"/>
              <w:rPr>
                <w:sz w:val="20"/>
                <w:szCs w:val="20"/>
                <w:color w:val="auto"/>
              </w:rPr>
            </w:pPr>
            <w:r>
              <w:rPr>
                <w:rFonts w:ascii="Arial" w:cs="Arial" w:eastAsia="Arial" w:hAnsi="Arial"/>
                <w:sz w:val="13"/>
                <w:szCs w:val="13"/>
                <w:color w:val="483E65"/>
              </w:rPr>
              <w:t>earnings ($)</w:t>
            </w:r>
            <w:r>
              <w:rPr>
                <w:rFonts w:ascii="Arial" w:cs="Arial" w:eastAsia="Arial" w:hAnsi="Arial"/>
                <w:sz w:val="22"/>
                <w:szCs w:val="22"/>
                <w:color w:val="483E65"/>
                <w:vertAlign w:val="superscript"/>
              </w:rPr>
              <w:t>(2)</w:t>
            </w:r>
          </w:p>
        </w:tc>
        <w:tc>
          <w:tcPr>
            <w:tcW w:w="1280" w:type="dxa"/>
            <w:vAlign w:val="bottom"/>
            <w:tcBorders>
              <w:bottom w:val="single" w:sz="8" w:color="483E65"/>
            </w:tcBorders>
          </w:tcPr>
          <w:p>
            <w:pPr>
              <w:jc w:val="center"/>
              <w:spacing w:after="0"/>
              <w:rPr>
                <w:sz w:val="20"/>
                <w:szCs w:val="20"/>
                <w:color w:val="auto"/>
              </w:rPr>
            </w:pPr>
            <w:r>
              <w:rPr>
                <w:rFonts w:ascii="Arial" w:cs="Arial" w:eastAsia="Arial" w:hAnsi="Arial"/>
                <w:sz w:val="14"/>
                <w:szCs w:val="14"/>
                <w:color w:val="483E65"/>
                <w:w w:val="96"/>
              </w:rPr>
              <w:t>distributions ($)</w:t>
            </w:r>
          </w:p>
        </w:tc>
        <w:tc>
          <w:tcPr>
            <w:tcW w:w="960" w:type="dxa"/>
            <w:vAlign w:val="bottom"/>
            <w:tcBorders>
              <w:bottom w:val="single" w:sz="8" w:color="483E65"/>
            </w:tcBorders>
          </w:tcPr>
          <w:p>
            <w:pPr>
              <w:jc w:val="center"/>
              <w:spacing w:after="0" w:line="193" w:lineRule="exact"/>
              <w:rPr>
                <w:sz w:val="20"/>
                <w:szCs w:val="20"/>
                <w:color w:val="auto"/>
              </w:rPr>
            </w:pPr>
            <w:r>
              <w:rPr>
                <w:rFonts w:ascii="Arial" w:cs="Arial" w:eastAsia="Arial" w:hAnsi="Arial"/>
                <w:sz w:val="13"/>
                <w:szCs w:val="13"/>
                <w:color w:val="483E65"/>
                <w:w w:val="94"/>
              </w:rPr>
              <w:t>end ($)</w:t>
            </w:r>
            <w:r>
              <w:rPr>
                <w:rFonts w:ascii="Arial" w:cs="Arial" w:eastAsia="Arial" w:hAnsi="Arial"/>
                <w:sz w:val="22"/>
                <w:szCs w:val="22"/>
                <w:color w:val="483E65"/>
                <w:w w:val="94"/>
                <w:vertAlign w:val="superscript"/>
              </w:rPr>
              <w:t>(3)</w:t>
            </w:r>
          </w:p>
        </w:tc>
      </w:tr>
      <w:tr>
        <w:trPr>
          <w:trHeight w:val="271"/>
        </w:trPr>
        <w:tc>
          <w:tcPr>
            <w:tcW w:w="1040" w:type="dxa"/>
            <w:vAlign w:val="bottom"/>
          </w:tcPr>
          <w:p>
            <w:pPr>
              <w:ind w:left="100"/>
              <w:spacing w:after="0"/>
              <w:rPr>
                <w:sz w:val="20"/>
                <w:szCs w:val="20"/>
                <w:color w:val="auto"/>
              </w:rPr>
            </w:pPr>
            <w:r>
              <w:rPr>
                <w:rFonts w:ascii="Arial" w:cs="Arial" w:eastAsia="Arial" w:hAnsi="Arial"/>
                <w:sz w:val="17"/>
                <w:szCs w:val="17"/>
                <w:color w:val="auto"/>
              </w:rPr>
              <w:t>Mr. Krone</w:t>
            </w:r>
          </w:p>
        </w:tc>
        <w:tc>
          <w:tcPr>
            <w:tcW w:w="2720" w:type="dxa"/>
            <w:vAlign w:val="bottom"/>
          </w:tcPr>
          <w:p>
            <w:pPr>
              <w:ind w:left="180"/>
              <w:spacing w:after="0"/>
              <w:rPr>
                <w:sz w:val="20"/>
                <w:szCs w:val="20"/>
                <w:color w:val="auto"/>
              </w:rPr>
            </w:pPr>
            <w:r>
              <w:rPr>
                <w:rFonts w:ascii="Arial" w:cs="Arial" w:eastAsia="Arial" w:hAnsi="Arial"/>
                <w:sz w:val="17"/>
                <w:szCs w:val="17"/>
                <w:color w:val="auto"/>
              </w:rPr>
              <w:t>Keystaff Deferral Plan</w:t>
            </w:r>
          </w:p>
        </w:tc>
        <w:tc>
          <w:tcPr>
            <w:tcW w:w="2120" w:type="dxa"/>
            <w:vAlign w:val="bottom"/>
          </w:tcPr>
          <w:p>
            <w:pPr>
              <w:jc w:val="right"/>
              <w:ind w:right="538"/>
              <w:spacing w:after="0"/>
              <w:rPr>
                <w:sz w:val="20"/>
                <w:szCs w:val="20"/>
                <w:color w:val="auto"/>
              </w:rPr>
            </w:pPr>
            <w:r>
              <w:rPr>
                <w:rFonts w:ascii="Arial" w:cs="Arial" w:eastAsia="Arial" w:hAnsi="Arial"/>
                <w:sz w:val="17"/>
                <w:szCs w:val="17"/>
                <w:color w:val="auto"/>
              </w:rPr>
              <w:t>520,329</w:t>
            </w:r>
          </w:p>
        </w:tc>
        <w:tc>
          <w:tcPr>
            <w:tcW w:w="1180" w:type="dxa"/>
            <w:vAlign w:val="bottom"/>
          </w:tcPr>
          <w:p>
            <w:pPr>
              <w:ind w:left="58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295,825</w:t>
            </w:r>
          </w:p>
        </w:tc>
        <w:tc>
          <w:tcPr>
            <w:tcW w:w="1280" w:type="dxa"/>
            <w:vAlign w:val="bottom"/>
          </w:tcPr>
          <w:p>
            <w:pPr>
              <w:ind w:left="5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1,542,887</w:t>
            </w:r>
          </w:p>
        </w:tc>
      </w:tr>
      <w:tr>
        <w:trPr>
          <w:trHeight w:val="191"/>
        </w:trPr>
        <w:tc>
          <w:tcPr>
            <w:tcW w:w="1040" w:type="dxa"/>
            <w:vAlign w:val="bottom"/>
          </w:tcPr>
          <w:p>
            <w:pPr>
              <w:spacing w:after="0"/>
              <w:rPr>
                <w:sz w:val="16"/>
                <w:szCs w:val="16"/>
                <w:color w:val="auto"/>
              </w:rPr>
            </w:pPr>
          </w:p>
        </w:tc>
        <w:tc>
          <w:tcPr>
            <w:tcW w:w="2720" w:type="dxa"/>
            <w:vAlign w:val="bottom"/>
          </w:tcPr>
          <w:p>
            <w:pPr>
              <w:ind w:left="180"/>
              <w:spacing w:after="0" w:line="191" w:lineRule="exact"/>
              <w:rPr>
                <w:sz w:val="20"/>
                <w:szCs w:val="20"/>
                <w:color w:val="auto"/>
              </w:rPr>
            </w:pPr>
            <w:r>
              <w:rPr>
                <w:rFonts w:ascii="Arial" w:cs="Arial" w:eastAsia="Arial" w:hAnsi="Arial"/>
                <w:sz w:val="17"/>
                <w:szCs w:val="17"/>
                <w:color w:val="auto"/>
              </w:rPr>
              <w:t>Key Executive Stock Deferral</w:t>
            </w:r>
          </w:p>
        </w:tc>
        <w:tc>
          <w:tcPr>
            <w:tcW w:w="2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1"/>
        </w:trPr>
        <w:tc>
          <w:tcPr>
            <w:tcW w:w="1040" w:type="dxa"/>
            <w:vAlign w:val="bottom"/>
          </w:tcPr>
          <w:p>
            <w:pPr>
              <w:spacing w:after="0"/>
              <w:rPr>
                <w:sz w:val="16"/>
                <w:szCs w:val="16"/>
                <w:color w:val="auto"/>
              </w:rPr>
            </w:pPr>
          </w:p>
        </w:tc>
        <w:tc>
          <w:tcPr>
            <w:tcW w:w="2720" w:type="dxa"/>
            <w:vAlign w:val="bottom"/>
          </w:tcPr>
          <w:p>
            <w:pPr>
              <w:ind w:left="340"/>
              <w:spacing w:after="0" w:line="191" w:lineRule="exact"/>
              <w:rPr>
                <w:sz w:val="20"/>
                <w:szCs w:val="20"/>
                <w:color w:val="auto"/>
              </w:rPr>
            </w:pPr>
            <w:r>
              <w:rPr>
                <w:rFonts w:ascii="Arial" w:cs="Arial" w:eastAsia="Arial" w:hAnsi="Arial"/>
                <w:sz w:val="17"/>
                <w:szCs w:val="17"/>
                <w:color w:val="auto"/>
              </w:rPr>
              <w:t>Plan</w:t>
            </w:r>
          </w:p>
        </w:tc>
        <w:tc>
          <w:tcPr>
            <w:tcW w:w="2120" w:type="dxa"/>
            <w:vAlign w:val="bottom"/>
          </w:tcPr>
          <w:p>
            <w:pPr>
              <w:jc w:val="right"/>
              <w:ind w:right="538"/>
              <w:spacing w:after="0" w:line="191" w:lineRule="exact"/>
              <w:rPr>
                <w:sz w:val="20"/>
                <w:szCs w:val="20"/>
                <w:color w:val="auto"/>
              </w:rPr>
            </w:pPr>
            <w:r>
              <w:rPr>
                <w:rFonts w:ascii="Arial" w:cs="Arial" w:eastAsia="Arial" w:hAnsi="Arial"/>
                <w:sz w:val="17"/>
                <w:szCs w:val="17"/>
                <w:color w:val="auto"/>
              </w:rPr>
              <w:t>3,786,164</w:t>
            </w:r>
          </w:p>
        </w:tc>
        <w:tc>
          <w:tcPr>
            <w:tcW w:w="1180" w:type="dxa"/>
            <w:vAlign w:val="bottom"/>
          </w:tcPr>
          <w:p>
            <w:pPr>
              <w:ind w:left="580"/>
              <w:spacing w:after="0" w:line="191" w:lineRule="exact"/>
              <w:rPr>
                <w:sz w:val="20"/>
                <w:szCs w:val="20"/>
                <w:color w:val="auto"/>
              </w:rPr>
            </w:pPr>
            <w:r>
              <w:rPr>
                <w:rFonts w:ascii="Arial" w:cs="Arial" w:eastAsia="Arial" w:hAnsi="Arial"/>
                <w:sz w:val="17"/>
                <w:szCs w:val="17"/>
                <w:color w:val="auto"/>
              </w:rPr>
              <w:t>—</w:t>
            </w:r>
          </w:p>
        </w:tc>
        <w:tc>
          <w:tcPr>
            <w:tcW w:w="1080" w:type="dxa"/>
            <w:vAlign w:val="bottom"/>
          </w:tcPr>
          <w:p>
            <w:pPr>
              <w:jc w:val="right"/>
              <w:ind w:right="58"/>
              <w:spacing w:after="0" w:line="191" w:lineRule="exact"/>
              <w:rPr>
                <w:sz w:val="20"/>
                <w:szCs w:val="20"/>
                <w:color w:val="auto"/>
              </w:rPr>
            </w:pPr>
            <w:r>
              <w:rPr>
                <w:rFonts w:ascii="Arial" w:cs="Arial" w:eastAsia="Arial" w:hAnsi="Arial"/>
                <w:sz w:val="17"/>
                <w:szCs w:val="17"/>
                <w:color w:val="auto"/>
              </w:rPr>
              <w:t>3,926,204</w:t>
            </w:r>
          </w:p>
        </w:tc>
        <w:tc>
          <w:tcPr>
            <w:tcW w:w="1280" w:type="dxa"/>
            <w:vAlign w:val="bottom"/>
          </w:tcPr>
          <w:p>
            <w:pPr>
              <w:ind w:left="560"/>
              <w:spacing w:after="0" w:line="191"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91" w:lineRule="exact"/>
              <w:rPr>
                <w:sz w:val="20"/>
                <w:szCs w:val="20"/>
                <w:color w:val="auto"/>
              </w:rPr>
            </w:pPr>
            <w:r>
              <w:rPr>
                <w:rFonts w:ascii="Arial" w:cs="Arial" w:eastAsia="Arial" w:hAnsi="Arial"/>
                <w:sz w:val="17"/>
                <w:szCs w:val="17"/>
                <w:color w:val="auto"/>
              </w:rPr>
              <w:t>7,772,379</w:t>
            </w:r>
          </w:p>
        </w:tc>
      </w:tr>
      <w:tr>
        <w:trPr>
          <w:trHeight w:val="191"/>
        </w:trPr>
        <w:tc>
          <w:tcPr>
            <w:tcW w:w="1040" w:type="dxa"/>
            <w:vAlign w:val="bottom"/>
          </w:tcPr>
          <w:p>
            <w:pPr>
              <w:spacing w:after="0"/>
              <w:rPr>
                <w:sz w:val="16"/>
                <w:szCs w:val="16"/>
                <w:color w:val="auto"/>
              </w:rPr>
            </w:pPr>
          </w:p>
        </w:tc>
        <w:tc>
          <w:tcPr>
            <w:tcW w:w="2720" w:type="dxa"/>
            <w:vAlign w:val="bottom"/>
          </w:tcPr>
          <w:p>
            <w:pPr>
              <w:ind w:left="180"/>
              <w:spacing w:after="0" w:line="191" w:lineRule="exact"/>
              <w:rPr>
                <w:sz w:val="20"/>
                <w:szCs w:val="20"/>
                <w:color w:val="auto"/>
              </w:rPr>
            </w:pPr>
            <w:r>
              <w:rPr>
                <w:rFonts w:ascii="Arial" w:cs="Arial" w:eastAsia="Arial" w:hAnsi="Arial"/>
                <w:sz w:val="17"/>
                <w:szCs w:val="17"/>
                <w:color w:val="auto"/>
              </w:rPr>
              <w:t>Excess Plan</w:t>
            </w:r>
          </w:p>
        </w:tc>
        <w:tc>
          <w:tcPr>
            <w:tcW w:w="2120" w:type="dxa"/>
            <w:vAlign w:val="bottom"/>
          </w:tcPr>
          <w:p>
            <w:pPr>
              <w:jc w:val="right"/>
              <w:ind w:right="538"/>
              <w:spacing w:after="0" w:line="191" w:lineRule="exact"/>
              <w:rPr>
                <w:sz w:val="20"/>
                <w:szCs w:val="20"/>
                <w:color w:val="auto"/>
              </w:rPr>
            </w:pPr>
            <w:r>
              <w:rPr>
                <w:rFonts w:ascii="Arial" w:cs="Arial" w:eastAsia="Arial" w:hAnsi="Arial"/>
                <w:sz w:val="17"/>
                <w:szCs w:val="17"/>
                <w:color w:val="auto"/>
              </w:rPr>
              <w:t>—</w:t>
            </w:r>
          </w:p>
        </w:tc>
        <w:tc>
          <w:tcPr>
            <w:tcW w:w="1180" w:type="dxa"/>
            <w:vAlign w:val="bottom"/>
          </w:tcPr>
          <w:p>
            <w:pPr>
              <w:ind w:left="580"/>
              <w:spacing w:after="0" w:line="191" w:lineRule="exact"/>
              <w:rPr>
                <w:sz w:val="20"/>
                <w:szCs w:val="20"/>
                <w:color w:val="auto"/>
              </w:rPr>
            </w:pPr>
            <w:r>
              <w:rPr>
                <w:rFonts w:ascii="Arial" w:cs="Arial" w:eastAsia="Arial" w:hAnsi="Arial"/>
                <w:sz w:val="17"/>
                <w:szCs w:val="17"/>
                <w:color w:val="auto"/>
              </w:rPr>
              <w:t>—</w:t>
            </w:r>
          </w:p>
        </w:tc>
        <w:tc>
          <w:tcPr>
            <w:tcW w:w="1080" w:type="dxa"/>
            <w:vAlign w:val="bottom"/>
          </w:tcPr>
          <w:p>
            <w:pPr>
              <w:jc w:val="right"/>
              <w:ind w:right="58"/>
              <w:spacing w:after="0" w:line="191" w:lineRule="exact"/>
              <w:rPr>
                <w:sz w:val="20"/>
                <w:szCs w:val="20"/>
                <w:color w:val="auto"/>
              </w:rPr>
            </w:pPr>
            <w:r>
              <w:rPr>
                <w:rFonts w:ascii="Arial" w:cs="Arial" w:eastAsia="Arial" w:hAnsi="Arial"/>
                <w:sz w:val="17"/>
                <w:szCs w:val="17"/>
                <w:color w:val="auto"/>
              </w:rPr>
              <w:t>28,475</w:t>
            </w:r>
          </w:p>
        </w:tc>
        <w:tc>
          <w:tcPr>
            <w:tcW w:w="1280" w:type="dxa"/>
            <w:vAlign w:val="bottom"/>
          </w:tcPr>
          <w:p>
            <w:pPr>
              <w:ind w:left="560"/>
              <w:spacing w:after="0" w:line="191"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91" w:lineRule="exact"/>
              <w:rPr>
                <w:sz w:val="20"/>
                <w:szCs w:val="20"/>
                <w:color w:val="auto"/>
              </w:rPr>
            </w:pPr>
            <w:r>
              <w:rPr>
                <w:rFonts w:ascii="Arial" w:cs="Arial" w:eastAsia="Arial" w:hAnsi="Arial"/>
                <w:sz w:val="17"/>
                <w:szCs w:val="17"/>
                <w:color w:val="auto"/>
              </w:rPr>
              <w:t>141,793</w:t>
            </w:r>
          </w:p>
        </w:tc>
      </w:tr>
      <w:tr>
        <w:trPr>
          <w:trHeight w:val="215"/>
        </w:trPr>
        <w:tc>
          <w:tcPr>
            <w:tcW w:w="1040" w:type="dxa"/>
            <w:vAlign w:val="bottom"/>
            <w:shd w:val="clear" w:color="auto" w:fill="ACABA7"/>
          </w:tcPr>
          <w:p>
            <w:pPr>
              <w:ind w:left="100"/>
              <w:spacing w:after="0"/>
              <w:rPr>
                <w:sz w:val="20"/>
                <w:szCs w:val="20"/>
                <w:color w:val="auto"/>
              </w:rPr>
            </w:pPr>
            <w:r>
              <w:rPr>
                <w:rFonts w:ascii="Arial" w:cs="Arial" w:eastAsia="Arial" w:hAnsi="Arial"/>
                <w:sz w:val="17"/>
                <w:szCs w:val="17"/>
                <w:color w:val="auto"/>
              </w:rPr>
              <w:t>Mr. Reagan</w:t>
            </w:r>
          </w:p>
        </w:tc>
        <w:tc>
          <w:tcPr>
            <w:tcW w:w="2720" w:type="dxa"/>
            <w:vAlign w:val="bottom"/>
            <w:shd w:val="clear" w:color="auto" w:fill="ACABA7"/>
          </w:tcPr>
          <w:p>
            <w:pPr>
              <w:ind w:left="180"/>
              <w:spacing w:after="0"/>
              <w:rPr>
                <w:sz w:val="20"/>
                <w:szCs w:val="20"/>
                <w:color w:val="auto"/>
              </w:rPr>
            </w:pPr>
            <w:r>
              <w:rPr>
                <w:rFonts w:ascii="Arial" w:cs="Arial" w:eastAsia="Arial" w:hAnsi="Arial"/>
                <w:sz w:val="17"/>
                <w:szCs w:val="17"/>
                <w:color w:val="auto"/>
              </w:rPr>
              <w:t>Keystaff Deferral Plan</w:t>
            </w:r>
          </w:p>
        </w:tc>
        <w:tc>
          <w:tcPr>
            <w:tcW w:w="2120" w:type="dxa"/>
            <w:vAlign w:val="bottom"/>
            <w:shd w:val="clear" w:color="auto" w:fill="ACABA7"/>
          </w:tcPr>
          <w:p>
            <w:pPr>
              <w:jc w:val="right"/>
              <w:ind w:right="538"/>
              <w:spacing w:after="0"/>
              <w:rPr>
                <w:sz w:val="20"/>
                <w:szCs w:val="20"/>
                <w:color w:val="auto"/>
              </w:rPr>
            </w:pPr>
            <w:r>
              <w:rPr>
                <w:rFonts w:ascii="Arial" w:cs="Arial" w:eastAsia="Arial" w:hAnsi="Arial"/>
                <w:sz w:val="17"/>
                <w:szCs w:val="17"/>
                <w:color w:val="auto"/>
              </w:rPr>
              <w:t>526,502</w:t>
            </w:r>
          </w:p>
        </w:tc>
        <w:tc>
          <w:tcPr>
            <w:tcW w:w="1180" w:type="dxa"/>
            <w:vAlign w:val="bottom"/>
            <w:shd w:val="clear" w:color="auto" w:fill="ACABA7"/>
          </w:tcPr>
          <w:p>
            <w:pPr>
              <w:ind w:left="5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ACABA7"/>
          </w:tcPr>
          <w:p>
            <w:pPr>
              <w:jc w:val="right"/>
              <w:ind w:right="58"/>
              <w:spacing w:after="0"/>
              <w:rPr>
                <w:sz w:val="20"/>
                <w:szCs w:val="20"/>
                <w:color w:val="auto"/>
              </w:rPr>
            </w:pPr>
            <w:r>
              <w:rPr>
                <w:rFonts w:ascii="Arial" w:cs="Arial" w:eastAsia="Arial" w:hAnsi="Arial"/>
                <w:sz w:val="17"/>
                <w:szCs w:val="17"/>
                <w:color w:val="auto"/>
              </w:rPr>
              <w:t>297,741</w:t>
            </w:r>
          </w:p>
        </w:tc>
        <w:tc>
          <w:tcPr>
            <w:tcW w:w="1280" w:type="dxa"/>
            <w:vAlign w:val="bottom"/>
            <w:shd w:val="clear" w:color="auto" w:fill="ACABA7"/>
          </w:tcPr>
          <w:p>
            <w:pPr>
              <w:ind w:left="560"/>
              <w:spacing w:after="0"/>
              <w:rPr>
                <w:sz w:val="20"/>
                <w:szCs w:val="20"/>
                <w:color w:val="auto"/>
              </w:rPr>
            </w:pPr>
            <w:r>
              <w:rPr>
                <w:rFonts w:ascii="Arial" w:cs="Arial" w:eastAsia="Arial" w:hAnsi="Arial"/>
                <w:sz w:val="17"/>
                <w:szCs w:val="17"/>
                <w:color w:val="auto"/>
              </w:rPr>
              <w:t>—</w:t>
            </w:r>
          </w:p>
        </w:tc>
        <w:tc>
          <w:tcPr>
            <w:tcW w:w="960" w:type="dxa"/>
            <w:vAlign w:val="bottom"/>
            <w:shd w:val="clear" w:color="auto" w:fill="ACABA7"/>
          </w:tcPr>
          <w:p>
            <w:pPr>
              <w:jc w:val="right"/>
              <w:spacing w:after="0"/>
              <w:rPr>
                <w:sz w:val="20"/>
                <w:szCs w:val="20"/>
                <w:color w:val="auto"/>
              </w:rPr>
            </w:pPr>
            <w:r>
              <w:rPr>
                <w:rFonts w:ascii="Arial" w:cs="Arial" w:eastAsia="Arial" w:hAnsi="Arial"/>
                <w:sz w:val="17"/>
                <w:szCs w:val="17"/>
                <w:color w:val="auto"/>
              </w:rPr>
              <w:t>1,815,826</w:t>
            </w:r>
          </w:p>
        </w:tc>
      </w:tr>
      <w:tr>
        <w:trPr>
          <w:trHeight w:val="191"/>
        </w:trPr>
        <w:tc>
          <w:tcPr>
            <w:tcW w:w="1040" w:type="dxa"/>
            <w:vAlign w:val="bottom"/>
            <w:shd w:val="clear" w:color="auto" w:fill="ACABA7"/>
          </w:tcPr>
          <w:p>
            <w:pPr>
              <w:spacing w:after="0"/>
              <w:rPr>
                <w:sz w:val="16"/>
                <w:szCs w:val="16"/>
                <w:color w:val="auto"/>
              </w:rPr>
            </w:pPr>
          </w:p>
        </w:tc>
        <w:tc>
          <w:tcPr>
            <w:tcW w:w="2720" w:type="dxa"/>
            <w:vAlign w:val="bottom"/>
            <w:shd w:val="clear" w:color="auto" w:fill="ACABA7"/>
          </w:tcPr>
          <w:p>
            <w:pPr>
              <w:ind w:left="180"/>
              <w:spacing w:after="0" w:line="191" w:lineRule="exact"/>
              <w:rPr>
                <w:sz w:val="20"/>
                <w:szCs w:val="20"/>
                <w:color w:val="auto"/>
              </w:rPr>
            </w:pPr>
            <w:r>
              <w:rPr>
                <w:rFonts w:ascii="Arial" w:cs="Arial" w:eastAsia="Arial" w:hAnsi="Arial"/>
                <w:sz w:val="17"/>
                <w:szCs w:val="17"/>
                <w:color w:val="auto"/>
              </w:rPr>
              <w:t>Key Executive Stock Deferral</w:t>
            </w:r>
          </w:p>
        </w:tc>
        <w:tc>
          <w:tcPr>
            <w:tcW w:w="2120" w:type="dxa"/>
            <w:vAlign w:val="bottom"/>
            <w:shd w:val="clear" w:color="auto" w:fill="ACABA7"/>
          </w:tcPr>
          <w:p>
            <w:pPr>
              <w:spacing w:after="0"/>
              <w:rPr>
                <w:sz w:val="16"/>
                <w:szCs w:val="16"/>
                <w:color w:val="auto"/>
              </w:rPr>
            </w:pPr>
          </w:p>
        </w:tc>
        <w:tc>
          <w:tcPr>
            <w:tcW w:w="1180" w:type="dxa"/>
            <w:vAlign w:val="bottom"/>
            <w:shd w:val="clear" w:color="auto" w:fill="ACABA7"/>
          </w:tcPr>
          <w:p>
            <w:pPr>
              <w:spacing w:after="0"/>
              <w:rPr>
                <w:sz w:val="16"/>
                <w:szCs w:val="16"/>
                <w:color w:val="auto"/>
              </w:rPr>
            </w:pPr>
          </w:p>
        </w:tc>
        <w:tc>
          <w:tcPr>
            <w:tcW w:w="1080" w:type="dxa"/>
            <w:vAlign w:val="bottom"/>
            <w:shd w:val="clear" w:color="auto" w:fill="ACABA7"/>
          </w:tcPr>
          <w:p>
            <w:pPr>
              <w:spacing w:after="0"/>
              <w:rPr>
                <w:sz w:val="16"/>
                <w:szCs w:val="16"/>
                <w:color w:val="auto"/>
              </w:rPr>
            </w:pPr>
          </w:p>
        </w:tc>
        <w:tc>
          <w:tcPr>
            <w:tcW w:w="1280" w:type="dxa"/>
            <w:vAlign w:val="bottom"/>
            <w:shd w:val="clear" w:color="auto" w:fill="ACABA7"/>
          </w:tcPr>
          <w:p>
            <w:pPr>
              <w:spacing w:after="0"/>
              <w:rPr>
                <w:sz w:val="16"/>
                <w:szCs w:val="16"/>
                <w:color w:val="auto"/>
              </w:rPr>
            </w:pPr>
          </w:p>
        </w:tc>
        <w:tc>
          <w:tcPr>
            <w:tcW w:w="960" w:type="dxa"/>
            <w:vAlign w:val="bottom"/>
            <w:shd w:val="clear" w:color="auto" w:fill="ACABA7"/>
          </w:tcPr>
          <w:p>
            <w:pPr>
              <w:spacing w:after="0"/>
              <w:rPr>
                <w:sz w:val="16"/>
                <w:szCs w:val="16"/>
                <w:color w:val="auto"/>
              </w:rPr>
            </w:pPr>
          </w:p>
        </w:tc>
      </w:tr>
      <w:tr>
        <w:trPr>
          <w:trHeight w:val="191"/>
        </w:trPr>
        <w:tc>
          <w:tcPr>
            <w:tcW w:w="1040" w:type="dxa"/>
            <w:vAlign w:val="bottom"/>
            <w:shd w:val="clear" w:color="auto" w:fill="ACABA7"/>
          </w:tcPr>
          <w:p>
            <w:pPr>
              <w:spacing w:after="0"/>
              <w:rPr>
                <w:sz w:val="16"/>
                <w:szCs w:val="16"/>
                <w:color w:val="auto"/>
              </w:rPr>
            </w:pPr>
          </w:p>
        </w:tc>
        <w:tc>
          <w:tcPr>
            <w:tcW w:w="2720" w:type="dxa"/>
            <w:vAlign w:val="bottom"/>
            <w:shd w:val="clear" w:color="auto" w:fill="ACABA7"/>
          </w:tcPr>
          <w:p>
            <w:pPr>
              <w:ind w:left="340"/>
              <w:spacing w:after="0" w:line="191" w:lineRule="exact"/>
              <w:rPr>
                <w:sz w:val="20"/>
                <w:szCs w:val="20"/>
                <w:color w:val="auto"/>
              </w:rPr>
            </w:pPr>
            <w:r>
              <w:rPr>
                <w:rFonts w:ascii="Arial" w:cs="Arial" w:eastAsia="Arial" w:hAnsi="Arial"/>
                <w:sz w:val="17"/>
                <w:szCs w:val="17"/>
                <w:color w:val="auto"/>
              </w:rPr>
              <w:t>Plan</w:t>
            </w:r>
          </w:p>
        </w:tc>
        <w:tc>
          <w:tcPr>
            <w:tcW w:w="2120" w:type="dxa"/>
            <w:vAlign w:val="bottom"/>
            <w:shd w:val="clear" w:color="auto" w:fill="ACABA7"/>
          </w:tcPr>
          <w:p>
            <w:pPr>
              <w:jc w:val="right"/>
              <w:ind w:right="538"/>
              <w:spacing w:after="0" w:line="191" w:lineRule="exact"/>
              <w:rPr>
                <w:sz w:val="20"/>
                <w:szCs w:val="20"/>
                <w:color w:val="auto"/>
              </w:rPr>
            </w:pPr>
            <w:r>
              <w:rPr>
                <w:rFonts w:ascii="Arial" w:cs="Arial" w:eastAsia="Arial" w:hAnsi="Arial"/>
                <w:sz w:val="17"/>
                <w:szCs w:val="17"/>
                <w:color w:val="auto"/>
              </w:rPr>
              <w:t>1,090,698</w:t>
            </w:r>
          </w:p>
        </w:tc>
        <w:tc>
          <w:tcPr>
            <w:tcW w:w="1180" w:type="dxa"/>
            <w:vAlign w:val="bottom"/>
            <w:shd w:val="clear" w:color="auto" w:fill="ACABA7"/>
          </w:tcPr>
          <w:p>
            <w:pPr>
              <w:ind w:left="580"/>
              <w:spacing w:after="0" w:line="191" w:lineRule="exact"/>
              <w:rPr>
                <w:sz w:val="20"/>
                <w:szCs w:val="20"/>
                <w:color w:val="auto"/>
              </w:rPr>
            </w:pPr>
            <w:r>
              <w:rPr>
                <w:rFonts w:ascii="Arial" w:cs="Arial" w:eastAsia="Arial" w:hAnsi="Arial"/>
                <w:sz w:val="17"/>
                <w:szCs w:val="17"/>
                <w:color w:val="auto"/>
              </w:rPr>
              <w:t>—</w:t>
            </w:r>
          </w:p>
        </w:tc>
        <w:tc>
          <w:tcPr>
            <w:tcW w:w="1080" w:type="dxa"/>
            <w:vAlign w:val="bottom"/>
            <w:shd w:val="clear" w:color="auto" w:fill="ACABA7"/>
          </w:tcPr>
          <w:p>
            <w:pPr>
              <w:jc w:val="right"/>
              <w:ind w:right="58"/>
              <w:spacing w:after="0" w:line="191" w:lineRule="exact"/>
              <w:rPr>
                <w:sz w:val="20"/>
                <w:szCs w:val="20"/>
                <w:color w:val="auto"/>
              </w:rPr>
            </w:pPr>
            <w:r>
              <w:rPr>
                <w:rFonts w:ascii="Arial" w:cs="Arial" w:eastAsia="Arial" w:hAnsi="Arial"/>
                <w:sz w:val="17"/>
                <w:szCs w:val="17"/>
                <w:color w:val="auto"/>
              </w:rPr>
              <w:t>2,798,217</w:t>
            </w:r>
          </w:p>
        </w:tc>
        <w:tc>
          <w:tcPr>
            <w:tcW w:w="1280" w:type="dxa"/>
            <w:vAlign w:val="bottom"/>
            <w:shd w:val="clear" w:color="auto" w:fill="ACABA7"/>
          </w:tcPr>
          <w:p>
            <w:pPr>
              <w:ind w:left="560"/>
              <w:spacing w:after="0" w:line="191" w:lineRule="exact"/>
              <w:rPr>
                <w:sz w:val="20"/>
                <w:szCs w:val="20"/>
                <w:color w:val="auto"/>
              </w:rPr>
            </w:pPr>
            <w:r>
              <w:rPr>
                <w:rFonts w:ascii="Arial" w:cs="Arial" w:eastAsia="Arial" w:hAnsi="Arial"/>
                <w:sz w:val="17"/>
                <w:szCs w:val="17"/>
                <w:color w:val="auto"/>
              </w:rPr>
              <w:t>—</w:t>
            </w:r>
          </w:p>
        </w:tc>
        <w:tc>
          <w:tcPr>
            <w:tcW w:w="96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5,745,270</w:t>
            </w:r>
          </w:p>
        </w:tc>
      </w:tr>
      <w:tr>
        <w:trPr>
          <w:trHeight w:val="191"/>
        </w:trPr>
        <w:tc>
          <w:tcPr>
            <w:tcW w:w="1040" w:type="dxa"/>
            <w:vAlign w:val="bottom"/>
            <w:shd w:val="clear" w:color="auto" w:fill="ACABA7"/>
          </w:tcPr>
          <w:p>
            <w:pPr>
              <w:spacing w:after="0"/>
              <w:rPr>
                <w:sz w:val="16"/>
                <w:szCs w:val="16"/>
                <w:color w:val="auto"/>
              </w:rPr>
            </w:pPr>
          </w:p>
        </w:tc>
        <w:tc>
          <w:tcPr>
            <w:tcW w:w="2720" w:type="dxa"/>
            <w:vAlign w:val="bottom"/>
            <w:shd w:val="clear" w:color="auto" w:fill="ACABA7"/>
          </w:tcPr>
          <w:p>
            <w:pPr>
              <w:ind w:left="180"/>
              <w:spacing w:after="0" w:line="191" w:lineRule="exact"/>
              <w:rPr>
                <w:sz w:val="20"/>
                <w:szCs w:val="20"/>
                <w:color w:val="auto"/>
              </w:rPr>
            </w:pPr>
            <w:r>
              <w:rPr>
                <w:rFonts w:ascii="Arial" w:cs="Arial" w:eastAsia="Arial" w:hAnsi="Arial"/>
                <w:sz w:val="17"/>
                <w:szCs w:val="17"/>
                <w:color w:val="auto"/>
              </w:rPr>
              <w:t>Excess Plan</w:t>
            </w:r>
          </w:p>
        </w:tc>
        <w:tc>
          <w:tcPr>
            <w:tcW w:w="2120" w:type="dxa"/>
            <w:vAlign w:val="bottom"/>
            <w:shd w:val="clear" w:color="auto" w:fill="ACABA7"/>
          </w:tcPr>
          <w:p>
            <w:pPr>
              <w:jc w:val="right"/>
              <w:ind w:right="538"/>
              <w:spacing w:after="0" w:line="191" w:lineRule="exact"/>
              <w:rPr>
                <w:sz w:val="20"/>
                <w:szCs w:val="20"/>
                <w:color w:val="auto"/>
              </w:rPr>
            </w:pPr>
            <w:r>
              <w:rPr>
                <w:rFonts w:ascii="Arial" w:cs="Arial" w:eastAsia="Arial" w:hAnsi="Arial"/>
                <w:sz w:val="17"/>
                <w:szCs w:val="17"/>
                <w:color w:val="auto"/>
              </w:rPr>
              <w:t>—</w:t>
            </w:r>
          </w:p>
        </w:tc>
        <w:tc>
          <w:tcPr>
            <w:tcW w:w="1180" w:type="dxa"/>
            <w:vAlign w:val="bottom"/>
            <w:shd w:val="clear" w:color="auto" w:fill="ACABA7"/>
          </w:tcPr>
          <w:p>
            <w:pPr>
              <w:ind w:left="580"/>
              <w:spacing w:after="0" w:line="191" w:lineRule="exact"/>
              <w:rPr>
                <w:sz w:val="20"/>
                <w:szCs w:val="20"/>
                <w:color w:val="auto"/>
              </w:rPr>
            </w:pPr>
            <w:r>
              <w:rPr>
                <w:rFonts w:ascii="Arial" w:cs="Arial" w:eastAsia="Arial" w:hAnsi="Arial"/>
                <w:sz w:val="17"/>
                <w:szCs w:val="17"/>
                <w:color w:val="auto"/>
              </w:rPr>
              <w:t>—</w:t>
            </w:r>
          </w:p>
        </w:tc>
        <w:tc>
          <w:tcPr>
            <w:tcW w:w="1080" w:type="dxa"/>
            <w:vAlign w:val="bottom"/>
            <w:shd w:val="clear" w:color="auto" w:fill="ACABA7"/>
          </w:tcPr>
          <w:p>
            <w:pPr>
              <w:jc w:val="right"/>
              <w:ind w:right="58"/>
              <w:spacing w:after="0" w:line="191" w:lineRule="exact"/>
              <w:rPr>
                <w:sz w:val="20"/>
                <w:szCs w:val="20"/>
                <w:color w:val="auto"/>
              </w:rPr>
            </w:pPr>
            <w:r>
              <w:rPr>
                <w:rFonts w:ascii="Arial" w:cs="Arial" w:eastAsia="Arial" w:hAnsi="Arial"/>
                <w:sz w:val="17"/>
                <w:szCs w:val="17"/>
                <w:color w:val="auto"/>
              </w:rPr>
              <w:t>23,221</w:t>
            </w:r>
          </w:p>
        </w:tc>
        <w:tc>
          <w:tcPr>
            <w:tcW w:w="1280" w:type="dxa"/>
            <w:vAlign w:val="bottom"/>
            <w:shd w:val="clear" w:color="auto" w:fill="ACABA7"/>
          </w:tcPr>
          <w:p>
            <w:pPr>
              <w:ind w:left="560"/>
              <w:spacing w:after="0" w:line="191" w:lineRule="exact"/>
              <w:rPr>
                <w:sz w:val="20"/>
                <w:szCs w:val="20"/>
                <w:color w:val="auto"/>
              </w:rPr>
            </w:pPr>
            <w:r>
              <w:rPr>
                <w:rFonts w:ascii="Arial" w:cs="Arial" w:eastAsia="Arial" w:hAnsi="Arial"/>
                <w:sz w:val="17"/>
                <w:szCs w:val="17"/>
                <w:color w:val="auto"/>
              </w:rPr>
              <w:t>—</w:t>
            </w:r>
          </w:p>
        </w:tc>
        <w:tc>
          <w:tcPr>
            <w:tcW w:w="96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135,844</w:t>
            </w:r>
          </w:p>
        </w:tc>
      </w:tr>
      <w:tr>
        <w:trPr>
          <w:trHeight w:val="191"/>
        </w:trPr>
        <w:tc>
          <w:tcPr>
            <w:tcW w:w="1040" w:type="dxa"/>
            <w:vAlign w:val="bottom"/>
          </w:tcPr>
          <w:p>
            <w:pPr>
              <w:ind w:left="100"/>
              <w:spacing w:after="0" w:line="191" w:lineRule="exact"/>
              <w:rPr>
                <w:sz w:val="20"/>
                <w:szCs w:val="20"/>
                <w:color w:val="auto"/>
              </w:rPr>
            </w:pPr>
            <w:r>
              <w:rPr>
                <w:rFonts w:ascii="Arial" w:cs="Arial" w:eastAsia="Arial" w:hAnsi="Arial"/>
                <w:sz w:val="17"/>
                <w:szCs w:val="17"/>
                <w:color w:val="auto"/>
              </w:rPr>
              <w:t>Mr. Scholl</w:t>
            </w:r>
          </w:p>
        </w:tc>
        <w:tc>
          <w:tcPr>
            <w:tcW w:w="2720" w:type="dxa"/>
            <w:vAlign w:val="bottom"/>
          </w:tcPr>
          <w:p>
            <w:pPr>
              <w:ind w:left="180"/>
              <w:spacing w:after="0" w:line="191" w:lineRule="exact"/>
              <w:rPr>
                <w:sz w:val="20"/>
                <w:szCs w:val="20"/>
                <w:color w:val="auto"/>
              </w:rPr>
            </w:pPr>
            <w:r>
              <w:rPr>
                <w:rFonts w:ascii="Arial" w:cs="Arial" w:eastAsia="Arial" w:hAnsi="Arial"/>
                <w:sz w:val="17"/>
                <w:szCs w:val="17"/>
                <w:color w:val="auto"/>
              </w:rPr>
              <w:t>Not Applicable</w:t>
            </w:r>
          </w:p>
        </w:tc>
        <w:tc>
          <w:tcPr>
            <w:tcW w:w="2120" w:type="dxa"/>
            <w:vAlign w:val="bottom"/>
          </w:tcPr>
          <w:p>
            <w:pPr>
              <w:jc w:val="right"/>
              <w:ind w:right="538"/>
              <w:spacing w:after="0" w:line="191" w:lineRule="exact"/>
              <w:rPr>
                <w:sz w:val="20"/>
                <w:szCs w:val="20"/>
                <w:color w:val="auto"/>
              </w:rPr>
            </w:pPr>
            <w:r>
              <w:rPr>
                <w:rFonts w:ascii="Arial" w:cs="Arial" w:eastAsia="Arial" w:hAnsi="Arial"/>
                <w:sz w:val="17"/>
                <w:szCs w:val="17"/>
                <w:color w:val="auto"/>
              </w:rPr>
              <w:t>—</w:t>
            </w:r>
          </w:p>
        </w:tc>
        <w:tc>
          <w:tcPr>
            <w:tcW w:w="1180" w:type="dxa"/>
            <w:vAlign w:val="bottom"/>
          </w:tcPr>
          <w:p>
            <w:pPr>
              <w:ind w:left="580"/>
              <w:spacing w:after="0" w:line="191" w:lineRule="exact"/>
              <w:rPr>
                <w:sz w:val="20"/>
                <w:szCs w:val="20"/>
                <w:color w:val="auto"/>
              </w:rPr>
            </w:pPr>
            <w:r>
              <w:rPr>
                <w:rFonts w:ascii="Arial" w:cs="Arial" w:eastAsia="Arial" w:hAnsi="Arial"/>
                <w:sz w:val="17"/>
                <w:szCs w:val="17"/>
                <w:color w:val="auto"/>
              </w:rPr>
              <w:t>—</w:t>
            </w:r>
          </w:p>
        </w:tc>
        <w:tc>
          <w:tcPr>
            <w:tcW w:w="1080" w:type="dxa"/>
            <w:vAlign w:val="bottom"/>
          </w:tcPr>
          <w:p>
            <w:pPr>
              <w:jc w:val="right"/>
              <w:ind w:right="58"/>
              <w:spacing w:after="0" w:line="191" w:lineRule="exact"/>
              <w:rPr>
                <w:sz w:val="20"/>
                <w:szCs w:val="20"/>
                <w:color w:val="auto"/>
              </w:rPr>
            </w:pPr>
            <w:r>
              <w:rPr>
                <w:rFonts w:ascii="Arial" w:cs="Arial" w:eastAsia="Arial" w:hAnsi="Arial"/>
                <w:sz w:val="17"/>
                <w:szCs w:val="17"/>
                <w:color w:val="auto"/>
              </w:rPr>
              <w:t>—</w:t>
            </w:r>
          </w:p>
        </w:tc>
        <w:tc>
          <w:tcPr>
            <w:tcW w:w="1280" w:type="dxa"/>
            <w:vAlign w:val="bottom"/>
          </w:tcPr>
          <w:p>
            <w:pPr>
              <w:ind w:left="560"/>
              <w:spacing w:after="0" w:line="191"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91" w:lineRule="exact"/>
              <w:rPr>
                <w:sz w:val="20"/>
                <w:szCs w:val="20"/>
                <w:color w:val="auto"/>
              </w:rPr>
            </w:pPr>
            <w:r>
              <w:rPr>
                <w:rFonts w:ascii="Arial" w:cs="Arial" w:eastAsia="Arial" w:hAnsi="Arial"/>
                <w:sz w:val="17"/>
                <w:szCs w:val="17"/>
                <w:color w:val="auto"/>
              </w:rPr>
              <w:t>—</w:t>
            </w:r>
          </w:p>
        </w:tc>
      </w:tr>
      <w:tr>
        <w:trPr>
          <w:trHeight w:val="190"/>
        </w:trPr>
        <w:tc>
          <w:tcPr>
            <w:tcW w:w="1040" w:type="dxa"/>
            <w:vAlign w:val="bottom"/>
            <w:shd w:val="clear" w:color="auto" w:fill="ACABA7"/>
          </w:tcPr>
          <w:p>
            <w:pPr>
              <w:ind w:left="100"/>
              <w:spacing w:after="0" w:line="190" w:lineRule="exact"/>
              <w:rPr>
                <w:sz w:val="20"/>
                <w:szCs w:val="20"/>
                <w:color w:val="auto"/>
              </w:rPr>
            </w:pPr>
            <w:r>
              <w:rPr>
                <w:rFonts w:ascii="Arial" w:cs="Arial" w:eastAsia="Arial" w:hAnsi="Arial"/>
                <w:sz w:val="17"/>
                <w:szCs w:val="17"/>
                <w:color w:val="auto"/>
              </w:rPr>
              <w:t>Mr. Howe</w:t>
            </w:r>
          </w:p>
        </w:tc>
        <w:tc>
          <w:tcPr>
            <w:tcW w:w="2720" w:type="dxa"/>
            <w:vAlign w:val="bottom"/>
            <w:shd w:val="clear" w:color="auto" w:fill="ACABA7"/>
          </w:tcPr>
          <w:p>
            <w:pPr>
              <w:ind w:left="180"/>
              <w:spacing w:after="0" w:line="190" w:lineRule="exact"/>
              <w:rPr>
                <w:sz w:val="20"/>
                <w:szCs w:val="20"/>
                <w:color w:val="auto"/>
              </w:rPr>
            </w:pPr>
            <w:r>
              <w:rPr>
                <w:rFonts w:ascii="Arial" w:cs="Arial" w:eastAsia="Arial" w:hAnsi="Arial"/>
                <w:sz w:val="17"/>
                <w:szCs w:val="17"/>
                <w:color w:val="auto"/>
              </w:rPr>
              <w:t>Keystaff Deferral Plan</w:t>
            </w:r>
          </w:p>
        </w:tc>
        <w:tc>
          <w:tcPr>
            <w:tcW w:w="2120" w:type="dxa"/>
            <w:vAlign w:val="bottom"/>
            <w:shd w:val="clear" w:color="auto" w:fill="ACABA7"/>
          </w:tcPr>
          <w:p>
            <w:pPr>
              <w:jc w:val="right"/>
              <w:ind w:right="538"/>
              <w:spacing w:after="0" w:line="190" w:lineRule="exact"/>
              <w:rPr>
                <w:sz w:val="20"/>
                <w:szCs w:val="20"/>
                <w:color w:val="auto"/>
              </w:rPr>
            </w:pPr>
            <w:r>
              <w:rPr>
                <w:rFonts w:ascii="Arial" w:cs="Arial" w:eastAsia="Arial" w:hAnsi="Arial"/>
                <w:sz w:val="17"/>
                <w:szCs w:val="17"/>
                <w:color w:val="auto"/>
              </w:rPr>
              <w:t>177,667</w:t>
            </w:r>
          </w:p>
        </w:tc>
        <w:tc>
          <w:tcPr>
            <w:tcW w:w="1180" w:type="dxa"/>
            <w:vAlign w:val="bottom"/>
            <w:shd w:val="clear" w:color="auto" w:fill="ACABA7"/>
          </w:tcPr>
          <w:p>
            <w:pPr>
              <w:ind w:left="580"/>
              <w:spacing w:after="0" w:line="190" w:lineRule="exact"/>
              <w:rPr>
                <w:sz w:val="20"/>
                <w:szCs w:val="20"/>
                <w:color w:val="auto"/>
              </w:rPr>
            </w:pPr>
            <w:r>
              <w:rPr>
                <w:rFonts w:ascii="Arial" w:cs="Arial" w:eastAsia="Arial" w:hAnsi="Arial"/>
                <w:sz w:val="17"/>
                <w:szCs w:val="17"/>
                <w:color w:val="auto"/>
              </w:rPr>
              <w:t>—</w:t>
            </w:r>
          </w:p>
        </w:tc>
        <w:tc>
          <w:tcPr>
            <w:tcW w:w="1080" w:type="dxa"/>
            <w:vAlign w:val="bottom"/>
            <w:shd w:val="clear" w:color="auto" w:fill="ACABA7"/>
          </w:tcPr>
          <w:p>
            <w:pPr>
              <w:jc w:val="right"/>
              <w:ind w:right="58"/>
              <w:spacing w:after="0" w:line="190" w:lineRule="exact"/>
              <w:rPr>
                <w:sz w:val="20"/>
                <w:szCs w:val="20"/>
                <w:color w:val="auto"/>
              </w:rPr>
            </w:pPr>
            <w:r>
              <w:rPr>
                <w:rFonts w:ascii="Arial" w:cs="Arial" w:eastAsia="Arial" w:hAnsi="Arial"/>
                <w:sz w:val="17"/>
                <w:szCs w:val="17"/>
                <w:color w:val="auto"/>
              </w:rPr>
              <w:t>102,141</w:t>
            </w:r>
          </w:p>
        </w:tc>
        <w:tc>
          <w:tcPr>
            <w:tcW w:w="1280" w:type="dxa"/>
            <w:vAlign w:val="bottom"/>
            <w:shd w:val="clear" w:color="auto" w:fill="ACABA7"/>
          </w:tcPr>
          <w:p>
            <w:pPr>
              <w:ind w:left="560"/>
              <w:spacing w:after="0" w:line="190" w:lineRule="exact"/>
              <w:rPr>
                <w:sz w:val="20"/>
                <w:szCs w:val="20"/>
                <w:color w:val="auto"/>
              </w:rPr>
            </w:pPr>
            <w:r>
              <w:rPr>
                <w:rFonts w:ascii="Arial" w:cs="Arial" w:eastAsia="Arial" w:hAnsi="Arial"/>
                <w:sz w:val="17"/>
                <w:szCs w:val="17"/>
                <w:color w:val="auto"/>
              </w:rPr>
              <w:t>—</w:t>
            </w:r>
          </w:p>
        </w:tc>
        <w:tc>
          <w:tcPr>
            <w:tcW w:w="960" w:type="dxa"/>
            <w:vAlign w:val="bottom"/>
            <w:shd w:val="clear" w:color="auto" w:fill="ACABA7"/>
          </w:tcPr>
          <w:p>
            <w:pPr>
              <w:jc w:val="right"/>
              <w:spacing w:after="0" w:line="190" w:lineRule="exact"/>
              <w:rPr>
                <w:sz w:val="20"/>
                <w:szCs w:val="20"/>
                <w:color w:val="auto"/>
              </w:rPr>
            </w:pPr>
            <w:r>
              <w:rPr>
                <w:rFonts w:ascii="Arial" w:cs="Arial" w:eastAsia="Arial" w:hAnsi="Arial"/>
                <w:sz w:val="17"/>
                <w:szCs w:val="17"/>
                <w:color w:val="auto"/>
              </w:rPr>
              <w:t>575,061</w:t>
            </w:r>
          </w:p>
        </w:tc>
      </w:tr>
      <w:tr>
        <w:trPr>
          <w:trHeight w:val="191"/>
        </w:trPr>
        <w:tc>
          <w:tcPr>
            <w:tcW w:w="1040" w:type="dxa"/>
            <w:vAlign w:val="bottom"/>
            <w:shd w:val="clear" w:color="auto" w:fill="ACABA7"/>
          </w:tcPr>
          <w:p>
            <w:pPr>
              <w:spacing w:after="0"/>
              <w:rPr>
                <w:sz w:val="16"/>
                <w:szCs w:val="16"/>
                <w:color w:val="auto"/>
              </w:rPr>
            </w:pPr>
          </w:p>
        </w:tc>
        <w:tc>
          <w:tcPr>
            <w:tcW w:w="2720" w:type="dxa"/>
            <w:vAlign w:val="bottom"/>
            <w:shd w:val="clear" w:color="auto" w:fill="ACABA7"/>
          </w:tcPr>
          <w:p>
            <w:pPr>
              <w:ind w:left="180"/>
              <w:spacing w:after="0" w:line="191" w:lineRule="exact"/>
              <w:rPr>
                <w:sz w:val="20"/>
                <w:szCs w:val="20"/>
                <w:color w:val="auto"/>
              </w:rPr>
            </w:pPr>
            <w:r>
              <w:rPr>
                <w:rFonts w:ascii="Arial" w:cs="Arial" w:eastAsia="Arial" w:hAnsi="Arial"/>
                <w:sz w:val="17"/>
                <w:szCs w:val="17"/>
                <w:color w:val="auto"/>
              </w:rPr>
              <w:t>Key Executive Stock Deferral</w:t>
            </w:r>
          </w:p>
        </w:tc>
        <w:tc>
          <w:tcPr>
            <w:tcW w:w="2120" w:type="dxa"/>
            <w:vAlign w:val="bottom"/>
            <w:shd w:val="clear" w:color="auto" w:fill="ACABA7"/>
          </w:tcPr>
          <w:p>
            <w:pPr>
              <w:spacing w:after="0"/>
              <w:rPr>
                <w:sz w:val="16"/>
                <w:szCs w:val="16"/>
                <w:color w:val="auto"/>
              </w:rPr>
            </w:pPr>
          </w:p>
        </w:tc>
        <w:tc>
          <w:tcPr>
            <w:tcW w:w="1180" w:type="dxa"/>
            <w:vAlign w:val="bottom"/>
            <w:shd w:val="clear" w:color="auto" w:fill="ACABA7"/>
          </w:tcPr>
          <w:p>
            <w:pPr>
              <w:spacing w:after="0"/>
              <w:rPr>
                <w:sz w:val="16"/>
                <w:szCs w:val="16"/>
                <w:color w:val="auto"/>
              </w:rPr>
            </w:pPr>
          </w:p>
        </w:tc>
        <w:tc>
          <w:tcPr>
            <w:tcW w:w="1080" w:type="dxa"/>
            <w:vAlign w:val="bottom"/>
            <w:shd w:val="clear" w:color="auto" w:fill="ACABA7"/>
          </w:tcPr>
          <w:p>
            <w:pPr>
              <w:spacing w:after="0"/>
              <w:rPr>
                <w:sz w:val="16"/>
                <w:szCs w:val="16"/>
                <w:color w:val="auto"/>
              </w:rPr>
            </w:pPr>
          </w:p>
        </w:tc>
        <w:tc>
          <w:tcPr>
            <w:tcW w:w="1280" w:type="dxa"/>
            <w:vAlign w:val="bottom"/>
            <w:shd w:val="clear" w:color="auto" w:fill="ACABA7"/>
          </w:tcPr>
          <w:p>
            <w:pPr>
              <w:spacing w:after="0"/>
              <w:rPr>
                <w:sz w:val="16"/>
                <w:szCs w:val="16"/>
                <w:color w:val="auto"/>
              </w:rPr>
            </w:pPr>
          </w:p>
        </w:tc>
        <w:tc>
          <w:tcPr>
            <w:tcW w:w="960" w:type="dxa"/>
            <w:vAlign w:val="bottom"/>
            <w:shd w:val="clear" w:color="auto" w:fill="ACABA7"/>
          </w:tcPr>
          <w:p>
            <w:pPr>
              <w:spacing w:after="0"/>
              <w:rPr>
                <w:sz w:val="16"/>
                <w:szCs w:val="16"/>
                <w:color w:val="auto"/>
              </w:rPr>
            </w:pPr>
          </w:p>
        </w:tc>
      </w:tr>
      <w:tr>
        <w:trPr>
          <w:trHeight w:val="191"/>
        </w:trPr>
        <w:tc>
          <w:tcPr>
            <w:tcW w:w="1040" w:type="dxa"/>
            <w:vAlign w:val="bottom"/>
            <w:shd w:val="clear" w:color="auto" w:fill="ACABA7"/>
          </w:tcPr>
          <w:p>
            <w:pPr>
              <w:spacing w:after="0"/>
              <w:rPr>
                <w:sz w:val="16"/>
                <w:szCs w:val="16"/>
                <w:color w:val="auto"/>
              </w:rPr>
            </w:pPr>
          </w:p>
        </w:tc>
        <w:tc>
          <w:tcPr>
            <w:tcW w:w="2720" w:type="dxa"/>
            <w:vAlign w:val="bottom"/>
            <w:shd w:val="clear" w:color="auto" w:fill="ACABA7"/>
          </w:tcPr>
          <w:p>
            <w:pPr>
              <w:ind w:left="340"/>
              <w:spacing w:after="0" w:line="191" w:lineRule="exact"/>
              <w:rPr>
                <w:sz w:val="20"/>
                <w:szCs w:val="20"/>
                <w:color w:val="auto"/>
              </w:rPr>
            </w:pPr>
            <w:r>
              <w:rPr>
                <w:rFonts w:ascii="Arial" w:cs="Arial" w:eastAsia="Arial" w:hAnsi="Arial"/>
                <w:sz w:val="17"/>
                <w:szCs w:val="17"/>
                <w:color w:val="auto"/>
              </w:rPr>
              <w:t>Plan</w:t>
            </w:r>
          </w:p>
        </w:tc>
        <w:tc>
          <w:tcPr>
            <w:tcW w:w="2120" w:type="dxa"/>
            <w:vAlign w:val="bottom"/>
            <w:shd w:val="clear" w:color="auto" w:fill="ACABA7"/>
          </w:tcPr>
          <w:p>
            <w:pPr>
              <w:jc w:val="right"/>
              <w:ind w:right="538"/>
              <w:spacing w:after="0" w:line="191" w:lineRule="exact"/>
              <w:rPr>
                <w:sz w:val="20"/>
                <w:szCs w:val="20"/>
                <w:color w:val="auto"/>
              </w:rPr>
            </w:pPr>
            <w:r>
              <w:rPr>
                <w:rFonts w:ascii="Arial" w:cs="Arial" w:eastAsia="Arial" w:hAnsi="Arial"/>
                <w:sz w:val="17"/>
                <w:szCs w:val="17"/>
                <w:color w:val="auto"/>
              </w:rPr>
              <w:t>105,284</w:t>
            </w:r>
          </w:p>
        </w:tc>
        <w:tc>
          <w:tcPr>
            <w:tcW w:w="1180" w:type="dxa"/>
            <w:vAlign w:val="bottom"/>
            <w:shd w:val="clear" w:color="auto" w:fill="ACABA7"/>
          </w:tcPr>
          <w:p>
            <w:pPr>
              <w:ind w:left="580"/>
              <w:spacing w:after="0" w:line="191" w:lineRule="exact"/>
              <w:rPr>
                <w:sz w:val="20"/>
                <w:szCs w:val="20"/>
                <w:color w:val="auto"/>
              </w:rPr>
            </w:pPr>
            <w:r>
              <w:rPr>
                <w:rFonts w:ascii="Arial" w:cs="Arial" w:eastAsia="Arial" w:hAnsi="Arial"/>
                <w:sz w:val="17"/>
                <w:szCs w:val="17"/>
                <w:color w:val="auto"/>
              </w:rPr>
              <w:t>—</w:t>
            </w:r>
          </w:p>
        </w:tc>
        <w:tc>
          <w:tcPr>
            <w:tcW w:w="1080" w:type="dxa"/>
            <w:vAlign w:val="bottom"/>
            <w:shd w:val="clear" w:color="auto" w:fill="ACABA7"/>
          </w:tcPr>
          <w:p>
            <w:pPr>
              <w:jc w:val="right"/>
              <w:ind w:right="58"/>
              <w:spacing w:after="0" w:line="191" w:lineRule="exact"/>
              <w:rPr>
                <w:sz w:val="20"/>
                <w:szCs w:val="20"/>
                <w:color w:val="auto"/>
              </w:rPr>
            </w:pPr>
            <w:r>
              <w:rPr>
                <w:rFonts w:ascii="Arial" w:cs="Arial" w:eastAsia="Arial" w:hAnsi="Arial"/>
                <w:sz w:val="17"/>
                <w:szCs w:val="17"/>
                <w:color w:val="auto"/>
              </w:rPr>
              <w:t>74,395</w:t>
            </w:r>
          </w:p>
        </w:tc>
        <w:tc>
          <w:tcPr>
            <w:tcW w:w="1280" w:type="dxa"/>
            <w:vAlign w:val="bottom"/>
            <w:shd w:val="clear" w:color="auto" w:fill="ACABA7"/>
          </w:tcPr>
          <w:p>
            <w:pPr>
              <w:ind w:left="560"/>
              <w:spacing w:after="0" w:line="191" w:lineRule="exact"/>
              <w:rPr>
                <w:sz w:val="20"/>
                <w:szCs w:val="20"/>
                <w:color w:val="auto"/>
              </w:rPr>
            </w:pPr>
            <w:r>
              <w:rPr>
                <w:rFonts w:ascii="Arial" w:cs="Arial" w:eastAsia="Arial" w:hAnsi="Arial"/>
                <w:sz w:val="17"/>
                <w:szCs w:val="17"/>
                <w:color w:val="auto"/>
              </w:rPr>
              <w:t>—</w:t>
            </w:r>
          </w:p>
        </w:tc>
        <w:tc>
          <w:tcPr>
            <w:tcW w:w="96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207,308</w:t>
            </w:r>
          </w:p>
        </w:tc>
      </w:tr>
      <w:tr>
        <w:trPr>
          <w:trHeight w:val="191"/>
        </w:trPr>
        <w:tc>
          <w:tcPr>
            <w:tcW w:w="1040" w:type="dxa"/>
            <w:vAlign w:val="bottom"/>
          </w:tcPr>
          <w:p>
            <w:pPr>
              <w:ind w:left="100"/>
              <w:spacing w:after="0" w:line="191" w:lineRule="exact"/>
              <w:rPr>
                <w:sz w:val="20"/>
                <w:szCs w:val="20"/>
                <w:color w:val="auto"/>
              </w:rPr>
            </w:pPr>
            <w:r>
              <w:rPr>
                <w:rFonts w:ascii="Arial" w:cs="Arial" w:eastAsia="Arial" w:hAnsi="Arial"/>
                <w:sz w:val="17"/>
                <w:szCs w:val="17"/>
                <w:color w:val="auto"/>
              </w:rPr>
              <w:t>Mr. Fasano</w:t>
            </w:r>
          </w:p>
        </w:tc>
        <w:tc>
          <w:tcPr>
            <w:tcW w:w="2720" w:type="dxa"/>
            <w:vAlign w:val="bottom"/>
          </w:tcPr>
          <w:p>
            <w:pPr>
              <w:ind w:left="180"/>
              <w:spacing w:after="0" w:line="191" w:lineRule="exact"/>
              <w:rPr>
                <w:sz w:val="20"/>
                <w:szCs w:val="20"/>
                <w:color w:val="auto"/>
              </w:rPr>
            </w:pPr>
            <w:r>
              <w:rPr>
                <w:rFonts w:ascii="Arial" w:cs="Arial" w:eastAsia="Arial" w:hAnsi="Arial"/>
                <w:sz w:val="17"/>
                <w:szCs w:val="17"/>
                <w:color w:val="auto"/>
              </w:rPr>
              <w:t>Deferred Compensation Plan</w:t>
            </w:r>
          </w:p>
        </w:tc>
        <w:tc>
          <w:tcPr>
            <w:tcW w:w="2120" w:type="dxa"/>
            <w:vAlign w:val="bottom"/>
          </w:tcPr>
          <w:p>
            <w:pPr>
              <w:jc w:val="right"/>
              <w:ind w:right="538"/>
              <w:spacing w:after="0" w:line="191" w:lineRule="exact"/>
              <w:rPr>
                <w:sz w:val="20"/>
                <w:szCs w:val="20"/>
                <w:color w:val="auto"/>
              </w:rPr>
            </w:pPr>
            <w:r>
              <w:rPr>
                <w:rFonts w:ascii="Arial" w:cs="Arial" w:eastAsia="Arial" w:hAnsi="Arial"/>
                <w:sz w:val="17"/>
                <w:szCs w:val="17"/>
                <w:color w:val="auto"/>
              </w:rPr>
              <w:t>—</w:t>
            </w:r>
          </w:p>
        </w:tc>
        <w:tc>
          <w:tcPr>
            <w:tcW w:w="1180" w:type="dxa"/>
            <w:vAlign w:val="bottom"/>
          </w:tcPr>
          <w:p>
            <w:pPr>
              <w:ind w:left="580"/>
              <w:spacing w:after="0" w:line="191" w:lineRule="exact"/>
              <w:rPr>
                <w:sz w:val="20"/>
                <w:szCs w:val="20"/>
                <w:color w:val="auto"/>
              </w:rPr>
            </w:pPr>
            <w:r>
              <w:rPr>
                <w:rFonts w:ascii="Arial" w:cs="Arial" w:eastAsia="Arial" w:hAnsi="Arial"/>
                <w:sz w:val="17"/>
                <w:szCs w:val="17"/>
                <w:color w:val="auto"/>
              </w:rPr>
              <w:t>—</w:t>
            </w:r>
          </w:p>
        </w:tc>
        <w:tc>
          <w:tcPr>
            <w:tcW w:w="1080" w:type="dxa"/>
            <w:vAlign w:val="bottom"/>
          </w:tcPr>
          <w:p>
            <w:pPr>
              <w:jc w:val="right"/>
              <w:ind w:right="58"/>
              <w:spacing w:after="0" w:line="191" w:lineRule="exact"/>
              <w:rPr>
                <w:sz w:val="20"/>
                <w:szCs w:val="20"/>
                <w:color w:val="auto"/>
              </w:rPr>
            </w:pPr>
            <w:r>
              <w:rPr>
                <w:rFonts w:ascii="Arial" w:cs="Arial" w:eastAsia="Arial" w:hAnsi="Arial"/>
                <w:sz w:val="17"/>
                <w:szCs w:val="17"/>
                <w:color w:val="auto"/>
              </w:rPr>
              <w:t>6,239</w:t>
            </w:r>
          </w:p>
        </w:tc>
        <w:tc>
          <w:tcPr>
            <w:tcW w:w="1280" w:type="dxa"/>
            <w:vAlign w:val="bottom"/>
          </w:tcPr>
          <w:p>
            <w:pPr>
              <w:ind w:left="560"/>
              <w:spacing w:after="0" w:line="191"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91" w:lineRule="exact"/>
              <w:rPr>
                <w:sz w:val="20"/>
                <w:szCs w:val="20"/>
                <w:color w:val="auto"/>
              </w:rPr>
            </w:pPr>
            <w:r>
              <w:rPr>
                <w:rFonts w:ascii="Arial" w:cs="Arial" w:eastAsia="Arial" w:hAnsi="Arial"/>
                <w:sz w:val="17"/>
                <w:szCs w:val="17"/>
                <w:color w:val="auto"/>
              </w:rPr>
              <w:t>34,502</w:t>
            </w:r>
          </w:p>
        </w:tc>
      </w:tr>
      <w:tr>
        <w:trPr>
          <w:trHeight w:val="191"/>
        </w:trPr>
        <w:tc>
          <w:tcPr>
            <w:tcW w:w="104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Ms. Heise</w:t>
            </w:r>
          </w:p>
        </w:tc>
        <w:tc>
          <w:tcPr>
            <w:tcW w:w="2720" w:type="dxa"/>
            <w:vAlign w:val="bottom"/>
            <w:shd w:val="clear" w:color="auto" w:fill="ACABA7"/>
          </w:tcPr>
          <w:p>
            <w:pPr>
              <w:ind w:left="180"/>
              <w:spacing w:after="0" w:line="191" w:lineRule="exact"/>
              <w:rPr>
                <w:sz w:val="20"/>
                <w:szCs w:val="20"/>
                <w:color w:val="auto"/>
              </w:rPr>
            </w:pPr>
            <w:r>
              <w:rPr>
                <w:rFonts w:ascii="Arial" w:cs="Arial" w:eastAsia="Arial" w:hAnsi="Arial"/>
                <w:sz w:val="17"/>
                <w:szCs w:val="17"/>
                <w:color w:val="auto"/>
              </w:rPr>
              <w:t>Deferred Compensation Plan</w:t>
            </w:r>
          </w:p>
        </w:tc>
        <w:tc>
          <w:tcPr>
            <w:tcW w:w="2120" w:type="dxa"/>
            <w:vAlign w:val="bottom"/>
            <w:shd w:val="clear" w:color="auto" w:fill="ACABA7"/>
          </w:tcPr>
          <w:p>
            <w:pPr>
              <w:jc w:val="right"/>
              <w:ind w:right="538"/>
              <w:spacing w:after="0" w:line="191" w:lineRule="exact"/>
              <w:rPr>
                <w:sz w:val="20"/>
                <w:szCs w:val="20"/>
                <w:color w:val="auto"/>
              </w:rPr>
            </w:pPr>
            <w:r>
              <w:rPr>
                <w:rFonts w:ascii="Arial" w:cs="Arial" w:eastAsia="Arial" w:hAnsi="Arial"/>
                <w:sz w:val="17"/>
                <w:szCs w:val="17"/>
                <w:color w:val="auto"/>
              </w:rPr>
              <w:t>—</w:t>
            </w:r>
          </w:p>
        </w:tc>
        <w:tc>
          <w:tcPr>
            <w:tcW w:w="1180" w:type="dxa"/>
            <w:vAlign w:val="bottom"/>
            <w:shd w:val="clear" w:color="auto" w:fill="ACABA7"/>
          </w:tcPr>
          <w:p>
            <w:pPr>
              <w:ind w:left="580"/>
              <w:spacing w:after="0" w:line="191" w:lineRule="exact"/>
              <w:rPr>
                <w:sz w:val="20"/>
                <w:szCs w:val="20"/>
                <w:color w:val="auto"/>
              </w:rPr>
            </w:pPr>
            <w:r>
              <w:rPr>
                <w:rFonts w:ascii="Arial" w:cs="Arial" w:eastAsia="Arial" w:hAnsi="Arial"/>
                <w:sz w:val="17"/>
                <w:szCs w:val="17"/>
                <w:color w:val="auto"/>
              </w:rPr>
              <w:t>—</w:t>
            </w:r>
          </w:p>
        </w:tc>
        <w:tc>
          <w:tcPr>
            <w:tcW w:w="1080" w:type="dxa"/>
            <w:vAlign w:val="bottom"/>
            <w:shd w:val="clear" w:color="auto" w:fill="ACABA7"/>
          </w:tcPr>
          <w:p>
            <w:pPr>
              <w:jc w:val="right"/>
              <w:ind w:right="58"/>
              <w:spacing w:after="0" w:line="191" w:lineRule="exact"/>
              <w:rPr>
                <w:sz w:val="20"/>
                <w:szCs w:val="20"/>
                <w:color w:val="auto"/>
              </w:rPr>
            </w:pPr>
            <w:r>
              <w:rPr>
                <w:rFonts w:ascii="Arial" w:cs="Arial" w:eastAsia="Arial" w:hAnsi="Arial"/>
                <w:sz w:val="17"/>
                <w:szCs w:val="17"/>
                <w:color w:val="auto"/>
              </w:rPr>
              <w:t>1,533</w:t>
            </w:r>
          </w:p>
        </w:tc>
        <w:tc>
          <w:tcPr>
            <w:tcW w:w="1280" w:type="dxa"/>
            <w:vAlign w:val="bottom"/>
            <w:shd w:val="clear" w:color="auto" w:fill="ACABA7"/>
          </w:tcPr>
          <w:p>
            <w:pPr>
              <w:ind w:left="560"/>
              <w:spacing w:after="0" w:line="191" w:lineRule="exact"/>
              <w:rPr>
                <w:sz w:val="20"/>
                <w:szCs w:val="20"/>
                <w:color w:val="auto"/>
              </w:rPr>
            </w:pPr>
            <w:r>
              <w:rPr>
                <w:rFonts w:ascii="Arial" w:cs="Arial" w:eastAsia="Arial" w:hAnsi="Arial"/>
                <w:sz w:val="17"/>
                <w:szCs w:val="17"/>
                <w:color w:val="auto"/>
              </w:rPr>
              <w:t>—</w:t>
            </w:r>
          </w:p>
        </w:tc>
        <w:tc>
          <w:tcPr>
            <w:tcW w:w="96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7,686</w:t>
            </w:r>
          </w:p>
        </w:tc>
      </w:tr>
    </w:tbl>
    <w:p>
      <w:pPr>
        <w:spacing w:after="0" w:line="114" w:lineRule="exact"/>
        <w:rPr>
          <w:sz w:val="20"/>
          <w:szCs w:val="20"/>
          <w:color w:val="auto"/>
        </w:rPr>
      </w:pPr>
    </w:p>
    <w:p>
      <w:pPr>
        <w:ind w:left="840" w:right="40" w:hanging="400"/>
        <w:spacing w:after="0" w:line="243" w:lineRule="auto"/>
        <w:tabs>
          <w:tab w:leader="none" w:pos="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Amounts in this column represent the value of cash or stock awards deferred during fiscal 2019. These amounts are also included as compensation in the “Summary Compensation Table” for prior years.</w:t>
      </w:r>
    </w:p>
    <w:p>
      <w:pPr>
        <w:spacing w:after="0" w:line="99" w:lineRule="exact"/>
        <w:rPr>
          <w:rFonts w:ascii="Arial" w:cs="Arial" w:eastAsia="Arial" w:hAnsi="Arial"/>
          <w:sz w:val="17"/>
          <w:szCs w:val="17"/>
          <w:color w:val="auto"/>
        </w:rPr>
      </w:pPr>
    </w:p>
    <w:p>
      <w:pPr>
        <w:ind w:left="840" w:right="80" w:hanging="400"/>
        <w:spacing w:after="0" w:line="237" w:lineRule="auto"/>
        <w:tabs>
          <w:tab w:leader="none" w:pos="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With respect to the Keystaff Deferral Plan, Excess Plan and Deferred Compensation Plan for Former IS&amp;GS Employees, amounts in this column represent aggregate returns on the diverse investment options available to eligible participants based on individual participant investment elections. With respect to the Key Executive Stock Deferral Plan, amounts in this column represent the aggregate increases or decreases in the value of stock units corresponding to shares of our common stock during fiscal 2019. The market value of the shares is based upon $99.48, the closing sales price of our common stock on the NYSE on January 3, 2020.</w:t>
      </w:r>
    </w:p>
    <w:p>
      <w:pPr>
        <w:spacing w:after="0" w:line="102" w:lineRule="exact"/>
        <w:rPr>
          <w:rFonts w:ascii="Arial" w:cs="Arial" w:eastAsia="Arial" w:hAnsi="Arial"/>
          <w:sz w:val="17"/>
          <w:szCs w:val="17"/>
          <w:color w:val="auto"/>
        </w:rPr>
      </w:pPr>
    </w:p>
    <w:p>
      <w:pPr>
        <w:ind w:left="840" w:right="100" w:hanging="400"/>
        <w:spacing w:after="0" w:line="236" w:lineRule="auto"/>
        <w:tabs>
          <w:tab w:leader="none" w:pos="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Amounts in this column represent the value of the holder’s accounts at the end of fiscal 2019. With respect to the Key Executive Stock Deferral Plan, the amounts represent the value of stock units corresponding to shares of common stock held by the named executive officer based on $99.48 per share, the closing sales price of our common stock on the NYSE on January 3, 2020. All amounts in this column were reported as compensation in the “Summary Compensation Table” for prior years. Our named executive officers held the following number of stock units at the end of fiscal 2019 in the Key Executive Stock Deferral Plan: (a) Mr. Krone, 78,130 (b) Mr. Reagan, 57,753 and (c) Mr. Howe, 2,084.</w:t>
      </w:r>
    </w:p>
    <w:p>
      <w:pPr>
        <w:spacing w:after="0" w:line="115" w:lineRule="exact"/>
        <w:rPr>
          <w:sz w:val="20"/>
          <w:szCs w:val="20"/>
          <w:color w:val="auto"/>
        </w:rPr>
      </w:pPr>
    </w:p>
    <w:p>
      <w:pPr>
        <w:ind w:left="8680"/>
        <w:spacing w:after="0"/>
        <w:tabs>
          <w:tab w:leader="none" w:pos="10400" w:val="left"/>
          <w:tab w:leader="none" w:pos="1062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37</w:t>
      </w:r>
    </w:p>
    <w:p>
      <w:pPr>
        <w:sectPr>
          <w:pgSz w:w="11900" w:h="16838" w:orient="portrait"/>
          <w:cols w:equalWidth="0" w:num="1">
            <w:col w:w="10820"/>
          </w:cols>
          <w:pgMar w:left="320" w:top="441" w:right="75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Potential Payments Upon Termination or a Change in Control</w:t>
      </w:r>
    </w:p>
    <w:p>
      <w:pPr>
        <w:spacing w:after="0" w:line="198"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Roger A. Krone, Chief Executive Officer</w:t>
      </w:r>
    </w:p>
    <w:p>
      <w:pPr>
        <w:spacing w:after="0" w:line="218" w:lineRule="exact"/>
        <w:rPr>
          <w:sz w:val="20"/>
          <w:szCs w:val="20"/>
          <w:color w:val="auto"/>
        </w:rPr>
      </w:pPr>
    </w:p>
    <w:p>
      <w:pPr>
        <w:ind w:left="440" w:right="40"/>
        <w:spacing w:after="0" w:line="235" w:lineRule="auto"/>
        <w:rPr>
          <w:sz w:val="20"/>
          <w:szCs w:val="20"/>
          <w:color w:val="auto"/>
        </w:rPr>
      </w:pPr>
      <w:r>
        <w:rPr>
          <w:rFonts w:ascii="Arial" w:cs="Arial" w:eastAsia="Arial" w:hAnsi="Arial"/>
          <w:sz w:val="17"/>
          <w:szCs w:val="17"/>
          <w:color w:val="auto"/>
        </w:rPr>
        <w:t>Mr. Krone’s employment agreement would provide severance benefits to him if his employment is terminated by us for reasons other than for cause, or by Mr. Krone for good reason. However, if such termination is within three months prior to or within 24 months after a change in control of the company (the “change in control period”), Mr. Krone would receive a higher level of benefits. In addition, Mr. Krone would be entitled to receive certain benefits and outplacement services in the event of a qualifying termination under his employment agreement. Severance benefits under this agreement in connection with a change in control, or CIC, are “double trigger” and any payments under this agreement are subject to the recipient’s execution of a general release in favor of the company and its affiliates. Finally, pursuant to the terms of the equity awards Mr. Krone received under the Leidos 2006 Equity Incentive Plan and 2017 Omnibus Incentive Plan (“Equity Plans”) if Mr. Krone is terminated by us for reasons other than for cause, by him for good reason, or by reason of his death or disability, he would be entitled to accelerated vesting, or pro-rated vesting, of his long-term incentive awards, depending on whether the termination is during a change in control period. The chart below provides the amounts that Mr. Krone would be entitled to under these various termination scenarios.</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Mr. Reagan, Mr. Scholl, Mr. Howe, and Mr. Fasano</w:t>
      </w:r>
    </w:p>
    <w:p>
      <w:pPr>
        <w:spacing w:after="0" w:line="218" w:lineRule="exact"/>
        <w:rPr>
          <w:sz w:val="20"/>
          <w:szCs w:val="20"/>
          <w:color w:val="auto"/>
        </w:rPr>
      </w:pPr>
    </w:p>
    <w:p>
      <w:pPr>
        <w:ind w:left="440" w:right="300"/>
        <w:spacing w:after="0" w:line="243" w:lineRule="auto"/>
        <w:rPr>
          <w:sz w:val="20"/>
          <w:szCs w:val="20"/>
          <w:color w:val="auto"/>
        </w:rPr>
      </w:pPr>
      <w:r>
        <w:rPr>
          <w:rFonts w:ascii="Arial" w:cs="Arial" w:eastAsia="Arial" w:hAnsi="Arial"/>
          <w:sz w:val="17"/>
          <w:szCs w:val="17"/>
          <w:color w:val="auto"/>
        </w:rPr>
        <w:t>All of our named executive officers, other than Mr. Krone, are covered by the Leidos Holdings, Inc. Executive Severance Plan, effective January 1, 2017 (the “Severance Plan”).</w:t>
      </w:r>
    </w:p>
    <w:p>
      <w:pPr>
        <w:spacing w:after="0" w:line="189" w:lineRule="exact"/>
        <w:rPr>
          <w:sz w:val="20"/>
          <w:szCs w:val="20"/>
          <w:color w:val="auto"/>
        </w:rPr>
      </w:pPr>
    </w:p>
    <w:p>
      <w:pPr>
        <w:ind w:left="440" w:right="20"/>
        <w:spacing w:after="0" w:line="243" w:lineRule="auto"/>
        <w:rPr>
          <w:sz w:val="20"/>
          <w:szCs w:val="20"/>
          <w:color w:val="auto"/>
        </w:rPr>
      </w:pPr>
      <w:r>
        <w:rPr>
          <w:rFonts w:ascii="Arial" w:cs="Arial" w:eastAsia="Arial" w:hAnsi="Arial"/>
          <w:sz w:val="17"/>
          <w:szCs w:val="17"/>
          <w:color w:val="auto"/>
        </w:rPr>
        <w:t>The Severance Plan provides for the following in the event of a qualifying termination without Cause in the absence of a Change in Control or CIC:</w:t>
      </w:r>
    </w:p>
    <w:p>
      <w:pPr>
        <w:sectPr>
          <w:pgSz w:w="11900" w:h="16838" w:orient="portrait"/>
          <w:cols w:equalWidth="0" w:num="1">
            <w:col w:w="10820"/>
          </w:cols>
          <w:pgMar w:left="320" w:top="441" w:right="759" w:bottom="1440" w:gutter="0" w:footer="0" w:header="0"/>
        </w:sectPr>
      </w:pPr>
    </w:p>
    <w:p>
      <w:pPr>
        <w:spacing w:after="0" w:line="106" w:lineRule="exact"/>
        <w:rPr>
          <w:sz w:val="20"/>
          <w:szCs w:val="20"/>
          <w:color w:val="auto"/>
        </w:rPr>
      </w:pPr>
    </w:p>
    <w:p>
      <w:pPr>
        <w:ind w:left="5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5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A cash lump sum severance benefit of 1.0 times base salary plus target bonus; and</w:t>
      </w:r>
    </w:p>
    <w:p>
      <w:pPr>
        <w:spacing w:after="0" w:line="109"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A cash lump sum severance benefit equal to the premium cost of COBRA continuation of medical, dental and vision benefits for 12 months.</w:t>
      </w:r>
    </w:p>
    <w:p>
      <w:pPr>
        <w:spacing w:after="0" w:line="189" w:lineRule="exact"/>
        <w:rPr>
          <w:sz w:val="20"/>
          <w:szCs w:val="20"/>
          <w:color w:val="auto"/>
        </w:rPr>
      </w:pPr>
    </w:p>
    <w:p>
      <w:pPr>
        <w:sectPr>
          <w:pgSz w:w="11900" w:h="16838" w:orient="portrait"/>
          <w:cols w:equalWidth="0" w:num="2">
            <w:col w:w="580" w:space="360"/>
            <w:col w:w="9880"/>
          </w:cols>
          <w:pgMar w:left="320" w:top="441" w:right="759" w:bottom="1440" w:gutter="0" w:footer="0" w:header="0"/>
          <w:type w:val="continuous"/>
        </w:sectPr>
      </w:pPr>
    </w:p>
    <w:p>
      <w:pPr>
        <w:ind w:left="440" w:right="40"/>
        <w:spacing w:after="0" w:line="237" w:lineRule="auto"/>
        <w:rPr>
          <w:sz w:val="20"/>
          <w:szCs w:val="20"/>
          <w:color w:val="auto"/>
        </w:rPr>
      </w:pPr>
      <w:r>
        <w:rPr>
          <w:rFonts w:ascii="Arial" w:cs="Arial" w:eastAsia="Arial" w:hAnsi="Arial"/>
          <w:sz w:val="17"/>
          <w:szCs w:val="17"/>
          <w:color w:val="auto"/>
        </w:rPr>
        <w:t>The Severance Plan is designed to provide severance benefits to executive officers in certain cases where their employment is terminated involuntarily not for cause, with a separate set of benefits for an involuntary termination not for cause or resignation for good reason that occurs within three months prior to or within 24 months following a CIC. Benefits under this plan in connection with a CIC are “double trigger” and any payments under this plan are subject to the recipient’s execution of a general release in favor of the company and its affiliates.</w:t>
      </w:r>
    </w:p>
    <w:p>
      <w:pPr>
        <w:spacing w:after="0" w:line="191" w:lineRule="exact"/>
        <w:rPr>
          <w:sz w:val="20"/>
          <w:szCs w:val="20"/>
          <w:color w:val="auto"/>
        </w:rPr>
      </w:pPr>
    </w:p>
    <w:p>
      <w:pPr>
        <w:ind w:left="440" w:right="20"/>
        <w:spacing w:after="0" w:line="237" w:lineRule="auto"/>
        <w:rPr>
          <w:sz w:val="20"/>
          <w:szCs w:val="20"/>
          <w:color w:val="auto"/>
        </w:rPr>
      </w:pPr>
      <w:r>
        <w:rPr>
          <w:rFonts w:ascii="Arial" w:cs="Arial" w:eastAsia="Arial" w:hAnsi="Arial"/>
          <w:sz w:val="17"/>
          <w:szCs w:val="17"/>
          <w:color w:val="auto"/>
        </w:rPr>
        <w:t>Following a CIC, our executive officers would also vest in certain of their outstanding equity awards, if the CIC meets the definition in our Equity and Deferred Compensation Plans. Finally, pursuant to the terms of the equity awards they received under the Equity Plan, if they terminated employment involuntarily not for cause, or by reason of their death or disability, they would be entitled to accelerated vesting, or pro-rated vesting, of certain long-term incentive awards. The charts below provide the amounts that these executive officers would be entitled to under various termination scenarios.</w:t>
      </w:r>
    </w:p>
    <w:p>
      <w:pPr>
        <w:spacing w:after="0" w:line="209"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580" w:type="dxa"/>
            <w:vAlign w:val="bottom"/>
            <w:tcBorders>
              <w:bottom w:val="single" w:sz="8" w:color="483E65"/>
            </w:tcBorders>
            <w:gridSpan w:val="2"/>
          </w:tcPr>
          <w:p>
            <w:pPr>
              <w:jc w:val="right"/>
              <w:ind w:right="81"/>
              <w:spacing w:after="0"/>
              <w:rPr>
                <w:sz w:val="20"/>
                <w:szCs w:val="20"/>
                <w:color w:val="auto"/>
              </w:rPr>
            </w:pPr>
            <w:r>
              <w:rPr>
                <w:rFonts w:ascii="Arial" w:cs="Arial" w:eastAsia="Arial" w:hAnsi="Arial"/>
                <w:sz w:val="14"/>
                <w:szCs w:val="14"/>
                <w:color w:val="483E65"/>
              </w:rPr>
              <w:t>Involuntary Termination/Good Reason</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50"/>
        </w:trPr>
        <w:tc>
          <w:tcPr>
            <w:tcW w:w="5260" w:type="dxa"/>
            <w:vAlign w:val="bottom"/>
          </w:tcPr>
          <w:p>
            <w:pPr>
              <w:spacing w:after="0"/>
              <w:rPr>
                <w:sz w:val="13"/>
                <w:szCs w:val="13"/>
                <w:color w:val="auto"/>
              </w:rPr>
            </w:pPr>
          </w:p>
        </w:tc>
        <w:tc>
          <w:tcPr>
            <w:tcW w:w="1460" w:type="dxa"/>
            <w:vAlign w:val="bottom"/>
          </w:tcPr>
          <w:p>
            <w:pPr>
              <w:jc w:val="center"/>
              <w:ind w:right="83"/>
              <w:spacing w:after="0" w:line="150" w:lineRule="exact"/>
              <w:rPr>
                <w:sz w:val="20"/>
                <w:szCs w:val="20"/>
                <w:color w:val="auto"/>
              </w:rPr>
            </w:pPr>
            <w:r>
              <w:rPr>
                <w:rFonts w:ascii="Arial" w:cs="Arial" w:eastAsia="Arial" w:hAnsi="Arial"/>
                <w:sz w:val="14"/>
                <w:szCs w:val="14"/>
                <w:color w:val="483E65"/>
                <w:w w:val="96"/>
              </w:rPr>
              <w:t>Without</w:t>
            </w:r>
          </w:p>
        </w:tc>
        <w:tc>
          <w:tcPr>
            <w:tcW w:w="1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45"/>
        </w:trPr>
        <w:tc>
          <w:tcPr>
            <w:tcW w:w="5260" w:type="dxa"/>
            <w:vAlign w:val="bottom"/>
          </w:tcPr>
          <w:p>
            <w:pPr>
              <w:spacing w:after="0"/>
              <w:rPr>
                <w:sz w:val="12"/>
                <w:szCs w:val="12"/>
                <w:color w:val="auto"/>
              </w:rPr>
            </w:pPr>
          </w:p>
        </w:tc>
        <w:tc>
          <w:tcPr>
            <w:tcW w:w="1460" w:type="dxa"/>
            <w:vAlign w:val="bottom"/>
          </w:tcPr>
          <w:p>
            <w:pPr>
              <w:jc w:val="center"/>
              <w:ind w:right="83"/>
              <w:spacing w:after="0" w:line="145" w:lineRule="exact"/>
              <w:rPr>
                <w:sz w:val="20"/>
                <w:szCs w:val="20"/>
                <w:color w:val="auto"/>
              </w:rPr>
            </w:pPr>
            <w:r>
              <w:rPr>
                <w:rFonts w:ascii="Arial" w:cs="Arial" w:eastAsia="Arial" w:hAnsi="Arial"/>
                <w:sz w:val="14"/>
                <w:szCs w:val="14"/>
                <w:color w:val="483E65"/>
                <w:w w:val="95"/>
              </w:rPr>
              <w:t>Cause or for Good</w:t>
            </w:r>
          </w:p>
        </w:tc>
        <w:tc>
          <w:tcPr>
            <w:tcW w:w="1120" w:type="dxa"/>
            <w:vAlign w:val="bottom"/>
          </w:tcPr>
          <w:p>
            <w:pPr>
              <w:jc w:val="right"/>
              <w:ind w:right="181"/>
              <w:spacing w:after="0" w:line="145" w:lineRule="exact"/>
              <w:rPr>
                <w:sz w:val="20"/>
                <w:szCs w:val="20"/>
                <w:color w:val="auto"/>
              </w:rPr>
            </w:pPr>
            <w:r>
              <w:rPr>
                <w:rFonts w:ascii="Arial" w:cs="Arial" w:eastAsia="Arial" w:hAnsi="Arial"/>
                <w:sz w:val="14"/>
                <w:szCs w:val="14"/>
                <w:color w:val="483E65"/>
              </w:rPr>
              <w:t>Change in</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55"/>
        </w:trPr>
        <w:tc>
          <w:tcPr>
            <w:tcW w:w="5260" w:type="dxa"/>
            <w:vAlign w:val="bottom"/>
            <w:tcBorders>
              <w:bottom w:val="single" w:sz="8" w:color="483E65"/>
            </w:tcBorders>
          </w:tcPr>
          <w:p>
            <w:pPr>
              <w:spacing w:after="0"/>
              <w:rPr>
                <w:sz w:val="13"/>
                <w:szCs w:val="13"/>
                <w:color w:val="auto"/>
              </w:rPr>
            </w:pPr>
          </w:p>
        </w:tc>
        <w:tc>
          <w:tcPr>
            <w:tcW w:w="1460" w:type="dxa"/>
            <w:vAlign w:val="bottom"/>
            <w:tcBorders>
              <w:bottom w:val="single" w:sz="8" w:color="483E65"/>
            </w:tcBorders>
          </w:tcPr>
          <w:p>
            <w:pPr>
              <w:jc w:val="center"/>
              <w:ind w:right="83"/>
              <w:spacing w:after="0" w:line="155" w:lineRule="exact"/>
              <w:rPr>
                <w:sz w:val="20"/>
                <w:szCs w:val="20"/>
                <w:color w:val="auto"/>
              </w:rPr>
            </w:pPr>
            <w:r>
              <w:rPr>
                <w:rFonts w:ascii="Arial" w:cs="Arial" w:eastAsia="Arial" w:hAnsi="Arial"/>
                <w:sz w:val="11"/>
                <w:szCs w:val="11"/>
                <w:color w:val="483E65"/>
              </w:rPr>
              <w:t>Reason ($)</w:t>
            </w:r>
            <w:r>
              <w:rPr>
                <w:rFonts w:ascii="Arial" w:cs="Arial" w:eastAsia="Arial" w:hAnsi="Arial"/>
                <w:sz w:val="17"/>
                <w:szCs w:val="17"/>
                <w:color w:val="483E65"/>
                <w:vertAlign w:val="superscript"/>
              </w:rPr>
              <w:t>(1)</w:t>
            </w:r>
          </w:p>
        </w:tc>
        <w:tc>
          <w:tcPr>
            <w:tcW w:w="1120" w:type="dxa"/>
            <w:vAlign w:val="bottom"/>
            <w:tcBorders>
              <w:bottom w:val="single" w:sz="8" w:color="483E65"/>
            </w:tcBorders>
          </w:tcPr>
          <w:p>
            <w:pPr>
              <w:jc w:val="right"/>
              <w:ind w:right="81"/>
              <w:spacing w:after="0" w:line="155" w:lineRule="exact"/>
              <w:rPr>
                <w:sz w:val="20"/>
                <w:szCs w:val="20"/>
                <w:color w:val="auto"/>
              </w:rPr>
            </w:pPr>
            <w:r>
              <w:rPr>
                <w:rFonts w:ascii="Arial" w:cs="Arial" w:eastAsia="Arial" w:hAnsi="Arial"/>
                <w:sz w:val="11"/>
                <w:szCs w:val="11"/>
                <w:color w:val="483E65"/>
              </w:rPr>
              <w:t>Control ($)</w:t>
            </w:r>
            <w:r>
              <w:rPr>
                <w:rFonts w:ascii="Arial" w:cs="Arial" w:eastAsia="Arial" w:hAnsi="Arial"/>
                <w:sz w:val="17"/>
                <w:szCs w:val="17"/>
                <w:color w:val="483E65"/>
                <w:vertAlign w:val="superscript"/>
              </w:rPr>
              <w:t>(2)</w:t>
            </w:r>
          </w:p>
        </w:tc>
        <w:tc>
          <w:tcPr>
            <w:tcW w:w="1480" w:type="dxa"/>
            <w:vAlign w:val="bottom"/>
            <w:tcBorders>
              <w:bottom w:val="single" w:sz="8" w:color="483E65"/>
            </w:tcBorders>
          </w:tcPr>
          <w:p>
            <w:pPr>
              <w:jc w:val="right"/>
              <w:ind w:right="197"/>
              <w:spacing w:after="0" w:line="155" w:lineRule="exact"/>
              <w:rPr>
                <w:sz w:val="20"/>
                <w:szCs w:val="20"/>
                <w:color w:val="auto"/>
              </w:rPr>
            </w:pPr>
            <w:r>
              <w:rPr>
                <w:rFonts w:ascii="Arial" w:cs="Arial" w:eastAsia="Arial" w:hAnsi="Arial"/>
                <w:sz w:val="14"/>
                <w:szCs w:val="14"/>
                <w:color w:val="483E65"/>
              </w:rPr>
              <w:t>Death ($)</w:t>
            </w:r>
          </w:p>
        </w:tc>
        <w:tc>
          <w:tcPr>
            <w:tcW w:w="1060" w:type="dxa"/>
            <w:vAlign w:val="bottom"/>
            <w:tcBorders>
              <w:bottom w:val="single" w:sz="8" w:color="483E65"/>
            </w:tcBorders>
          </w:tcPr>
          <w:p>
            <w:pPr>
              <w:jc w:val="right"/>
              <w:ind w:right="117"/>
              <w:spacing w:after="0" w:line="155" w:lineRule="exact"/>
              <w:rPr>
                <w:sz w:val="20"/>
                <w:szCs w:val="20"/>
                <w:color w:val="auto"/>
              </w:rPr>
            </w:pPr>
            <w:r>
              <w:rPr>
                <w:rFonts w:ascii="Arial" w:cs="Arial" w:eastAsia="Arial" w:hAnsi="Arial"/>
                <w:sz w:val="14"/>
                <w:szCs w:val="14"/>
                <w:color w:val="483E65"/>
              </w:rPr>
              <w:t>Disability ($)</w:t>
            </w:r>
          </w:p>
        </w:tc>
      </w:tr>
      <w:tr>
        <w:trPr>
          <w:trHeight w:val="183"/>
        </w:trPr>
        <w:tc>
          <w:tcPr>
            <w:tcW w:w="5260" w:type="dxa"/>
            <w:vAlign w:val="bottom"/>
          </w:tcPr>
          <w:p>
            <w:pPr>
              <w:ind w:left="100"/>
              <w:spacing w:after="0" w:line="184" w:lineRule="exact"/>
              <w:rPr>
                <w:sz w:val="20"/>
                <w:szCs w:val="20"/>
                <w:color w:val="auto"/>
              </w:rPr>
            </w:pPr>
            <w:r>
              <w:rPr>
                <w:rFonts w:ascii="Arial" w:cs="Arial" w:eastAsia="Arial" w:hAnsi="Arial"/>
                <w:sz w:val="17"/>
                <w:szCs w:val="17"/>
                <w:b w:val="1"/>
                <w:bCs w:val="1"/>
                <w:color w:val="auto"/>
              </w:rPr>
              <w:t>Roger A. Krone</w:t>
            </w: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1"/>
        </w:trPr>
        <w:tc>
          <w:tcPr>
            <w:tcW w:w="526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Severance and Pro-rata Bonus</w:t>
            </w:r>
            <w:r>
              <w:rPr>
                <w:rFonts w:ascii="Arial" w:cs="Arial" w:eastAsia="Arial" w:hAnsi="Arial"/>
                <w:sz w:val="14"/>
                <w:szCs w:val="14"/>
                <w:color w:val="auto"/>
              </w:rPr>
              <w:t>(3)</w:t>
            </w:r>
          </w:p>
        </w:tc>
        <w:tc>
          <w:tcPr>
            <w:tcW w:w="1460" w:type="dxa"/>
            <w:vAlign w:val="bottom"/>
            <w:shd w:val="clear" w:color="auto" w:fill="ACABA7"/>
          </w:tcPr>
          <w:p>
            <w:pPr>
              <w:jc w:val="right"/>
              <w:ind w:right="83"/>
              <w:spacing w:after="0" w:line="191" w:lineRule="exact"/>
              <w:rPr>
                <w:sz w:val="20"/>
                <w:szCs w:val="20"/>
                <w:color w:val="auto"/>
              </w:rPr>
            </w:pPr>
            <w:r>
              <w:rPr>
                <w:rFonts w:ascii="Arial" w:cs="Arial" w:eastAsia="Arial" w:hAnsi="Arial"/>
                <w:sz w:val="17"/>
                <w:szCs w:val="17"/>
                <w:color w:val="auto"/>
              </w:rPr>
              <w:t>5,091,423</w:t>
            </w:r>
          </w:p>
        </w:tc>
        <w:tc>
          <w:tcPr>
            <w:tcW w:w="112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9,460,173</w:t>
            </w:r>
          </w:p>
        </w:tc>
        <w:tc>
          <w:tcPr>
            <w:tcW w:w="1480" w:type="dxa"/>
            <w:vAlign w:val="bottom"/>
            <w:shd w:val="clear" w:color="auto" w:fill="ACABA7"/>
          </w:tcPr>
          <w:p>
            <w:pPr>
              <w:jc w:val="right"/>
              <w:ind w:right="17"/>
              <w:spacing w:after="0" w:line="191" w:lineRule="exact"/>
              <w:rPr>
                <w:sz w:val="20"/>
                <w:szCs w:val="20"/>
                <w:color w:val="auto"/>
              </w:rPr>
            </w:pPr>
            <w:r>
              <w:rPr>
                <w:rFonts w:ascii="Arial" w:cs="Arial" w:eastAsia="Arial" w:hAnsi="Arial"/>
                <w:sz w:val="17"/>
                <w:szCs w:val="17"/>
                <w:color w:val="auto"/>
              </w:rPr>
              <w:t>2,178,923</w:t>
            </w:r>
          </w:p>
        </w:tc>
        <w:tc>
          <w:tcPr>
            <w:tcW w:w="1060" w:type="dxa"/>
            <w:vAlign w:val="bottom"/>
            <w:shd w:val="clear" w:color="auto" w:fill="ACABA7"/>
          </w:tcPr>
          <w:p>
            <w:pPr>
              <w:jc w:val="right"/>
              <w:ind w:right="37"/>
              <w:spacing w:after="0" w:line="191" w:lineRule="exact"/>
              <w:rPr>
                <w:sz w:val="20"/>
                <w:szCs w:val="20"/>
                <w:color w:val="auto"/>
              </w:rPr>
            </w:pPr>
            <w:r>
              <w:rPr>
                <w:rFonts w:ascii="Arial" w:cs="Arial" w:eastAsia="Arial" w:hAnsi="Arial"/>
                <w:sz w:val="17"/>
                <w:szCs w:val="17"/>
                <w:color w:val="auto"/>
              </w:rPr>
              <w:t>2,178,923</w:t>
            </w:r>
          </w:p>
        </w:tc>
      </w:tr>
      <w:tr>
        <w:trPr>
          <w:trHeight w:val="191"/>
        </w:trPr>
        <w:tc>
          <w:tcPr>
            <w:tcW w:w="5260" w:type="dxa"/>
            <w:vAlign w:val="bottom"/>
          </w:tcPr>
          <w:p>
            <w:pPr>
              <w:ind w:left="100"/>
              <w:spacing w:after="0" w:line="191" w:lineRule="exact"/>
              <w:rPr>
                <w:sz w:val="20"/>
                <w:szCs w:val="20"/>
                <w:color w:val="auto"/>
              </w:rPr>
            </w:pPr>
            <w:r>
              <w:rPr>
                <w:rFonts w:ascii="Arial" w:cs="Arial" w:eastAsia="Arial" w:hAnsi="Arial"/>
                <w:sz w:val="17"/>
                <w:szCs w:val="17"/>
                <w:color w:val="auto"/>
              </w:rPr>
              <w:t>Restricted Stock Units</w:t>
            </w:r>
            <w:r>
              <w:rPr>
                <w:rFonts w:ascii="Arial" w:cs="Arial" w:eastAsia="Arial" w:hAnsi="Arial"/>
                <w:sz w:val="14"/>
                <w:szCs w:val="14"/>
                <w:color w:val="auto"/>
              </w:rPr>
              <w:t>(4)</w:t>
            </w:r>
          </w:p>
        </w:tc>
        <w:tc>
          <w:tcPr>
            <w:tcW w:w="1460" w:type="dxa"/>
            <w:vAlign w:val="bottom"/>
          </w:tcPr>
          <w:p>
            <w:pPr>
              <w:jc w:val="right"/>
              <w:ind w:right="83"/>
              <w:spacing w:after="0" w:line="191" w:lineRule="exact"/>
              <w:rPr>
                <w:sz w:val="20"/>
                <w:szCs w:val="20"/>
                <w:color w:val="auto"/>
              </w:rPr>
            </w:pPr>
            <w:r>
              <w:rPr>
                <w:rFonts w:ascii="Arial" w:cs="Arial" w:eastAsia="Arial" w:hAnsi="Arial"/>
                <w:sz w:val="17"/>
                <w:szCs w:val="17"/>
                <w:color w:val="auto"/>
              </w:rPr>
              <w:t>3,383,058</w:t>
            </w:r>
          </w:p>
        </w:tc>
        <w:tc>
          <w:tcPr>
            <w:tcW w:w="1120" w:type="dxa"/>
            <w:vAlign w:val="bottom"/>
          </w:tcPr>
          <w:p>
            <w:pPr>
              <w:jc w:val="right"/>
              <w:spacing w:after="0" w:line="191" w:lineRule="exact"/>
              <w:rPr>
                <w:sz w:val="20"/>
                <w:szCs w:val="20"/>
                <w:color w:val="auto"/>
              </w:rPr>
            </w:pPr>
            <w:r>
              <w:rPr>
                <w:rFonts w:ascii="Arial" w:cs="Arial" w:eastAsia="Arial" w:hAnsi="Arial"/>
                <w:sz w:val="17"/>
                <w:szCs w:val="17"/>
                <w:color w:val="auto"/>
              </w:rPr>
              <w:t>9,672,319</w:t>
            </w:r>
          </w:p>
        </w:tc>
        <w:tc>
          <w:tcPr>
            <w:tcW w:w="1480" w:type="dxa"/>
            <w:vAlign w:val="bottom"/>
          </w:tcPr>
          <w:p>
            <w:pPr>
              <w:jc w:val="right"/>
              <w:ind w:right="17"/>
              <w:spacing w:after="0" w:line="191" w:lineRule="exact"/>
              <w:rPr>
                <w:sz w:val="20"/>
                <w:szCs w:val="20"/>
                <w:color w:val="auto"/>
              </w:rPr>
            </w:pPr>
            <w:r>
              <w:rPr>
                <w:rFonts w:ascii="Arial" w:cs="Arial" w:eastAsia="Arial" w:hAnsi="Arial"/>
                <w:sz w:val="17"/>
                <w:szCs w:val="17"/>
                <w:color w:val="auto"/>
              </w:rPr>
              <w:t>9,672,319</w:t>
            </w:r>
          </w:p>
        </w:tc>
        <w:tc>
          <w:tcPr>
            <w:tcW w:w="1060" w:type="dxa"/>
            <w:vAlign w:val="bottom"/>
          </w:tcPr>
          <w:p>
            <w:pPr>
              <w:jc w:val="right"/>
              <w:ind w:right="37"/>
              <w:spacing w:after="0" w:line="191" w:lineRule="exact"/>
              <w:rPr>
                <w:sz w:val="20"/>
                <w:szCs w:val="20"/>
                <w:color w:val="auto"/>
              </w:rPr>
            </w:pPr>
            <w:r>
              <w:rPr>
                <w:rFonts w:ascii="Arial" w:cs="Arial" w:eastAsia="Arial" w:hAnsi="Arial"/>
                <w:sz w:val="17"/>
                <w:szCs w:val="17"/>
                <w:color w:val="auto"/>
              </w:rPr>
              <w:t>9,672,319</w:t>
            </w:r>
          </w:p>
        </w:tc>
      </w:tr>
      <w:tr>
        <w:trPr>
          <w:trHeight w:val="191"/>
        </w:trPr>
        <w:tc>
          <w:tcPr>
            <w:tcW w:w="526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Stock Options</w:t>
            </w:r>
            <w:r>
              <w:rPr>
                <w:rFonts w:ascii="Arial" w:cs="Arial" w:eastAsia="Arial" w:hAnsi="Arial"/>
                <w:sz w:val="14"/>
                <w:szCs w:val="14"/>
                <w:color w:val="auto"/>
              </w:rPr>
              <w:t>(5)</w:t>
            </w:r>
          </w:p>
        </w:tc>
        <w:tc>
          <w:tcPr>
            <w:tcW w:w="1460" w:type="dxa"/>
            <w:vAlign w:val="bottom"/>
            <w:shd w:val="clear" w:color="auto" w:fill="ACABA7"/>
          </w:tcPr>
          <w:p>
            <w:pPr>
              <w:jc w:val="right"/>
              <w:ind w:right="83"/>
              <w:spacing w:after="0" w:line="191" w:lineRule="exact"/>
              <w:rPr>
                <w:sz w:val="20"/>
                <w:szCs w:val="20"/>
                <w:color w:val="auto"/>
              </w:rPr>
            </w:pPr>
            <w:r>
              <w:rPr>
                <w:rFonts w:ascii="Arial" w:cs="Arial" w:eastAsia="Arial" w:hAnsi="Arial"/>
                <w:sz w:val="17"/>
                <w:szCs w:val="17"/>
                <w:color w:val="auto"/>
              </w:rPr>
              <w:t>2,604,777</w:t>
            </w:r>
          </w:p>
        </w:tc>
        <w:tc>
          <w:tcPr>
            <w:tcW w:w="112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11,675,156</w:t>
            </w:r>
          </w:p>
        </w:tc>
        <w:tc>
          <w:tcPr>
            <w:tcW w:w="1480" w:type="dxa"/>
            <w:vAlign w:val="bottom"/>
            <w:shd w:val="clear" w:color="auto" w:fill="ACABA7"/>
          </w:tcPr>
          <w:p>
            <w:pPr>
              <w:jc w:val="right"/>
              <w:ind w:right="17"/>
              <w:spacing w:after="0" w:line="191" w:lineRule="exact"/>
              <w:rPr>
                <w:sz w:val="20"/>
                <w:szCs w:val="20"/>
                <w:color w:val="auto"/>
              </w:rPr>
            </w:pPr>
            <w:r>
              <w:rPr>
                <w:rFonts w:ascii="Arial" w:cs="Arial" w:eastAsia="Arial" w:hAnsi="Arial"/>
                <w:sz w:val="17"/>
                <w:szCs w:val="17"/>
                <w:color w:val="auto"/>
              </w:rPr>
              <w:t>11,675,156</w:t>
            </w:r>
          </w:p>
        </w:tc>
        <w:tc>
          <w:tcPr>
            <w:tcW w:w="1060" w:type="dxa"/>
            <w:vAlign w:val="bottom"/>
            <w:shd w:val="clear" w:color="auto" w:fill="ACABA7"/>
          </w:tcPr>
          <w:p>
            <w:pPr>
              <w:jc w:val="right"/>
              <w:ind w:right="37"/>
              <w:spacing w:after="0" w:line="191" w:lineRule="exact"/>
              <w:rPr>
                <w:sz w:val="20"/>
                <w:szCs w:val="20"/>
                <w:color w:val="auto"/>
              </w:rPr>
            </w:pPr>
            <w:r>
              <w:rPr>
                <w:rFonts w:ascii="Arial" w:cs="Arial" w:eastAsia="Arial" w:hAnsi="Arial"/>
                <w:sz w:val="17"/>
                <w:szCs w:val="17"/>
                <w:color w:val="auto"/>
              </w:rPr>
              <w:t>11,675,156</w:t>
            </w:r>
          </w:p>
        </w:tc>
      </w:tr>
      <w:tr>
        <w:trPr>
          <w:trHeight w:val="191"/>
        </w:trPr>
        <w:tc>
          <w:tcPr>
            <w:tcW w:w="5260" w:type="dxa"/>
            <w:vAlign w:val="bottom"/>
          </w:tcPr>
          <w:p>
            <w:pPr>
              <w:ind w:left="100"/>
              <w:spacing w:after="0" w:line="191" w:lineRule="exact"/>
              <w:rPr>
                <w:sz w:val="20"/>
                <w:szCs w:val="20"/>
                <w:color w:val="auto"/>
              </w:rPr>
            </w:pPr>
            <w:r>
              <w:rPr>
                <w:rFonts w:ascii="Arial" w:cs="Arial" w:eastAsia="Arial" w:hAnsi="Arial"/>
                <w:sz w:val="17"/>
                <w:szCs w:val="17"/>
                <w:color w:val="auto"/>
              </w:rPr>
              <w:t>Performance Share Awards</w:t>
            </w:r>
            <w:r>
              <w:rPr>
                <w:rFonts w:ascii="Arial" w:cs="Arial" w:eastAsia="Arial" w:hAnsi="Arial"/>
                <w:sz w:val="14"/>
                <w:szCs w:val="14"/>
                <w:color w:val="auto"/>
              </w:rPr>
              <w:t>(6)</w:t>
            </w:r>
          </w:p>
        </w:tc>
        <w:tc>
          <w:tcPr>
            <w:tcW w:w="1460" w:type="dxa"/>
            <w:vAlign w:val="bottom"/>
          </w:tcPr>
          <w:p>
            <w:pPr>
              <w:jc w:val="right"/>
              <w:ind w:right="83"/>
              <w:spacing w:after="0" w:line="191" w:lineRule="exact"/>
              <w:rPr>
                <w:sz w:val="20"/>
                <w:szCs w:val="20"/>
                <w:color w:val="auto"/>
              </w:rPr>
            </w:pPr>
            <w:r>
              <w:rPr>
                <w:rFonts w:ascii="Arial" w:cs="Arial" w:eastAsia="Arial" w:hAnsi="Arial"/>
                <w:sz w:val="17"/>
                <w:szCs w:val="17"/>
                <w:color w:val="auto"/>
              </w:rPr>
              <w:t>12,856,947</w:t>
            </w:r>
          </w:p>
        </w:tc>
        <w:tc>
          <w:tcPr>
            <w:tcW w:w="1120" w:type="dxa"/>
            <w:vAlign w:val="bottom"/>
          </w:tcPr>
          <w:p>
            <w:pPr>
              <w:jc w:val="right"/>
              <w:spacing w:after="0" w:line="191" w:lineRule="exact"/>
              <w:rPr>
                <w:sz w:val="20"/>
                <w:szCs w:val="20"/>
                <w:color w:val="auto"/>
              </w:rPr>
            </w:pPr>
            <w:r>
              <w:rPr>
                <w:rFonts w:ascii="Arial" w:cs="Arial" w:eastAsia="Arial" w:hAnsi="Arial"/>
                <w:sz w:val="17"/>
                <w:szCs w:val="17"/>
                <w:color w:val="auto"/>
              </w:rPr>
              <w:t>19,332,453</w:t>
            </w:r>
          </w:p>
        </w:tc>
        <w:tc>
          <w:tcPr>
            <w:tcW w:w="1480" w:type="dxa"/>
            <w:vAlign w:val="bottom"/>
          </w:tcPr>
          <w:p>
            <w:pPr>
              <w:jc w:val="right"/>
              <w:ind w:right="17"/>
              <w:spacing w:after="0" w:line="191" w:lineRule="exact"/>
              <w:rPr>
                <w:sz w:val="20"/>
                <w:szCs w:val="20"/>
                <w:color w:val="auto"/>
              </w:rPr>
            </w:pPr>
            <w:r>
              <w:rPr>
                <w:rFonts w:ascii="Arial" w:cs="Arial" w:eastAsia="Arial" w:hAnsi="Arial"/>
                <w:sz w:val="17"/>
                <w:szCs w:val="17"/>
                <w:color w:val="auto"/>
              </w:rPr>
              <w:t>17,536,314</w:t>
            </w:r>
          </w:p>
        </w:tc>
        <w:tc>
          <w:tcPr>
            <w:tcW w:w="1060" w:type="dxa"/>
            <w:vAlign w:val="bottom"/>
          </w:tcPr>
          <w:p>
            <w:pPr>
              <w:jc w:val="right"/>
              <w:ind w:right="37"/>
              <w:spacing w:after="0" w:line="191" w:lineRule="exact"/>
              <w:rPr>
                <w:sz w:val="20"/>
                <w:szCs w:val="20"/>
                <w:color w:val="auto"/>
              </w:rPr>
            </w:pPr>
            <w:r>
              <w:rPr>
                <w:rFonts w:ascii="Arial" w:cs="Arial" w:eastAsia="Arial" w:hAnsi="Arial"/>
                <w:sz w:val="17"/>
                <w:szCs w:val="17"/>
                <w:color w:val="auto"/>
              </w:rPr>
              <w:t>12,856,947</w:t>
            </w:r>
          </w:p>
        </w:tc>
      </w:tr>
      <w:tr>
        <w:trPr>
          <w:trHeight w:val="191"/>
        </w:trPr>
        <w:tc>
          <w:tcPr>
            <w:tcW w:w="526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Benefits &amp; Perquisites</w:t>
            </w:r>
            <w:r>
              <w:rPr>
                <w:rFonts w:ascii="Arial" w:cs="Arial" w:eastAsia="Arial" w:hAnsi="Arial"/>
                <w:sz w:val="14"/>
                <w:szCs w:val="14"/>
                <w:color w:val="auto"/>
              </w:rPr>
              <w:t>(7)</w:t>
            </w:r>
          </w:p>
        </w:tc>
        <w:tc>
          <w:tcPr>
            <w:tcW w:w="1460" w:type="dxa"/>
            <w:vAlign w:val="bottom"/>
            <w:shd w:val="clear" w:color="auto" w:fill="ACABA7"/>
          </w:tcPr>
          <w:p>
            <w:pPr>
              <w:jc w:val="right"/>
              <w:ind w:right="83"/>
              <w:spacing w:after="0" w:line="191" w:lineRule="exact"/>
              <w:rPr>
                <w:sz w:val="20"/>
                <w:szCs w:val="20"/>
                <w:color w:val="auto"/>
              </w:rPr>
            </w:pPr>
            <w:r>
              <w:rPr>
                <w:rFonts w:ascii="Arial" w:cs="Arial" w:eastAsia="Arial" w:hAnsi="Arial"/>
                <w:sz w:val="17"/>
                <w:szCs w:val="17"/>
                <w:color w:val="auto"/>
              </w:rPr>
              <w:t>30,514</w:t>
            </w:r>
          </w:p>
        </w:tc>
        <w:tc>
          <w:tcPr>
            <w:tcW w:w="112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201,843</w:t>
            </w:r>
          </w:p>
        </w:tc>
        <w:tc>
          <w:tcPr>
            <w:tcW w:w="1480" w:type="dxa"/>
            <w:vAlign w:val="bottom"/>
            <w:shd w:val="clear" w:color="auto" w:fill="ACABA7"/>
          </w:tcPr>
          <w:p>
            <w:pPr>
              <w:jc w:val="right"/>
              <w:ind w:right="17"/>
              <w:spacing w:after="0" w:line="191" w:lineRule="exact"/>
              <w:rPr>
                <w:sz w:val="20"/>
                <w:szCs w:val="20"/>
                <w:color w:val="auto"/>
              </w:rPr>
            </w:pPr>
            <w:r>
              <w:rPr>
                <w:rFonts w:ascii="Arial" w:cs="Arial" w:eastAsia="Arial" w:hAnsi="Arial"/>
                <w:sz w:val="17"/>
                <w:szCs w:val="17"/>
                <w:color w:val="auto"/>
              </w:rPr>
              <w:t>—</w:t>
            </w:r>
          </w:p>
        </w:tc>
        <w:tc>
          <w:tcPr>
            <w:tcW w:w="1060" w:type="dxa"/>
            <w:vAlign w:val="bottom"/>
            <w:shd w:val="clear" w:color="auto" w:fill="ACABA7"/>
          </w:tcPr>
          <w:p>
            <w:pPr>
              <w:jc w:val="right"/>
              <w:ind w:right="37"/>
              <w:spacing w:after="0" w:line="191" w:lineRule="exact"/>
              <w:rPr>
                <w:sz w:val="20"/>
                <w:szCs w:val="20"/>
                <w:color w:val="auto"/>
              </w:rPr>
            </w:pPr>
            <w:r>
              <w:rPr>
                <w:rFonts w:ascii="Arial" w:cs="Arial" w:eastAsia="Arial" w:hAnsi="Arial"/>
                <w:sz w:val="17"/>
                <w:szCs w:val="17"/>
                <w:color w:val="auto"/>
              </w:rPr>
              <w:t>—</w:t>
            </w:r>
          </w:p>
        </w:tc>
      </w:tr>
      <w:tr>
        <w:trPr>
          <w:trHeight w:val="191"/>
        </w:trPr>
        <w:tc>
          <w:tcPr>
            <w:tcW w:w="5260" w:type="dxa"/>
            <w:vAlign w:val="bottom"/>
            <w:tcBorders>
              <w:bottom w:val="single" w:sz="8" w:color="483E65"/>
            </w:tcBorders>
          </w:tcPr>
          <w:p>
            <w:pPr>
              <w:ind w:left="80"/>
              <w:spacing w:after="0" w:line="191" w:lineRule="exact"/>
              <w:rPr>
                <w:sz w:val="20"/>
                <w:szCs w:val="20"/>
                <w:color w:val="auto"/>
              </w:rPr>
            </w:pPr>
            <w:r>
              <w:rPr>
                <w:rFonts w:ascii="Arial" w:cs="Arial" w:eastAsia="Arial" w:hAnsi="Arial"/>
                <w:sz w:val="17"/>
                <w:szCs w:val="17"/>
                <w:color w:val="auto"/>
              </w:rPr>
              <w:t>Applicable Scaleback</w:t>
            </w:r>
            <w:r>
              <w:rPr>
                <w:rFonts w:ascii="Arial" w:cs="Arial" w:eastAsia="Arial" w:hAnsi="Arial"/>
                <w:sz w:val="14"/>
                <w:szCs w:val="14"/>
                <w:color w:val="auto"/>
              </w:rPr>
              <w:t>(8)</w:t>
            </w:r>
          </w:p>
        </w:tc>
        <w:tc>
          <w:tcPr>
            <w:tcW w:w="1460" w:type="dxa"/>
            <w:vAlign w:val="bottom"/>
            <w:tcBorders>
              <w:bottom w:val="single" w:sz="8" w:color="483E65"/>
            </w:tcBorders>
          </w:tcPr>
          <w:p>
            <w:pPr>
              <w:jc w:val="right"/>
              <w:ind w:right="83"/>
              <w:spacing w:after="0" w:line="191" w:lineRule="exact"/>
              <w:rPr>
                <w:sz w:val="20"/>
                <w:szCs w:val="20"/>
                <w:color w:val="auto"/>
              </w:rPr>
            </w:pPr>
            <w:r>
              <w:rPr>
                <w:rFonts w:ascii="Arial" w:cs="Arial" w:eastAsia="Arial" w:hAnsi="Arial"/>
                <w:sz w:val="17"/>
                <w:szCs w:val="17"/>
                <w:color w:val="auto"/>
              </w:rPr>
              <w:t>N/A</w:t>
            </w:r>
          </w:p>
        </w:tc>
        <w:tc>
          <w:tcPr>
            <w:tcW w:w="1120" w:type="dxa"/>
            <w:vAlign w:val="bottom"/>
            <w:tcBorders>
              <w:bottom w:val="single" w:sz="8" w:color="483E65"/>
            </w:tcBorders>
          </w:tcPr>
          <w:p>
            <w:pPr>
              <w:jc w:val="right"/>
              <w:spacing w:after="0" w:line="191" w:lineRule="exact"/>
              <w:rPr>
                <w:sz w:val="20"/>
                <w:szCs w:val="20"/>
                <w:color w:val="auto"/>
              </w:rPr>
            </w:pPr>
            <w:r>
              <w:rPr>
                <w:rFonts w:ascii="Arial" w:cs="Arial" w:eastAsia="Arial" w:hAnsi="Arial"/>
                <w:sz w:val="17"/>
                <w:szCs w:val="17"/>
                <w:color w:val="auto"/>
              </w:rPr>
              <w:t>—</w:t>
            </w:r>
          </w:p>
        </w:tc>
        <w:tc>
          <w:tcPr>
            <w:tcW w:w="1480" w:type="dxa"/>
            <w:vAlign w:val="bottom"/>
            <w:tcBorders>
              <w:bottom w:val="single" w:sz="8" w:color="483E65"/>
            </w:tcBorders>
          </w:tcPr>
          <w:p>
            <w:pPr>
              <w:jc w:val="right"/>
              <w:ind w:right="17"/>
              <w:spacing w:after="0" w:line="191" w:lineRule="exact"/>
              <w:rPr>
                <w:sz w:val="20"/>
                <w:szCs w:val="20"/>
                <w:color w:val="auto"/>
              </w:rPr>
            </w:pPr>
            <w:r>
              <w:rPr>
                <w:rFonts w:ascii="Arial" w:cs="Arial" w:eastAsia="Arial" w:hAnsi="Arial"/>
                <w:sz w:val="17"/>
                <w:szCs w:val="17"/>
                <w:color w:val="auto"/>
              </w:rPr>
              <w:t>N/A</w:t>
            </w:r>
          </w:p>
        </w:tc>
        <w:tc>
          <w:tcPr>
            <w:tcW w:w="1060" w:type="dxa"/>
            <w:vAlign w:val="bottom"/>
            <w:tcBorders>
              <w:bottom w:val="single" w:sz="8" w:color="483E65"/>
            </w:tcBorders>
          </w:tcPr>
          <w:p>
            <w:pPr>
              <w:jc w:val="right"/>
              <w:ind w:right="37"/>
              <w:spacing w:after="0" w:line="191" w:lineRule="exact"/>
              <w:rPr>
                <w:sz w:val="20"/>
                <w:szCs w:val="20"/>
                <w:color w:val="auto"/>
              </w:rPr>
            </w:pPr>
            <w:r>
              <w:rPr>
                <w:rFonts w:ascii="Arial" w:cs="Arial" w:eastAsia="Arial" w:hAnsi="Arial"/>
                <w:sz w:val="17"/>
                <w:szCs w:val="17"/>
                <w:color w:val="auto"/>
              </w:rPr>
              <w:t>N/A</w:t>
            </w:r>
          </w:p>
        </w:tc>
      </w:tr>
      <w:tr>
        <w:trPr>
          <w:trHeight w:val="183"/>
        </w:trPr>
        <w:tc>
          <w:tcPr>
            <w:tcW w:w="5260" w:type="dxa"/>
            <w:vAlign w:val="bottom"/>
            <w:tcBorders>
              <w:bottom w:val="single" w:sz="8" w:color="483E65"/>
            </w:tcBorders>
            <w:shd w:val="clear" w:color="auto" w:fill="ACABA7"/>
          </w:tcPr>
          <w:p>
            <w:pPr>
              <w:ind w:left="100"/>
              <w:spacing w:after="0" w:line="184" w:lineRule="exact"/>
              <w:rPr>
                <w:sz w:val="20"/>
                <w:szCs w:val="20"/>
                <w:color w:val="auto"/>
              </w:rPr>
            </w:pPr>
            <w:r>
              <w:rPr>
                <w:rFonts w:ascii="Arial" w:cs="Arial" w:eastAsia="Arial" w:hAnsi="Arial"/>
                <w:sz w:val="17"/>
                <w:szCs w:val="17"/>
                <w:color w:val="auto"/>
              </w:rPr>
              <w:t>Total</w:t>
            </w:r>
            <w:r>
              <w:rPr>
                <w:rFonts w:ascii="Arial" w:cs="Arial" w:eastAsia="Arial" w:hAnsi="Arial"/>
                <w:sz w:val="14"/>
                <w:szCs w:val="14"/>
                <w:color w:val="auto"/>
              </w:rPr>
              <w:t>(9)</w:t>
            </w:r>
          </w:p>
        </w:tc>
        <w:tc>
          <w:tcPr>
            <w:tcW w:w="1460" w:type="dxa"/>
            <w:vAlign w:val="bottom"/>
            <w:tcBorders>
              <w:bottom w:val="single" w:sz="8" w:color="483E65"/>
            </w:tcBorders>
            <w:shd w:val="clear" w:color="auto" w:fill="ACABA7"/>
          </w:tcPr>
          <w:p>
            <w:pPr>
              <w:jc w:val="right"/>
              <w:ind w:right="83"/>
              <w:spacing w:after="0" w:line="184" w:lineRule="exact"/>
              <w:rPr>
                <w:sz w:val="20"/>
                <w:szCs w:val="20"/>
                <w:color w:val="auto"/>
              </w:rPr>
            </w:pPr>
            <w:r>
              <w:rPr>
                <w:rFonts w:ascii="Arial" w:cs="Arial" w:eastAsia="Arial" w:hAnsi="Arial"/>
                <w:sz w:val="17"/>
                <w:szCs w:val="17"/>
                <w:color w:val="auto"/>
              </w:rPr>
              <w:t>23,495,291</w:t>
            </w:r>
          </w:p>
        </w:tc>
        <w:tc>
          <w:tcPr>
            <w:tcW w:w="1120" w:type="dxa"/>
            <w:vAlign w:val="bottom"/>
            <w:tcBorders>
              <w:bottom w:val="single" w:sz="8" w:color="483E65"/>
            </w:tcBorders>
            <w:shd w:val="clear" w:color="auto" w:fill="ACABA7"/>
          </w:tcPr>
          <w:p>
            <w:pPr>
              <w:jc w:val="right"/>
              <w:spacing w:after="0" w:line="184" w:lineRule="exact"/>
              <w:rPr>
                <w:sz w:val="20"/>
                <w:szCs w:val="20"/>
                <w:color w:val="auto"/>
              </w:rPr>
            </w:pPr>
            <w:r>
              <w:rPr>
                <w:rFonts w:ascii="Arial" w:cs="Arial" w:eastAsia="Arial" w:hAnsi="Arial"/>
                <w:sz w:val="17"/>
                <w:szCs w:val="17"/>
                <w:color w:val="auto"/>
              </w:rPr>
              <w:t>49,870,515</w:t>
            </w:r>
          </w:p>
        </w:tc>
        <w:tc>
          <w:tcPr>
            <w:tcW w:w="1480" w:type="dxa"/>
            <w:vAlign w:val="bottom"/>
            <w:tcBorders>
              <w:bottom w:val="single" w:sz="8" w:color="483E65"/>
            </w:tcBorders>
            <w:shd w:val="clear" w:color="auto" w:fill="ACABA7"/>
          </w:tcPr>
          <w:p>
            <w:pPr>
              <w:jc w:val="right"/>
              <w:ind w:right="17"/>
              <w:spacing w:after="0" w:line="184" w:lineRule="exact"/>
              <w:rPr>
                <w:sz w:val="20"/>
                <w:szCs w:val="20"/>
                <w:color w:val="auto"/>
              </w:rPr>
            </w:pPr>
            <w:r>
              <w:rPr>
                <w:rFonts w:ascii="Arial" w:cs="Arial" w:eastAsia="Arial" w:hAnsi="Arial"/>
                <w:sz w:val="17"/>
                <w:szCs w:val="17"/>
                <w:color w:val="auto"/>
              </w:rPr>
              <w:t>40,591,284</w:t>
            </w:r>
          </w:p>
        </w:tc>
        <w:tc>
          <w:tcPr>
            <w:tcW w:w="1060" w:type="dxa"/>
            <w:vAlign w:val="bottom"/>
            <w:tcBorders>
              <w:bottom w:val="single" w:sz="8" w:color="483E65"/>
            </w:tcBorders>
            <w:shd w:val="clear" w:color="auto" w:fill="ACABA7"/>
          </w:tcPr>
          <w:p>
            <w:pPr>
              <w:jc w:val="right"/>
              <w:ind w:right="37"/>
              <w:spacing w:after="0" w:line="184" w:lineRule="exact"/>
              <w:rPr>
                <w:sz w:val="20"/>
                <w:szCs w:val="20"/>
                <w:color w:val="auto"/>
              </w:rPr>
            </w:pPr>
            <w:r>
              <w:rPr>
                <w:rFonts w:ascii="Arial" w:cs="Arial" w:eastAsia="Arial" w:hAnsi="Arial"/>
                <w:sz w:val="17"/>
                <w:szCs w:val="17"/>
                <w:color w:val="auto"/>
              </w:rPr>
              <w:t>35,911,917</w:t>
            </w:r>
          </w:p>
        </w:tc>
      </w:tr>
    </w:tbl>
    <w:p>
      <w:pPr>
        <w:spacing w:after="0" w:line="124" w:lineRule="exact"/>
        <w:rPr>
          <w:sz w:val="20"/>
          <w:szCs w:val="20"/>
          <w:color w:val="auto"/>
        </w:r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38</w:t>
        <w:tab/>
        <w:t>|</w:t>
        <w:tab/>
        <w:t>2020 Proxy Statement</w:t>
      </w:r>
    </w:p>
    <w:p>
      <w:pPr>
        <w:sectPr>
          <w:pgSz w:w="11900" w:h="16838" w:orient="portrait"/>
          <w:cols w:equalWidth="0" w:num="1">
            <w:col w:w="10820"/>
          </w:cols>
          <w:pgMar w:left="320" w:top="441" w:right="759" w:bottom="1440" w:gutter="0" w:footer="0" w:header="0"/>
          <w:type w:val="continuous"/>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8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580" w:type="dxa"/>
            <w:vAlign w:val="bottom"/>
            <w:tcBorders>
              <w:bottom w:val="single" w:sz="8" w:color="483E65"/>
            </w:tcBorders>
            <w:gridSpan w:val="2"/>
          </w:tcPr>
          <w:p>
            <w:pPr>
              <w:jc w:val="right"/>
              <w:ind w:right="77"/>
              <w:spacing w:after="0"/>
              <w:rPr>
                <w:sz w:val="20"/>
                <w:szCs w:val="20"/>
                <w:color w:val="auto"/>
              </w:rPr>
            </w:pPr>
            <w:r>
              <w:rPr>
                <w:rFonts w:ascii="Arial" w:cs="Arial" w:eastAsia="Arial" w:hAnsi="Arial"/>
                <w:sz w:val="14"/>
                <w:szCs w:val="14"/>
                <w:color w:val="483E65"/>
              </w:rPr>
              <w:t>Involuntary Termination/Good Reason</w:t>
            </w: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0"/>
        </w:trPr>
        <w:tc>
          <w:tcPr>
            <w:tcW w:w="5440" w:type="dxa"/>
            <w:vAlign w:val="bottom"/>
          </w:tcPr>
          <w:p>
            <w:pPr>
              <w:spacing w:after="0"/>
              <w:rPr>
                <w:sz w:val="13"/>
                <w:szCs w:val="13"/>
                <w:color w:val="auto"/>
              </w:rPr>
            </w:pPr>
          </w:p>
        </w:tc>
        <w:tc>
          <w:tcPr>
            <w:tcW w:w="1480" w:type="dxa"/>
            <w:vAlign w:val="bottom"/>
          </w:tcPr>
          <w:p>
            <w:pPr>
              <w:jc w:val="center"/>
              <w:ind w:right="98"/>
              <w:spacing w:after="0" w:line="150" w:lineRule="exact"/>
              <w:rPr>
                <w:sz w:val="20"/>
                <w:szCs w:val="20"/>
                <w:color w:val="auto"/>
              </w:rPr>
            </w:pPr>
            <w:r>
              <w:rPr>
                <w:rFonts w:ascii="Arial" w:cs="Arial" w:eastAsia="Arial" w:hAnsi="Arial"/>
                <w:sz w:val="14"/>
                <w:szCs w:val="14"/>
                <w:color w:val="483E65"/>
                <w:w w:val="96"/>
              </w:rPr>
              <w:t>Without</w:t>
            </w:r>
          </w:p>
        </w:tc>
        <w:tc>
          <w:tcPr>
            <w:tcW w:w="1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45"/>
        </w:trPr>
        <w:tc>
          <w:tcPr>
            <w:tcW w:w="5440" w:type="dxa"/>
            <w:vAlign w:val="bottom"/>
          </w:tcPr>
          <w:p>
            <w:pPr>
              <w:spacing w:after="0"/>
              <w:rPr>
                <w:sz w:val="12"/>
                <w:szCs w:val="12"/>
                <w:color w:val="auto"/>
              </w:rPr>
            </w:pPr>
          </w:p>
        </w:tc>
        <w:tc>
          <w:tcPr>
            <w:tcW w:w="1480" w:type="dxa"/>
            <w:vAlign w:val="bottom"/>
          </w:tcPr>
          <w:p>
            <w:pPr>
              <w:jc w:val="center"/>
              <w:ind w:right="78"/>
              <w:spacing w:after="0" w:line="145" w:lineRule="exact"/>
              <w:rPr>
                <w:sz w:val="20"/>
                <w:szCs w:val="20"/>
                <w:color w:val="auto"/>
              </w:rPr>
            </w:pPr>
            <w:r>
              <w:rPr>
                <w:rFonts w:ascii="Arial" w:cs="Arial" w:eastAsia="Arial" w:hAnsi="Arial"/>
                <w:sz w:val="14"/>
                <w:szCs w:val="14"/>
                <w:color w:val="483E65"/>
                <w:w w:val="97"/>
              </w:rPr>
              <w:t>Cause or for Good</w:t>
            </w:r>
          </w:p>
        </w:tc>
        <w:tc>
          <w:tcPr>
            <w:tcW w:w="1100" w:type="dxa"/>
            <w:vAlign w:val="bottom"/>
          </w:tcPr>
          <w:p>
            <w:pPr>
              <w:jc w:val="right"/>
              <w:ind w:right="157"/>
              <w:spacing w:after="0" w:line="145" w:lineRule="exact"/>
              <w:rPr>
                <w:sz w:val="20"/>
                <w:szCs w:val="20"/>
                <w:color w:val="auto"/>
              </w:rPr>
            </w:pPr>
            <w:r>
              <w:rPr>
                <w:rFonts w:ascii="Arial" w:cs="Arial" w:eastAsia="Arial" w:hAnsi="Arial"/>
                <w:sz w:val="14"/>
                <w:szCs w:val="14"/>
                <w:color w:val="483E65"/>
              </w:rPr>
              <w:t>Change in</w:t>
            </w:r>
          </w:p>
        </w:tc>
        <w:tc>
          <w:tcPr>
            <w:tcW w:w="13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55"/>
        </w:trPr>
        <w:tc>
          <w:tcPr>
            <w:tcW w:w="5440" w:type="dxa"/>
            <w:vAlign w:val="bottom"/>
            <w:tcBorders>
              <w:bottom w:val="single" w:sz="8" w:color="483E65"/>
            </w:tcBorders>
          </w:tcPr>
          <w:p>
            <w:pPr>
              <w:spacing w:after="0"/>
              <w:rPr>
                <w:sz w:val="13"/>
                <w:szCs w:val="13"/>
                <w:color w:val="auto"/>
              </w:rPr>
            </w:pPr>
          </w:p>
        </w:tc>
        <w:tc>
          <w:tcPr>
            <w:tcW w:w="1480" w:type="dxa"/>
            <w:vAlign w:val="bottom"/>
            <w:tcBorders>
              <w:bottom w:val="single" w:sz="8" w:color="483E65"/>
            </w:tcBorders>
          </w:tcPr>
          <w:p>
            <w:pPr>
              <w:jc w:val="center"/>
              <w:ind w:right="78"/>
              <w:spacing w:after="0" w:line="155" w:lineRule="exact"/>
              <w:rPr>
                <w:sz w:val="20"/>
                <w:szCs w:val="20"/>
                <w:color w:val="auto"/>
              </w:rPr>
            </w:pPr>
            <w:r>
              <w:rPr>
                <w:rFonts w:ascii="Arial" w:cs="Arial" w:eastAsia="Arial" w:hAnsi="Arial"/>
                <w:sz w:val="11"/>
                <w:szCs w:val="11"/>
                <w:color w:val="483E65"/>
              </w:rPr>
              <w:t>Reason ($)</w:t>
            </w:r>
            <w:r>
              <w:rPr>
                <w:rFonts w:ascii="Arial" w:cs="Arial" w:eastAsia="Arial" w:hAnsi="Arial"/>
                <w:sz w:val="17"/>
                <w:szCs w:val="17"/>
                <w:color w:val="483E65"/>
                <w:vertAlign w:val="superscript"/>
              </w:rPr>
              <w:t>(1)</w:t>
            </w:r>
          </w:p>
        </w:tc>
        <w:tc>
          <w:tcPr>
            <w:tcW w:w="1100" w:type="dxa"/>
            <w:vAlign w:val="bottom"/>
            <w:tcBorders>
              <w:bottom w:val="single" w:sz="8" w:color="483E65"/>
            </w:tcBorders>
          </w:tcPr>
          <w:p>
            <w:pPr>
              <w:jc w:val="right"/>
              <w:ind w:right="77"/>
              <w:spacing w:after="0" w:line="155" w:lineRule="exact"/>
              <w:rPr>
                <w:sz w:val="20"/>
                <w:szCs w:val="20"/>
                <w:color w:val="auto"/>
              </w:rPr>
            </w:pPr>
            <w:r>
              <w:rPr>
                <w:rFonts w:ascii="Arial" w:cs="Arial" w:eastAsia="Arial" w:hAnsi="Arial"/>
                <w:sz w:val="11"/>
                <w:szCs w:val="11"/>
                <w:color w:val="483E65"/>
              </w:rPr>
              <w:t>Control ($)</w:t>
            </w:r>
            <w:r>
              <w:rPr>
                <w:rFonts w:ascii="Arial" w:cs="Arial" w:eastAsia="Arial" w:hAnsi="Arial"/>
                <w:sz w:val="17"/>
                <w:szCs w:val="17"/>
                <w:color w:val="483E65"/>
                <w:vertAlign w:val="superscript"/>
              </w:rPr>
              <w:t>(2)</w:t>
            </w:r>
          </w:p>
        </w:tc>
        <w:tc>
          <w:tcPr>
            <w:tcW w:w="1380" w:type="dxa"/>
            <w:vAlign w:val="bottom"/>
            <w:tcBorders>
              <w:bottom w:val="single" w:sz="8" w:color="483E65"/>
            </w:tcBorders>
          </w:tcPr>
          <w:p>
            <w:pPr>
              <w:jc w:val="right"/>
              <w:ind w:right="136"/>
              <w:spacing w:after="0" w:line="155" w:lineRule="exact"/>
              <w:rPr>
                <w:sz w:val="20"/>
                <w:szCs w:val="20"/>
                <w:color w:val="auto"/>
              </w:rPr>
            </w:pPr>
            <w:r>
              <w:rPr>
                <w:rFonts w:ascii="Arial" w:cs="Arial" w:eastAsia="Arial" w:hAnsi="Arial"/>
                <w:sz w:val="14"/>
                <w:szCs w:val="14"/>
                <w:color w:val="483E65"/>
              </w:rPr>
              <w:t>Death ($)</w:t>
            </w:r>
          </w:p>
        </w:tc>
        <w:tc>
          <w:tcPr>
            <w:tcW w:w="980" w:type="dxa"/>
            <w:vAlign w:val="bottom"/>
            <w:tcBorders>
              <w:bottom w:val="single" w:sz="8" w:color="483E65"/>
            </w:tcBorders>
          </w:tcPr>
          <w:p>
            <w:pPr>
              <w:jc w:val="right"/>
              <w:ind w:right="56"/>
              <w:spacing w:after="0" w:line="155" w:lineRule="exact"/>
              <w:rPr>
                <w:sz w:val="20"/>
                <w:szCs w:val="20"/>
                <w:color w:val="auto"/>
              </w:rPr>
            </w:pPr>
            <w:r>
              <w:rPr>
                <w:rFonts w:ascii="Arial" w:cs="Arial" w:eastAsia="Arial" w:hAnsi="Arial"/>
                <w:sz w:val="14"/>
                <w:szCs w:val="14"/>
                <w:color w:val="483E65"/>
              </w:rPr>
              <w:t>Disability ($)</w:t>
            </w:r>
          </w:p>
        </w:tc>
      </w:tr>
      <w:tr>
        <w:trPr>
          <w:trHeight w:val="183"/>
        </w:trPr>
        <w:tc>
          <w:tcPr>
            <w:tcW w:w="5440" w:type="dxa"/>
            <w:vAlign w:val="bottom"/>
          </w:tcPr>
          <w:p>
            <w:pPr>
              <w:ind w:left="100"/>
              <w:spacing w:after="0" w:line="184" w:lineRule="exact"/>
              <w:rPr>
                <w:sz w:val="20"/>
                <w:szCs w:val="20"/>
                <w:color w:val="auto"/>
              </w:rPr>
            </w:pPr>
            <w:r>
              <w:rPr>
                <w:rFonts w:ascii="Arial" w:cs="Arial" w:eastAsia="Arial" w:hAnsi="Arial"/>
                <w:sz w:val="17"/>
                <w:szCs w:val="17"/>
                <w:b w:val="1"/>
                <w:bCs w:val="1"/>
                <w:color w:val="auto"/>
              </w:rPr>
              <w:t>James C. Reagan</w:t>
            </w:r>
          </w:p>
        </w:tc>
        <w:tc>
          <w:tcPr>
            <w:tcW w:w="1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1"/>
        </w:trPr>
        <w:tc>
          <w:tcPr>
            <w:tcW w:w="544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Severance and Pro-rata Bonus</w:t>
            </w:r>
            <w:r>
              <w:rPr>
                <w:rFonts w:ascii="Arial" w:cs="Arial" w:eastAsia="Arial" w:hAnsi="Arial"/>
                <w:sz w:val="14"/>
                <w:szCs w:val="14"/>
                <w:color w:val="auto"/>
              </w:rPr>
              <w:t>(3)</w:t>
            </w:r>
          </w:p>
        </w:tc>
        <w:tc>
          <w:tcPr>
            <w:tcW w:w="1480" w:type="dxa"/>
            <w:vAlign w:val="bottom"/>
            <w:shd w:val="clear" w:color="auto" w:fill="ACABA7"/>
          </w:tcPr>
          <w:p>
            <w:pPr>
              <w:jc w:val="right"/>
              <w:ind w:right="78"/>
              <w:spacing w:after="0" w:line="191" w:lineRule="exact"/>
              <w:rPr>
                <w:sz w:val="20"/>
                <w:szCs w:val="20"/>
                <w:color w:val="auto"/>
              </w:rPr>
            </w:pPr>
            <w:r>
              <w:rPr>
                <w:rFonts w:ascii="Arial" w:cs="Arial" w:eastAsia="Arial" w:hAnsi="Arial"/>
                <w:sz w:val="17"/>
                <w:szCs w:val="17"/>
                <w:color w:val="auto"/>
              </w:rPr>
              <w:t>1,431,603</w:t>
            </w:r>
          </w:p>
        </w:tc>
        <w:tc>
          <w:tcPr>
            <w:tcW w:w="110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2,560,000</w:t>
            </w:r>
          </w:p>
        </w:tc>
        <w:tc>
          <w:tcPr>
            <w:tcW w:w="1380" w:type="dxa"/>
            <w:vAlign w:val="bottom"/>
            <w:shd w:val="clear" w:color="auto" w:fill="ACABA7"/>
          </w:tcPr>
          <w:p>
            <w:pPr>
              <w:jc w:val="right"/>
              <w:ind w:right="16"/>
              <w:spacing w:after="0" w:line="191" w:lineRule="exact"/>
              <w:rPr>
                <w:sz w:val="20"/>
                <w:szCs w:val="20"/>
                <w:color w:val="auto"/>
              </w:rPr>
            </w:pPr>
            <w:r>
              <w:rPr>
                <w:rFonts w:ascii="Arial" w:cs="Arial" w:eastAsia="Arial" w:hAnsi="Arial"/>
                <w:sz w:val="17"/>
                <w:szCs w:val="17"/>
                <w:color w:val="auto"/>
              </w:rPr>
              <w:t>791,603</w:t>
            </w:r>
          </w:p>
        </w:tc>
        <w:tc>
          <w:tcPr>
            <w:tcW w:w="980" w:type="dxa"/>
            <w:vAlign w:val="bottom"/>
            <w:shd w:val="clear" w:color="auto" w:fill="ACABA7"/>
          </w:tcPr>
          <w:p>
            <w:pPr>
              <w:jc w:val="right"/>
              <w:ind w:right="36"/>
              <w:spacing w:after="0" w:line="191" w:lineRule="exact"/>
              <w:rPr>
                <w:sz w:val="20"/>
                <w:szCs w:val="20"/>
                <w:color w:val="auto"/>
              </w:rPr>
            </w:pPr>
            <w:r>
              <w:rPr>
                <w:rFonts w:ascii="Arial" w:cs="Arial" w:eastAsia="Arial" w:hAnsi="Arial"/>
                <w:sz w:val="17"/>
                <w:szCs w:val="17"/>
                <w:color w:val="auto"/>
              </w:rPr>
              <w:t>791,603</w:t>
            </w:r>
          </w:p>
        </w:tc>
      </w:tr>
      <w:tr>
        <w:trPr>
          <w:trHeight w:val="191"/>
        </w:trPr>
        <w:tc>
          <w:tcPr>
            <w:tcW w:w="5440" w:type="dxa"/>
            <w:vAlign w:val="bottom"/>
          </w:tcPr>
          <w:p>
            <w:pPr>
              <w:ind w:left="100"/>
              <w:spacing w:after="0" w:line="191" w:lineRule="exact"/>
              <w:rPr>
                <w:sz w:val="20"/>
                <w:szCs w:val="20"/>
                <w:color w:val="auto"/>
              </w:rPr>
            </w:pPr>
            <w:r>
              <w:rPr>
                <w:rFonts w:ascii="Arial" w:cs="Arial" w:eastAsia="Arial" w:hAnsi="Arial"/>
                <w:sz w:val="17"/>
                <w:szCs w:val="17"/>
                <w:color w:val="auto"/>
              </w:rPr>
              <w:t>Restricted Stock Units</w:t>
            </w:r>
            <w:r>
              <w:rPr>
                <w:rFonts w:ascii="Arial" w:cs="Arial" w:eastAsia="Arial" w:hAnsi="Arial"/>
                <w:sz w:val="14"/>
                <w:szCs w:val="14"/>
                <w:color w:val="auto"/>
              </w:rPr>
              <w:t>(4)</w:t>
            </w:r>
          </w:p>
        </w:tc>
        <w:tc>
          <w:tcPr>
            <w:tcW w:w="1480" w:type="dxa"/>
            <w:vAlign w:val="bottom"/>
          </w:tcPr>
          <w:p>
            <w:pPr>
              <w:jc w:val="right"/>
              <w:ind w:right="78"/>
              <w:spacing w:after="0" w:line="191" w:lineRule="exact"/>
              <w:rPr>
                <w:sz w:val="20"/>
                <w:szCs w:val="20"/>
                <w:color w:val="auto"/>
              </w:rPr>
            </w:pPr>
            <w:r>
              <w:rPr>
                <w:rFonts w:ascii="Arial" w:cs="Arial" w:eastAsia="Arial" w:hAnsi="Arial"/>
                <w:sz w:val="17"/>
                <w:szCs w:val="17"/>
                <w:color w:val="auto"/>
              </w:rPr>
              <w:t>458,404</w:t>
            </w:r>
          </w:p>
        </w:tc>
        <w:tc>
          <w:tcPr>
            <w:tcW w:w="1100" w:type="dxa"/>
            <w:vAlign w:val="bottom"/>
          </w:tcPr>
          <w:p>
            <w:pPr>
              <w:jc w:val="right"/>
              <w:spacing w:after="0" w:line="191" w:lineRule="exact"/>
              <w:rPr>
                <w:sz w:val="20"/>
                <w:szCs w:val="20"/>
                <w:color w:val="auto"/>
              </w:rPr>
            </w:pPr>
            <w:r>
              <w:rPr>
                <w:rFonts w:ascii="Arial" w:cs="Arial" w:eastAsia="Arial" w:hAnsi="Arial"/>
                <w:sz w:val="17"/>
                <w:szCs w:val="17"/>
                <w:color w:val="auto"/>
              </w:rPr>
              <w:t>1,885,767</w:t>
            </w:r>
          </w:p>
        </w:tc>
        <w:tc>
          <w:tcPr>
            <w:tcW w:w="1380" w:type="dxa"/>
            <w:vAlign w:val="bottom"/>
          </w:tcPr>
          <w:p>
            <w:pPr>
              <w:jc w:val="right"/>
              <w:ind w:right="16"/>
              <w:spacing w:after="0" w:line="191" w:lineRule="exact"/>
              <w:rPr>
                <w:sz w:val="20"/>
                <w:szCs w:val="20"/>
                <w:color w:val="auto"/>
              </w:rPr>
            </w:pPr>
            <w:r>
              <w:rPr>
                <w:rFonts w:ascii="Arial" w:cs="Arial" w:eastAsia="Arial" w:hAnsi="Arial"/>
                <w:sz w:val="17"/>
                <w:szCs w:val="17"/>
                <w:color w:val="auto"/>
              </w:rPr>
              <w:t>1,885,767</w:t>
            </w:r>
          </w:p>
        </w:tc>
        <w:tc>
          <w:tcPr>
            <w:tcW w:w="980" w:type="dxa"/>
            <w:vAlign w:val="bottom"/>
          </w:tcPr>
          <w:p>
            <w:pPr>
              <w:jc w:val="right"/>
              <w:ind w:right="36"/>
              <w:spacing w:after="0" w:line="191" w:lineRule="exact"/>
              <w:rPr>
                <w:sz w:val="20"/>
                <w:szCs w:val="20"/>
                <w:color w:val="auto"/>
              </w:rPr>
            </w:pPr>
            <w:r>
              <w:rPr>
                <w:rFonts w:ascii="Arial" w:cs="Arial" w:eastAsia="Arial" w:hAnsi="Arial"/>
                <w:sz w:val="17"/>
                <w:szCs w:val="17"/>
                <w:color w:val="auto"/>
              </w:rPr>
              <w:t>1,885,767</w:t>
            </w:r>
          </w:p>
        </w:tc>
      </w:tr>
      <w:tr>
        <w:trPr>
          <w:trHeight w:val="191"/>
        </w:trPr>
        <w:tc>
          <w:tcPr>
            <w:tcW w:w="544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Stock Options</w:t>
            </w:r>
            <w:r>
              <w:rPr>
                <w:rFonts w:ascii="Arial" w:cs="Arial" w:eastAsia="Arial" w:hAnsi="Arial"/>
                <w:sz w:val="14"/>
                <w:szCs w:val="14"/>
                <w:color w:val="auto"/>
              </w:rPr>
              <w:t>(5)</w:t>
            </w:r>
          </w:p>
        </w:tc>
        <w:tc>
          <w:tcPr>
            <w:tcW w:w="1480" w:type="dxa"/>
            <w:vAlign w:val="bottom"/>
            <w:shd w:val="clear" w:color="auto" w:fill="ACABA7"/>
          </w:tcPr>
          <w:p>
            <w:pPr>
              <w:jc w:val="right"/>
              <w:ind w:right="78"/>
              <w:spacing w:after="0" w:line="191" w:lineRule="exact"/>
              <w:rPr>
                <w:sz w:val="20"/>
                <w:szCs w:val="20"/>
                <w:color w:val="auto"/>
              </w:rPr>
            </w:pPr>
            <w:r>
              <w:rPr>
                <w:rFonts w:ascii="Arial" w:cs="Arial" w:eastAsia="Arial" w:hAnsi="Arial"/>
                <w:sz w:val="17"/>
                <w:szCs w:val="17"/>
                <w:color w:val="auto"/>
              </w:rPr>
              <w:t>595,029</w:t>
            </w:r>
          </w:p>
        </w:tc>
        <w:tc>
          <w:tcPr>
            <w:tcW w:w="110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2,716,776</w:t>
            </w:r>
          </w:p>
        </w:tc>
        <w:tc>
          <w:tcPr>
            <w:tcW w:w="1380" w:type="dxa"/>
            <w:vAlign w:val="bottom"/>
            <w:shd w:val="clear" w:color="auto" w:fill="ACABA7"/>
          </w:tcPr>
          <w:p>
            <w:pPr>
              <w:jc w:val="right"/>
              <w:ind w:right="16"/>
              <w:spacing w:after="0" w:line="191" w:lineRule="exact"/>
              <w:rPr>
                <w:sz w:val="20"/>
                <w:szCs w:val="20"/>
                <w:color w:val="auto"/>
              </w:rPr>
            </w:pPr>
            <w:r>
              <w:rPr>
                <w:rFonts w:ascii="Arial" w:cs="Arial" w:eastAsia="Arial" w:hAnsi="Arial"/>
                <w:sz w:val="17"/>
                <w:szCs w:val="17"/>
                <w:color w:val="auto"/>
              </w:rPr>
              <w:t>2,716,776</w:t>
            </w:r>
          </w:p>
        </w:tc>
        <w:tc>
          <w:tcPr>
            <w:tcW w:w="980" w:type="dxa"/>
            <w:vAlign w:val="bottom"/>
            <w:shd w:val="clear" w:color="auto" w:fill="ACABA7"/>
          </w:tcPr>
          <w:p>
            <w:pPr>
              <w:jc w:val="right"/>
              <w:ind w:right="36"/>
              <w:spacing w:after="0" w:line="191" w:lineRule="exact"/>
              <w:rPr>
                <w:sz w:val="20"/>
                <w:szCs w:val="20"/>
                <w:color w:val="auto"/>
              </w:rPr>
            </w:pPr>
            <w:r>
              <w:rPr>
                <w:rFonts w:ascii="Arial" w:cs="Arial" w:eastAsia="Arial" w:hAnsi="Arial"/>
                <w:sz w:val="17"/>
                <w:szCs w:val="17"/>
                <w:color w:val="auto"/>
              </w:rPr>
              <w:t>2,716,776</w:t>
            </w:r>
          </w:p>
        </w:tc>
      </w:tr>
      <w:tr>
        <w:trPr>
          <w:trHeight w:val="191"/>
        </w:trPr>
        <w:tc>
          <w:tcPr>
            <w:tcW w:w="5440" w:type="dxa"/>
            <w:vAlign w:val="bottom"/>
          </w:tcPr>
          <w:p>
            <w:pPr>
              <w:ind w:left="100"/>
              <w:spacing w:after="0" w:line="191" w:lineRule="exact"/>
              <w:rPr>
                <w:sz w:val="20"/>
                <w:szCs w:val="20"/>
                <w:color w:val="auto"/>
              </w:rPr>
            </w:pPr>
            <w:r>
              <w:rPr>
                <w:rFonts w:ascii="Arial" w:cs="Arial" w:eastAsia="Arial" w:hAnsi="Arial"/>
                <w:sz w:val="17"/>
                <w:szCs w:val="17"/>
                <w:color w:val="auto"/>
              </w:rPr>
              <w:t>Performance Share Awards</w:t>
            </w:r>
            <w:r>
              <w:rPr>
                <w:rFonts w:ascii="Arial" w:cs="Arial" w:eastAsia="Arial" w:hAnsi="Arial"/>
                <w:sz w:val="14"/>
                <w:szCs w:val="14"/>
                <w:color w:val="auto"/>
              </w:rPr>
              <w:t>(6)</w:t>
            </w:r>
          </w:p>
        </w:tc>
        <w:tc>
          <w:tcPr>
            <w:tcW w:w="1480" w:type="dxa"/>
            <w:vAlign w:val="bottom"/>
          </w:tcPr>
          <w:p>
            <w:pPr>
              <w:jc w:val="right"/>
              <w:ind w:right="78"/>
              <w:spacing w:after="0" w:line="191" w:lineRule="exact"/>
              <w:rPr>
                <w:sz w:val="20"/>
                <w:szCs w:val="20"/>
                <w:color w:val="auto"/>
              </w:rPr>
            </w:pPr>
            <w:r>
              <w:rPr>
                <w:rFonts w:ascii="Arial" w:cs="Arial" w:eastAsia="Arial" w:hAnsi="Arial"/>
                <w:sz w:val="17"/>
                <w:szCs w:val="17"/>
                <w:color w:val="auto"/>
              </w:rPr>
              <w:t>2,950,513</w:t>
            </w:r>
          </w:p>
        </w:tc>
        <w:tc>
          <w:tcPr>
            <w:tcW w:w="1100" w:type="dxa"/>
            <w:vAlign w:val="bottom"/>
          </w:tcPr>
          <w:p>
            <w:pPr>
              <w:jc w:val="right"/>
              <w:spacing w:after="0" w:line="191" w:lineRule="exact"/>
              <w:rPr>
                <w:sz w:val="20"/>
                <w:szCs w:val="20"/>
                <w:color w:val="auto"/>
              </w:rPr>
            </w:pPr>
            <w:r>
              <w:rPr>
                <w:rFonts w:ascii="Arial" w:cs="Arial" w:eastAsia="Arial" w:hAnsi="Arial"/>
                <w:sz w:val="17"/>
                <w:szCs w:val="17"/>
                <w:color w:val="auto"/>
              </w:rPr>
              <w:t>4,400,663</w:t>
            </w:r>
          </w:p>
        </w:tc>
        <w:tc>
          <w:tcPr>
            <w:tcW w:w="1380" w:type="dxa"/>
            <w:vAlign w:val="bottom"/>
          </w:tcPr>
          <w:p>
            <w:pPr>
              <w:jc w:val="right"/>
              <w:ind w:right="16"/>
              <w:spacing w:after="0" w:line="191" w:lineRule="exact"/>
              <w:rPr>
                <w:sz w:val="20"/>
                <w:szCs w:val="20"/>
                <w:color w:val="auto"/>
              </w:rPr>
            </w:pPr>
            <w:r>
              <w:rPr>
                <w:rFonts w:ascii="Arial" w:cs="Arial" w:eastAsia="Arial" w:hAnsi="Arial"/>
                <w:sz w:val="17"/>
                <w:szCs w:val="17"/>
                <w:color w:val="auto"/>
              </w:rPr>
              <w:t>3,998,677</w:t>
            </w:r>
          </w:p>
        </w:tc>
        <w:tc>
          <w:tcPr>
            <w:tcW w:w="980" w:type="dxa"/>
            <w:vAlign w:val="bottom"/>
          </w:tcPr>
          <w:p>
            <w:pPr>
              <w:jc w:val="right"/>
              <w:ind w:right="36"/>
              <w:spacing w:after="0" w:line="191" w:lineRule="exact"/>
              <w:rPr>
                <w:sz w:val="20"/>
                <w:szCs w:val="20"/>
                <w:color w:val="auto"/>
              </w:rPr>
            </w:pPr>
            <w:r>
              <w:rPr>
                <w:rFonts w:ascii="Arial" w:cs="Arial" w:eastAsia="Arial" w:hAnsi="Arial"/>
                <w:sz w:val="17"/>
                <w:szCs w:val="17"/>
                <w:color w:val="auto"/>
              </w:rPr>
              <w:t>2,950,513</w:t>
            </w:r>
          </w:p>
        </w:tc>
      </w:tr>
      <w:tr>
        <w:trPr>
          <w:trHeight w:val="191"/>
        </w:trPr>
        <w:tc>
          <w:tcPr>
            <w:tcW w:w="544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Benefits &amp; Perquisites</w:t>
            </w:r>
            <w:r>
              <w:rPr>
                <w:rFonts w:ascii="Arial" w:cs="Arial" w:eastAsia="Arial" w:hAnsi="Arial"/>
                <w:sz w:val="14"/>
                <w:szCs w:val="14"/>
                <w:color w:val="auto"/>
              </w:rPr>
              <w:t>(7)</w:t>
            </w:r>
          </w:p>
        </w:tc>
        <w:tc>
          <w:tcPr>
            <w:tcW w:w="1480" w:type="dxa"/>
            <w:vAlign w:val="bottom"/>
            <w:shd w:val="clear" w:color="auto" w:fill="ACABA7"/>
          </w:tcPr>
          <w:p>
            <w:pPr>
              <w:jc w:val="right"/>
              <w:ind w:right="78"/>
              <w:spacing w:after="0" w:line="191" w:lineRule="exact"/>
              <w:rPr>
                <w:sz w:val="20"/>
                <w:szCs w:val="20"/>
                <w:color w:val="auto"/>
              </w:rPr>
            </w:pPr>
            <w:r>
              <w:rPr>
                <w:rFonts w:ascii="Arial" w:cs="Arial" w:eastAsia="Arial" w:hAnsi="Arial"/>
                <w:sz w:val="17"/>
                <w:szCs w:val="17"/>
                <w:color w:val="auto"/>
              </w:rPr>
              <w:t>22,919</w:t>
            </w:r>
          </w:p>
        </w:tc>
        <w:tc>
          <w:tcPr>
            <w:tcW w:w="110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38,129</w:t>
            </w:r>
          </w:p>
        </w:tc>
        <w:tc>
          <w:tcPr>
            <w:tcW w:w="1380" w:type="dxa"/>
            <w:vAlign w:val="bottom"/>
            <w:shd w:val="clear" w:color="auto" w:fill="ACABA7"/>
          </w:tcPr>
          <w:p>
            <w:pPr>
              <w:jc w:val="right"/>
              <w:ind w:right="16"/>
              <w:spacing w:after="0" w:line="191" w:lineRule="exact"/>
              <w:rPr>
                <w:sz w:val="20"/>
                <w:szCs w:val="20"/>
                <w:color w:val="auto"/>
              </w:rPr>
            </w:pPr>
            <w:r>
              <w:rPr>
                <w:rFonts w:ascii="Arial" w:cs="Arial" w:eastAsia="Arial" w:hAnsi="Arial"/>
                <w:sz w:val="17"/>
                <w:szCs w:val="17"/>
                <w:color w:val="auto"/>
              </w:rPr>
              <w:t>—</w:t>
            </w:r>
          </w:p>
        </w:tc>
        <w:tc>
          <w:tcPr>
            <w:tcW w:w="980" w:type="dxa"/>
            <w:vAlign w:val="bottom"/>
            <w:shd w:val="clear" w:color="auto" w:fill="ACABA7"/>
          </w:tcPr>
          <w:p>
            <w:pPr>
              <w:jc w:val="right"/>
              <w:ind w:right="36"/>
              <w:spacing w:after="0" w:line="191" w:lineRule="exact"/>
              <w:rPr>
                <w:sz w:val="20"/>
                <w:szCs w:val="20"/>
                <w:color w:val="auto"/>
              </w:rPr>
            </w:pPr>
            <w:r>
              <w:rPr>
                <w:rFonts w:ascii="Arial" w:cs="Arial" w:eastAsia="Arial" w:hAnsi="Arial"/>
                <w:sz w:val="17"/>
                <w:szCs w:val="17"/>
                <w:color w:val="auto"/>
              </w:rPr>
              <w:t>—</w:t>
            </w:r>
          </w:p>
        </w:tc>
      </w:tr>
      <w:tr>
        <w:trPr>
          <w:trHeight w:val="191"/>
        </w:trPr>
        <w:tc>
          <w:tcPr>
            <w:tcW w:w="5440" w:type="dxa"/>
            <w:vAlign w:val="bottom"/>
            <w:tcBorders>
              <w:bottom w:val="single" w:sz="8" w:color="483E65"/>
            </w:tcBorders>
          </w:tcPr>
          <w:p>
            <w:pPr>
              <w:ind w:left="80"/>
              <w:spacing w:after="0" w:line="191" w:lineRule="exact"/>
              <w:rPr>
                <w:sz w:val="20"/>
                <w:szCs w:val="20"/>
                <w:color w:val="auto"/>
              </w:rPr>
            </w:pPr>
            <w:r>
              <w:rPr>
                <w:rFonts w:ascii="Arial" w:cs="Arial" w:eastAsia="Arial" w:hAnsi="Arial"/>
                <w:sz w:val="17"/>
                <w:szCs w:val="17"/>
                <w:color w:val="auto"/>
              </w:rPr>
              <w:t>Applicable Scaleback</w:t>
            </w:r>
            <w:r>
              <w:rPr>
                <w:rFonts w:ascii="Arial" w:cs="Arial" w:eastAsia="Arial" w:hAnsi="Arial"/>
                <w:sz w:val="14"/>
                <w:szCs w:val="14"/>
                <w:color w:val="auto"/>
              </w:rPr>
              <w:t>(8)</w:t>
            </w:r>
          </w:p>
        </w:tc>
        <w:tc>
          <w:tcPr>
            <w:tcW w:w="1480" w:type="dxa"/>
            <w:vAlign w:val="bottom"/>
            <w:tcBorders>
              <w:bottom w:val="single" w:sz="8" w:color="483E65"/>
            </w:tcBorders>
          </w:tcPr>
          <w:p>
            <w:pPr>
              <w:jc w:val="right"/>
              <w:ind w:right="78"/>
              <w:spacing w:after="0" w:line="191" w:lineRule="exact"/>
              <w:rPr>
                <w:sz w:val="20"/>
                <w:szCs w:val="20"/>
                <w:color w:val="auto"/>
              </w:rPr>
            </w:pPr>
            <w:r>
              <w:rPr>
                <w:rFonts w:ascii="Arial" w:cs="Arial" w:eastAsia="Arial" w:hAnsi="Arial"/>
                <w:sz w:val="17"/>
                <w:szCs w:val="17"/>
                <w:color w:val="auto"/>
              </w:rPr>
              <w:t>N/A</w:t>
            </w:r>
          </w:p>
        </w:tc>
        <w:tc>
          <w:tcPr>
            <w:tcW w:w="1100" w:type="dxa"/>
            <w:vAlign w:val="bottom"/>
            <w:tcBorders>
              <w:bottom w:val="single" w:sz="8" w:color="483E65"/>
            </w:tcBorders>
          </w:tcPr>
          <w:p>
            <w:pPr>
              <w:jc w:val="right"/>
              <w:spacing w:after="0" w:line="191" w:lineRule="exact"/>
              <w:rPr>
                <w:sz w:val="20"/>
                <w:szCs w:val="20"/>
                <w:color w:val="auto"/>
              </w:rPr>
            </w:pPr>
            <w:r>
              <w:rPr>
                <w:rFonts w:ascii="Arial" w:cs="Arial" w:eastAsia="Arial" w:hAnsi="Arial"/>
                <w:sz w:val="17"/>
                <w:szCs w:val="17"/>
                <w:color w:val="auto"/>
              </w:rPr>
              <w:t>—</w:t>
            </w:r>
          </w:p>
        </w:tc>
        <w:tc>
          <w:tcPr>
            <w:tcW w:w="1380" w:type="dxa"/>
            <w:vAlign w:val="bottom"/>
            <w:tcBorders>
              <w:bottom w:val="single" w:sz="8" w:color="483E65"/>
            </w:tcBorders>
          </w:tcPr>
          <w:p>
            <w:pPr>
              <w:jc w:val="right"/>
              <w:ind w:right="16"/>
              <w:spacing w:after="0" w:line="191" w:lineRule="exact"/>
              <w:rPr>
                <w:sz w:val="20"/>
                <w:szCs w:val="20"/>
                <w:color w:val="auto"/>
              </w:rPr>
            </w:pPr>
            <w:r>
              <w:rPr>
                <w:rFonts w:ascii="Arial" w:cs="Arial" w:eastAsia="Arial" w:hAnsi="Arial"/>
                <w:sz w:val="17"/>
                <w:szCs w:val="17"/>
                <w:color w:val="auto"/>
              </w:rPr>
              <w:t>N/A</w:t>
            </w:r>
          </w:p>
        </w:tc>
        <w:tc>
          <w:tcPr>
            <w:tcW w:w="980" w:type="dxa"/>
            <w:vAlign w:val="bottom"/>
            <w:tcBorders>
              <w:bottom w:val="single" w:sz="8" w:color="483E65"/>
            </w:tcBorders>
          </w:tcPr>
          <w:p>
            <w:pPr>
              <w:jc w:val="right"/>
              <w:ind w:right="36"/>
              <w:spacing w:after="0" w:line="191" w:lineRule="exact"/>
              <w:rPr>
                <w:sz w:val="20"/>
                <w:szCs w:val="20"/>
                <w:color w:val="auto"/>
              </w:rPr>
            </w:pPr>
            <w:r>
              <w:rPr>
                <w:rFonts w:ascii="Arial" w:cs="Arial" w:eastAsia="Arial" w:hAnsi="Arial"/>
                <w:sz w:val="17"/>
                <w:szCs w:val="17"/>
                <w:color w:val="auto"/>
              </w:rPr>
              <w:t>N/A</w:t>
            </w:r>
          </w:p>
        </w:tc>
      </w:tr>
      <w:tr>
        <w:trPr>
          <w:trHeight w:val="183"/>
        </w:trPr>
        <w:tc>
          <w:tcPr>
            <w:tcW w:w="5440" w:type="dxa"/>
            <w:vAlign w:val="bottom"/>
            <w:tcBorders>
              <w:bottom w:val="single" w:sz="8" w:color="483E65"/>
            </w:tcBorders>
            <w:shd w:val="clear" w:color="auto" w:fill="ACABA7"/>
          </w:tcPr>
          <w:p>
            <w:pPr>
              <w:ind w:left="100"/>
              <w:spacing w:after="0" w:line="184" w:lineRule="exact"/>
              <w:rPr>
                <w:sz w:val="20"/>
                <w:szCs w:val="20"/>
                <w:color w:val="auto"/>
              </w:rPr>
            </w:pPr>
            <w:r>
              <w:rPr>
                <w:rFonts w:ascii="Arial" w:cs="Arial" w:eastAsia="Arial" w:hAnsi="Arial"/>
                <w:sz w:val="17"/>
                <w:szCs w:val="17"/>
                <w:color w:val="auto"/>
              </w:rPr>
              <w:t>Total</w:t>
            </w:r>
            <w:r>
              <w:rPr>
                <w:rFonts w:ascii="Arial" w:cs="Arial" w:eastAsia="Arial" w:hAnsi="Arial"/>
                <w:sz w:val="14"/>
                <w:szCs w:val="14"/>
                <w:color w:val="auto"/>
              </w:rPr>
              <w:t>(9)</w:t>
            </w:r>
          </w:p>
        </w:tc>
        <w:tc>
          <w:tcPr>
            <w:tcW w:w="1480" w:type="dxa"/>
            <w:vAlign w:val="bottom"/>
            <w:tcBorders>
              <w:bottom w:val="single" w:sz="8" w:color="483E65"/>
            </w:tcBorders>
            <w:shd w:val="clear" w:color="auto" w:fill="ACABA7"/>
          </w:tcPr>
          <w:p>
            <w:pPr>
              <w:jc w:val="right"/>
              <w:ind w:right="78"/>
              <w:spacing w:after="0" w:line="184" w:lineRule="exact"/>
              <w:rPr>
                <w:sz w:val="20"/>
                <w:szCs w:val="20"/>
                <w:color w:val="auto"/>
              </w:rPr>
            </w:pPr>
            <w:r>
              <w:rPr>
                <w:rFonts w:ascii="Arial" w:cs="Arial" w:eastAsia="Arial" w:hAnsi="Arial"/>
                <w:sz w:val="17"/>
                <w:szCs w:val="17"/>
                <w:color w:val="auto"/>
              </w:rPr>
              <w:t>5,458,468</w:t>
            </w:r>
          </w:p>
        </w:tc>
        <w:tc>
          <w:tcPr>
            <w:tcW w:w="1100" w:type="dxa"/>
            <w:vAlign w:val="bottom"/>
            <w:tcBorders>
              <w:bottom w:val="single" w:sz="8" w:color="483E65"/>
            </w:tcBorders>
            <w:shd w:val="clear" w:color="auto" w:fill="ACABA7"/>
          </w:tcPr>
          <w:p>
            <w:pPr>
              <w:jc w:val="right"/>
              <w:spacing w:after="0" w:line="184" w:lineRule="exact"/>
              <w:rPr>
                <w:sz w:val="20"/>
                <w:szCs w:val="20"/>
                <w:color w:val="auto"/>
              </w:rPr>
            </w:pPr>
            <w:r>
              <w:rPr>
                <w:rFonts w:ascii="Arial" w:cs="Arial" w:eastAsia="Arial" w:hAnsi="Arial"/>
                <w:sz w:val="17"/>
                <w:szCs w:val="17"/>
                <w:color w:val="auto"/>
              </w:rPr>
              <w:t>11,601,335</w:t>
            </w:r>
          </w:p>
        </w:tc>
        <w:tc>
          <w:tcPr>
            <w:tcW w:w="1380" w:type="dxa"/>
            <w:vAlign w:val="bottom"/>
            <w:tcBorders>
              <w:bottom w:val="single" w:sz="8" w:color="483E65"/>
            </w:tcBorders>
            <w:shd w:val="clear" w:color="auto" w:fill="ACABA7"/>
          </w:tcPr>
          <w:p>
            <w:pPr>
              <w:jc w:val="right"/>
              <w:ind w:right="16"/>
              <w:spacing w:after="0" w:line="184" w:lineRule="exact"/>
              <w:rPr>
                <w:sz w:val="20"/>
                <w:szCs w:val="20"/>
                <w:color w:val="auto"/>
              </w:rPr>
            </w:pPr>
            <w:r>
              <w:rPr>
                <w:rFonts w:ascii="Arial" w:cs="Arial" w:eastAsia="Arial" w:hAnsi="Arial"/>
                <w:sz w:val="17"/>
                <w:szCs w:val="17"/>
                <w:color w:val="auto"/>
              </w:rPr>
              <w:t>9,392,823</w:t>
            </w:r>
          </w:p>
        </w:tc>
        <w:tc>
          <w:tcPr>
            <w:tcW w:w="980" w:type="dxa"/>
            <w:vAlign w:val="bottom"/>
            <w:tcBorders>
              <w:bottom w:val="single" w:sz="8" w:color="483E65"/>
            </w:tcBorders>
            <w:shd w:val="clear" w:color="auto" w:fill="ACABA7"/>
          </w:tcPr>
          <w:p>
            <w:pPr>
              <w:jc w:val="right"/>
              <w:ind w:right="36"/>
              <w:spacing w:after="0" w:line="184" w:lineRule="exact"/>
              <w:rPr>
                <w:sz w:val="20"/>
                <w:szCs w:val="20"/>
                <w:color w:val="auto"/>
              </w:rPr>
            </w:pPr>
            <w:r>
              <w:rPr>
                <w:rFonts w:ascii="Arial" w:cs="Arial" w:eastAsia="Arial" w:hAnsi="Arial"/>
                <w:sz w:val="17"/>
                <w:szCs w:val="17"/>
                <w:color w:val="auto"/>
              </w:rPr>
              <w:t>8,344,659</w:t>
            </w:r>
          </w:p>
        </w:tc>
      </w:tr>
      <w:tr>
        <w:trPr>
          <w:trHeight w:val="272"/>
        </w:trPr>
        <w:tc>
          <w:tcPr>
            <w:tcW w:w="5440" w:type="dxa"/>
            <w:vAlign w:val="bottom"/>
          </w:tcPr>
          <w:p>
            <w:pPr>
              <w:ind w:left="100"/>
              <w:spacing w:after="0"/>
              <w:rPr>
                <w:sz w:val="20"/>
                <w:szCs w:val="20"/>
                <w:color w:val="auto"/>
              </w:rPr>
            </w:pPr>
            <w:r>
              <w:rPr>
                <w:rFonts w:ascii="Arial" w:cs="Arial" w:eastAsia="Arial" w:hAnsi="Arial"/>
                <w:sz w:val="17"/>
                <w:szCs w:val="17"/>
                <w:b w:val="1"/>
                <w:bCs w:val="1"/>
                <w:color w:val="auto"/>
              </w:rPr>
              <w:t>Jonathan W. Scholl</w:t>
            </w:r>
          </w:p>
        </w:tc>
        <w:tc>
          <w:tcPr>
            <w:tcW w:w="1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191"/>
        </w:trPr>
        <w:tc>
          <w:tcPr>
            <w:tcW w:w="544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Severance and Pro-rata Bonus</w:t>
            </w:r>
            <w:r>
              <w:rPr>
                <w:rFonts w:ascii="Arial" w:cs="Arial" w:eastAsia="Arial" w:hAnsi="Arial"/>
                <w:sz w:val="14"/>
                <w:szCs w:val="14"/>
                <w:color w:val="auto"/>
              </w:rPr>
              <w:t>(3)</w:t>
            </w:r>
          </w:p>
        </w:tc>
        <w:tc>
          <w:tcPr>
            <w:tcW w:w="1480" w:type="dxa"/>
            <w:vAlign w:val="bottom"/>
            <w:shd w:val="clear" w:color="auto" w:fill="ACABA7"/>
          </w:tcPr>
          <w:p>
            <w:pPr>
              <w:jc w:val="right"/>
              <w:ind w:right="78"/>
              <w:spacing w:after="0" w:line="191" w:lineRule="exact"/>
              <w:rPr>
                <w:sz w:val="20"/>
                <w:szCs w:val="20"/>
                <w:color w:val="auto"/>
              </w:rPr>
            </w:pPr>
            <w:r>
              <w:rPr>
                <w:rFonts w:ascii="Arial" w:cs="Arial" w:eastAsia="Arial" w:hAnsi="Arial"/>
                <w:sz w:val="17"/>
                <w:szCs w:val="17"/>
                <w:color w:val="auto"/>
              </w:rPr>
              <w:t>1,127,542</w:t>
            </w:r>
          </w:p>
        </w:tc>
        <w:tc>
          <w:tcPr>
            <w:tcW w:w="110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1,995,000</w:t>
            </w:r>
          </w:p>
        </w:tc>
        <w:tc>
          <w:tcPr>
            <w:tcW w:w="1380" w:type="dxa"/>
            <w:vAlign w:val="bottom"/>
            <w:shd w:val="clear" w:color="auto" w:fill="ACABA7"/>
          </w:tcPr>
          <w:p>
            <w:pPr>
              <w:jc w:val="right"/>
              <w:ind w:right="16"/>
              <w:spacing w:after="0" w:line="191" w:lineRule="exact"/>
              <w:rPr>
                <w:sz w:val="20"/>
                <w:szCs w:val="20"/>
                <w:color w:val="auto"/>
              </w:rPr>
            </w:pPr>
            <w:r>
              <w:rPr>
                <w:rFonts w:ascii="Arial" w:cs="Arial" w:eastAsia="Arial" w:hAnsi="Arial"/>
                <w:sz w:val="17"/>
                <w:szCs w:val="17"/>
                <w:color w:val="auto"/>
              </w:rPr>
              <w:t>557,542</w:t>
            </w:r>
          </w:p>
        </w:tc>
        <w:tc>
          <w:tcPr>
            <w:tcW w:w="980" w:type="dxa"/>
            <w:vAlign w:val="bottom"/>
            <w:shd w:val="clear" w:color="auto" w:fill="ACABA7"/>
          </w:tcPr>
          <w:p>
            <w:pPr>
              <w:jc w:val="right"/>
              <w:ind w:right="36"/>
              <w:spacing w:after="0" w:line="191" w:lineRule="exact"/>
              <w:rPr>
                <w:sz w:val="20"/>
                <w:szCs w:val="20"/>
                <w:color w:val="auto"/>
              </w:rPr>
            </w:pPr>
            <w:r>
              <w:rPr>
                <w:rFonts w:ascii="Arial" w:cs="Arial" w:eastAsia="Arial" w:hAnsi="Arial"/>
                <w:sz w:val="17"/>
                <w:szCs w:val="17"/>
                <w:color w:val="auto"/>
              </w:rPr>
              <w:t>557,542</w:t>
            </w:r>
          </w:p>
        </w:tc>
      </w:tr>
      <w:tr>
        <w:trPr>
          <w:trHeight w:val="191"/>
        </w:trPr>
        <w:tc>
          <w:tcPr>
            <w:tcW w:w="5440" w:type="dxa"/>
            <w:vAlign w:val="bottom"/>
          </w:tcPr>
          <w:p>
            <w:pPr>
              <w:ind w:left="100"/>
              <w:spacing w:after="0" w:line="191" w:lineRule="exact"/>
              <w:rPr>
                <w:sz w:val="20"/>
                <w:szCs w:val="20"/>
                <w:color w:val="auto"/>
              </w:rPr>
            </w:pPr>
            <w:r>
              <w:rPr>
                <w:rFonts w:ascii="Arial" w:cs="Arial" w:eastAsia="Arial" w:hAnsi="Arial"/>
                <w:sz w:val="17"/>
                <w:szCs w:val="17"/>
                <w:color w:val="auto"/>
              </w:rPr>
              <w:t>Restricted Stock Units</w:t>
            </w:r>
            <w:r>
              <w:rPr>
                <w:rFonts w:ascii="Arial" w:cs="Arial" w:eastAsia="Arial" w:hAnsi="Arial"/>
                <w:sz w:val="14"/>
                <w:szCs w:val="14"/>
                <w:color w:val="auto"/>
              </w:rPr>
              <w:t>(4)</w:t>
            </w:r>
          </w:p>
        </w:tc>
        <w:tc>
          <w:tcPr>
            <w:tcW w:w="1480" w:type="dxa"/>
            <w:vAlign w:val="bottom"/>
          </w:tcPr>
          <w:p>
            <w:pPr>
              <w:jc w:val="right"/>
              <w:ind w:right="78"/>
              <w:spacing w:after="0" w:line="191" w:lineRule="exact"/>
              <w:rPr>
                <w:sz w:val="20"/>
                <w:szCs w:val="20"/>
                <w:color w:val="auto"/>
              </w:rPr>
            </w:pPr>
            <w:r>
              <w:rPr>
                <w:rFonts w:ascii="Arial" w:cs="Arial" w:eastAsia="Arial" w:hAnsi="Arial"/>
                <w:sz w:val="17"/>
                <w:szCs w:val="17"/>
                <w:color w:val="auto"/>
              </w:rPr>
              <w:t>307,635</w:t>
            </w:r>
          </w:p>
        </w:tc>
        <w:tc>
          <w:tcPr>
            <w:tcW w:w="1100" w:type="dxa"/>
            <w:vAlign w:val="bottom"/>
          </w:tcPr>
          <w:p>
            <w:pPr>
              <w:jc w:val="right"/>
              <w:spacing w:after="0" w:line="191" w:lineRule="exact"/>
              <w:rPr>
                <w:sz w:val="20"/>
                <w:szCs w:val="20"/>
                <w:color w:val="auto"/>
              </w:rPr>
            </w:pPr>
            <w:r>
              <w:rPr>
                <w:rFonts w:ascii="Arial" w:cs="Arial" w:eastAsia="Arial" w:hAnsi="Arial"/>
                <w:sz w:val="17"/>
                <w:szCs w:val="17"/>
                <w:color w:val="auto"/>
              </w:rPr>
              <w:t>1,284,828</w:t>
            </w:r>
          </w:p>
        </w:tc>
        <w:tc>
          <w:tcPr>
            <w:tcW w:w="1380" w:type="dxa"/>
            <w:vAlign w:val="bottom"/>
          </w:tcPr>
          <w:p>
            <w:pPr>
              <w:jc w:val="right"/>
              <w:ind w:right="16"/>
              <w:spacing w:after="0" w:line="191" w:lineRule="exact"/>
              <w:rPr>
                <w:sz w:val="20"/>
                <w:szCs w:val="20"/>
                <w:color w:val="auto"/>
              </w:rPr>
            </w:pPr>
            <w:r>
              <w:rPr>
                <w:rFonts w:ascii="Arial" w:cs="Arial" w:eastAsia="Arial" w:hAnsi="Arial"/>
                <w:sz w:val="17"/>
                <w:szCs w:val="17"/>
                <w:color w:val="auto"/>
              </w:rPr>
              <w:t>1,284,828</w:t>
            </w:r>
          </w:p>
        </w:tc>
        <w:tc>
          <w:tcPr>
            <w:tcW w:w="980" w:type="dxa"/>
            <w:vAlign w:val="bottom"/>
          </w:tcPr>
          <w:p>
            <w:pPr>
              <w:jc w:val="right"/>
              <w:ind w:right="36"/>
              <w:spacing w:after="0" w:line="191" w:lineRule="exact"/>
              <w:rPr>
                <w:sz w:val="20"/>
                <w:szCs w:val="20"/>
                <w:color w:val="auto"/>
              </w:rPr>
            </w:pPr>
            <w:r>
              <w:rPr>
                <w:rFonts w:ascii="Arial" w:cs="Arial" w:eastAsia="Arial" w:hAnsi="Arial"/>
                <w:sz w:val="17"/>
                <w:szCs w:val="17"/>
                <w:color w:val="auto"/>
              </w:rPr>
              <w:t>1,284,828</w:t>
            </w:r>
          </w:p>
        </w:tc>
      </w:tr>
      <w:tr>
        <w:trPr>
          <w:trHeight w:val="191"/>
        </w:trPr>
        <w:tc>
          <w:tcPr>
            <w:tcW w:w="544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Stock Options</w:t>
            </w:r>
            <w:r>
              <w:rPr>
                <w:rFonts w:ascii="Arial" w:cs="Arial" w:eastAsia="Arial" w:hAnsi="Arial"/>
                <w:sz w:val="14"/>
                <w:szCs w:val="14"/>
                <w:color w:val="auto"/>
              </w:rPr>
              <w:t>(5)</w:t>
            </w:r>
          </w:p>
        </w:tc>
        <w:tc>
          <w:tcPr>
            <w:tcW w:w="1480" w:type="dxa"/>
            <w:vAlign w:val="bottom"/>
            <w:shd w:val="clear" w:color="auto" w:fill="ACABA7"/>
          </w:tcPr>
          <w:p>
            <w:pPr>
              <w:jc w:val="right"/>
              <w:ind w:right="78"/>
              <w:spacing w:after="0" w:line="191" w:lineRule="exact"/>
              <w:rPr>
                <w:sz w:val="20"/>
                <w:szCs w:val="20"/>
                <w:color w:val="auto"/>
              </w:rPr>
            </w:pPr>
            <w:r>
              <w:rPr>
                <w:rFonts w:ascii="Arial" w:cs="Arial" w:eastAsia="Arial" w:hAnsi="Arial"/>
                <w:sz w:val="17"/>
                <w:szCs w:val="17"/>
                <w:color w:val="auto"/>
              </w:rPr>
              <w:t>397,113</w:t>
            </w:r>
          </w:p>
        </w:tc>
        <w:tc>
          <w:tcPr>
            <w:tcW w:w="110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1,841,415</w:t>
            </w:r>
          </w:p>
        </w:tc>
        <w:tc>
          <w:tcPr>
            <w:tcW w:w="1380" w:type="dxa"/>
            <w:vAlign w:val="bottom"/>
            <w:shd w:val="clear" w:color="auto" w:fill="ACABA7"/>
          </w:tcPr>
          <w:p>
            <w:pPr>
              <w:jc w:val="right"/>
              <w:ind w:right="16"/>
              <w:spacing w:after="0" w:line="191" w:lineRule="exact"/>
              <w:rPr>
                <w:sz w:val="20"/>
                <w:szCs w:val="20"/>
                <w:color w:val="auto"/>
              </w:rPr>
            </w:pPr>
            <w:r>
              <w:rPr>
                <w:rFonts w:ascii="Arial" w:cs="Arial" w:eastAsia="Arial" w:hAnsi="Arial"/>
                <w:sz w:val="17"/>
                <w:szCs w:val="17"/>
                <w:color w:val="auto"/>
              </w:rPr>
              <w:t>1,841,415</w:t>
            </w:r>
          </w:p>
        </w:tc>
        <w:tc>
          <w:tcPr>
            <w:tcW w:w="980" w:type="dxa"/>
            <w:vAlign w:val="bottom"/>
            <w:shd w:val="clear" w:color="auto" w:fill="ACABA7"/>
          </w:tcPr>
          <w:p>
            <w:pPr>
              <w:jc w:val="right"/>
              <w:ind w:right="36"/>
              <w:spacing w:after="0" w:line="191" w:lineRule="exact"/>
              <w:rPr>
                <w:sz w:val="20"/>
                <w:szCs w:val="20"/>
                <w:color w:val="auto"/>
              </w:rPr>
            </w:pPr>
            <w:r>
              <w:rPr>
                <w:rFonts w:ascii="Arial" w:cs="Arial" w:eastAsia="Arial" w:hAnsi="Arial"/>
                <w:sz w:val="17"/>
                <w:szCs w:val="17"/>
                <w:color w:val="auto"/>
              </w:rPr>
              <w:t>1,841,415</w:t>
            </w:r>
          </w:p>
        </w:tc>
      </w:tr>
      <w:tr>
        <w:trPr>
          <w:trHeight w:val="191"/>
        </w:trPr>
        <w:tc>
          <w:tcPr>
            <w:tcW w:w="5440" w:type="dxa"/>
            <w:vAlign w:val="bottom"/>
          </w:tcPr>
          <w:p>
            <w:pPr>
              <w:ind w:left="100"/>
              <w:spacing w:after="0" w:line="191" w:lineRule="exact"/>
              <w:rPr>
                <w:sz w:val="20"/>
                <w:szCs w:val="20"/>
                <w:color w:val="auto"/>
              </w:rPr>
            </w:pPr>
            <w:r>
              <w:rPr>
                <w:rFonts w:ascii="Arial" w:cs="Arial" w:eastAsia="Arial" w:hAnsi="Arial"/>
                <w:sz w:val="17"/>
                <w:szCs w:val="17"/>
                <w:color w:val="auto"/>
              </w:rPr>
              <w:t>Performance Share Awards</w:t>
            </w:r>
            <w:r>
              <w:rPr>
                <w:rFonts w:ascii="Arial" w:cs="Arial" w:eastAsia="Arial" w:hAnsi="Arial"/>
                <w:sz w:val="14"/>
                <w:szCs w:val="14"/>
                <w:color w:val="auto"/>
              </w:rPr>
              <w:t>(6)</w:t>
            </w:r>
          </w:p>
        </w:tc>
        <w:tc>
          <w:tcPr>
            <w:tcW w:w="1480" w:type="dxa"/>
            <w:vAlign w:val="bottom"/>
          </w:tcPr>
          <w:p>
            <w:pPr>
              <w:jc w:val="right"/>
              <w:ind w:right="78"/>
              <w:spacing w:after="0" w:line="191" w:lineRule="exact"/>
              <w:rPr>
                <w:sz w:val="20"/>
                <w:szCs w:val="20"/>
                <w:color w:val="auto"/>
              </w:rPr>
            </w:pPr>
            <w:r>
              <w:rPr>
                <w:rFonts w:ascii="Arial" w:cs="Arial" w:eastAsia="Arial" w:hAnsi="Arial"/>
                <w:sz w:val="17"/>
                <w:szCs w:val="17"/>
                <w:color w:val="auto"/>
              </w:rPr>
              <w:t>1,921,345</w:t>
            </w:r>
          </w:p>
        </w:tc>
        <w:tc>
          <w:tcPr>
            <w:tcW w:w="1100" w:type="dxa"/>
            <w:vAlign w:val="bottom"/>
          </w:tcPr>
          <w:p>
            <w:pPr>
              <w:jc w:val="right"/>
              <w:spacing w:after="0" w:line="191" w:lineRule="exact"/>
              <w:rPr>
                <w:sz w:val="20"/>
                <w:szCs w:val="20"/>
                <w:color w:val="auto"/>
              </w:rPr>
            </w:pPr>
            <w:r>
              <w:rPr>
                <w:rFonts w:ascii="Arial" w:cs="Arial" w:eastAsia="Arial" w:hAnsi="Arial"/>
                <w:sz w:val="17"/>
                <w:szCs w:val="17"/>
                <w:color w:val="auto"/>
              </w:rPr>
              <w:t>2,947,368</w:t>
            </w:r>
          </w:p>
        </w:tc>
        <w:tc>
          <w:tcPr>
            <w:tcW w:w="1380" w:type="dxa"/>
            <w:vAlign w:val="bottom"/>
          </w:tcPr>
          <w:p>
            <w:pPr>
              <w:jc w:val="right"/>
              <w:ind w:right="16"/>
              <w:spacing w:after="0" w:line="191" w:lineRule="exact"/>
              <w:rPr>
                <w:sz w:val="20"/>
                <w:szCs w:val="20"/>
                <w:color w:val="auto"/>
              </w:rPr>
            </w:pPr>
            <w:r>
              <w:rPr>
                <w:rFonts w:ascii="Arial" w:cs="Arial" w:eastAsia="Arial" w:hAnsi="Arial"/>
                <w:sz w:val="17"/>
                <w:szCs w:val="17"/>
                <w:color w:val="auto"/>
              </w:rPr>
              <w:t>2,662,922</w:t>
            </w:r>
          </w:p>
        </w:tc>
        <w:tc>
          <w:tcPr>
            <w:tcW w:w="980" w:type="dxa"/>
            <w:vAlign w:val="bottom"/>
          </w:tcPr>
          <w:p>
            <w:pPr>
              <w:jc w:val="right"/>
              <w:ind w:right="36"/>
              <w:spacing w:after="0" w:line="191" w:lineRule="exact"/>
              <w:rPr>
                <w:sz w:val="20"/>
                <w:szCs w:val="20"/>
                <w:color w:val="auto"/>
              </w:rPr>
            </w:pPr>
            <w:r>
              <w:rPr>
                <w:rFonts w:ascii="Arial" w:cs="Arial" w:eastAsia="Arial" w:hAnsi="Arial"/>
                <w:sz w:val="17"/>
                <w:szCs w:val="17"/>
                <w:color w:val="auto"/>
              </w:rPr>
              <w:t>1,921,345</w:t>
            </w:r>
          </w:p>
        </w:tc>
      </w:tr>
      <w:tr>
        <w:trPr>
          <w:trHeight w:val="191"/>
        </w:trPr>
        <w:tc>
          <w:tcPr>
            <w:tcW w:w="544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Benefits &amp; Perquisites</w:t>
            </w:r>
            <w:r>
              <w:rPr>
                <w:rFonts w:ascii="Arial" w:cs="Arial" w:eastAsia="Arial" w:hAnsi="Arial"/>
                <w:sz w:val="14"/>
                <w:szCs w:val="14"/>
                <w:color w:val="auto"/>
              </w:rPr>
              <w:t>(7)</w:t>
            </w:r>
          </w:p>
        </w:tc>
        <w:tc>
          <w:tcPr>
            <w:tcW w:w="1480" w:type="dxa"/>
            <w:vAlign w:val="bottom"/>
            <w:shd w:val="clear" w:color="auto" w:fill="ACABA7"/>
          </w:tcPr>
          <w:p>
            <w:pPr>
              <w:jc w:val="right"/>
              <w:ind w:right="78"/>
              <w:spacing w:after="0" w:line="191" w:lineRule="exact"/>
              <w:rPr>
                <w:sz w:val="20"/>
                <w:szCs w:val="20"/>
                <w:color w:val="auto"/>
              </w:rPr>
            </w:pPr>
            <w:r>
              <w:rPr>
                <w:rFonts w:ascii="Arial" w:cs="Arial" w:eastAsia="Arial" w:hAnsi="Arial"/>
                <w:sz w:val="17"/>
                <w:szCs w:val="17"/>
                <w:color w:val="auto"/>
              </w:rPr>
              <w:t>30,434</w:t>
            </w:r>
          </w:p>
        </w:tc>
        <w:tc>
          <w:tcPr>
            <w:tcW w:w="110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49,401</w:t>
            </w:r>
          </w:p>
        </w:tc>
        <w:tc>
          <w:tcPr>
            <w:tcW w:w="1380" w:type="dxa"/>
            <w:vAlign w:val="bottom"/>
            <w:shd w:val="clear" w:color="auto" w:fill="ACABA7"/>
          </w:tcPr>
          <w:p>
            <w:pPr>
              <w:jc w:val="right"/>
              <w:ind w:right="16"/>
              <w:spacing w:after="0" w:line="191" w:lineRule="exact"/>
              <w:rPr>
                <w:sz w:val="20"/>
                <w:szCs w:val="20"/>
                <w:color w:val="auto"/>
              </w:rPr>
            </w:pPr>
            <w:r>
              <w:rPr>
                <w:rFonts w:ascii="Arial" w:cs="Arial" w:eastAsia="Arial" w:hAnsi="Arial"/>
                <w:sz w:val="17"/>
                <w:szCs w:val="17"/>
                <w:color w:val="auto"/>
              </w:rPr>
              <w:t>—</w:t>
            </w:r>
          </w:p>
        </w:tc>
        <w:tc>
          <w:tcPr>
            <w:tcW w:w="980" w:type="dxa"/>
            <w:vAlign w:val="bottom"/>
            <w:shd w:val="clear" w:color="auto" w:fill="ACABA7"/>
          </w:tcPr>
          <w:p>
            <w:pPr>
              <w:jc w:val="right"/>
              <w:ind w:right="36"/>
              <w:spacing w:after="0" w:line="191" w:lineRule="exact"/>
              <w:rPr>
                <w:sz w:val="20"/>
                <w:szCs w:val="20"/>
                <w:color w:val="auto"/>
              </w:rPr>
            </w:pPr>
            <w:r>
              <w:rPr>
                <w:rFonts w:ascii="Arial" w:cs="Arial" w:eastAsia="Arial" w:hAnsi="Arial"/>
                <w:sz w:val="17"/>
                <w:szCs w:val="17"/>
                <w:color w:val="auto"/>
              </w:rPr>
              <w:t>—</w:t>
            </w:r>
          </w:p>
        </w:tc>
      </w:tr>
      <w:tr>
        <w:trPr>
          <w:trHeight w:val="191"/>
        </w:trPr>
        <w:tc>
          <w:tcPr>
            <w:tcW w:w="5440" w:type="dxa"/>
            <w:vAlign w:val="bottom"/>
            <w:tcBorders>
              <w:bottom w:val="single" w:sz="8" w:color="483E65"/>
            </w:tcBorders>
          </w:tcPr>
          <w:p>
            <w:pPr>
              <w:ind w:left="80"/>
              <w:spacing w:after="0" w:line="191" w:lineRule="exact"/>
              <w:rPr>
                <w:sz w:val="20"/>
                <w:szCs w:val="20"/>
                <w:color w:val="auto"/>
              </w:rPr>
            </w:pPr>
            <w:r>
              <w:rPr>
                <w:rFonts w:ascii="Arial" w:cs="Arial" w:eastAsia="Arial" w:hAnsi="Arial"/>
                <w:sz w:val="17"/>
                <w:szCs w:val="17"/>
                <w:color w:val="auto"/>
              </w:rPr>
              <w:t>Applicable Scaleback</w:t>
            </w:r>
            <w:r>
              <w:rPr>
                <w:rFonts w:ascii="Arial" w:cs="Arial" w:eastAsia="Arial" w:hAnsi="Arial"/>
                <w:sz w:val="14"/>
                <w:szCs w:val="14"/>
                <w:color w:val="auto"/>
              </w:rPr>
              <w:t>(8)</w:t>
            </w:r>
          </w:p>
        </w:tc>
        <w:tc>
          <w:tcPr>
            <w:tcW w:w="1480" w:type="dxa"/>
            <w:vAlign w:val="bottom"/>
            <w:tcBorders>
              <w:bottom w:val="single" w:sz="8" w:color="483E65"/>
            </w:tcBorders>
          </w:tcPr>
          <w:p>
            <w:pPr>
              <w:jc w:val="right"/>
              <w:ind w:right="78"/>
              <w:spacing w:after="0" w:line="191" w:lineRule="exact"/>
              <w:rPr>
                <w:sz w:val="20"/>
                <w:szCs w:val="20"/>
                <w:color w:val="auto"/>
              </w:rPr>
            </w:pPr>
            <w:r>
              <w:rPr>
                <w:rFonts w:ascii="Arial" w:cs="Arial" w:eastAsia="Arial" w:hAnsi="Arial"/>
                <w:sz w:val="17"/>
                <w:szCs w:val="17"/>
                <w:color w:val="auto"/>
              </w:rPr>
              <w:t>N/A</w:t>
            </w:r>
          </w:p>
        </w:tc>
        <w:tc>
          <w:tcPr>
            <w:tcW w:w="1100" w:type="dxa"/>
            <w:vAlign w:val="bottom"/>
            <w:tcBorders>
              <w:bottom w:val="single" w:sz="8" w:color="483E65"/>
            </w:tcBorders>
          </w:tcPr>
          <w:p>
            <w:pPr>
              <w:jc w:val="right"/>
              <w:spacing w:after="0" w:line="191" w:lineRule="exact"/>
              <w:rPr>
                <w:sz w:val="20"/>
                <w:szCs w:val="20"/>
                <w:color w:val="auto"/>
              </w:rPr>
            </w:pPr>
            <w:r>
              <w:rPr>
                <w:rFonts w:ascii="Arial" w:cs="Arial" w:eastAsia="Arial" w:hAnsi="Arial"/>
                <w:sz w:val="17"/>
                <w:szCs w:val="17"/>
                <w:color w:val="auto"/>
              </w:rPr>
              <w:t>—</w:t>
            </w:r>
          </w:p>
        </w:tc>
        <w:tc>
          <w:tcPr>
            <w:tcW w:w="1380" w:type="dxa"/>
            <w:vAlign w:val="bottom"/>
            <w:tcBorders>
              <w:bottom w:val="single" w:sz="8" w:color="483E65"/>
            </w:tcBorders>
          </w:tcPr>
          <w:p>
            <w:pPr>
              <w:jc w:val="right"/>
              <w:ind w:right="16"/>
              <w:spacing w:after="0" w:line="191" w:lineRule="exact"/>
              <w:rPr>
                <w:sz w:val="20"/>
                <w:szCs w:val="20"/>
                <w:color w:val="auto"/>
              </w:rPr>
            </w:pPr>
            <w:r>
              <w:rPr>
                <w:rFonts w:ascii="Arial" w:cs="Arial" w:eastAsia="Arial" w:hAnsi="Arial"/>
                <w:sz w:val="17"/>
                <w:szCs w:val="17"/>
                <w:color w:val="auto"/>
              </w:rPr>
              <w:t>N/A</w:t>
            </w:r>
          </w:p>
        </w:tc>
        <w:tc>
          <w:tcPr>
            <w:tcW w:w="980" w:type="dxa"/>
            <w:vAlign w:val="bottom"/>
            <w:tcBorders>
              <w:bottom w:val="single" w:sz="8" w:color="483E65"/>
            </w:tcBorders>
          </w:tcPr>
          <w:p>
            <w:pPr>
              <w:jc w:val="right"/>
              <w:ind w:right="36"/>
              <w:spacing w:after="0" w:line="191" w:lineRule="exact"/>
              <w:rPr>
                <w:sz w:val="20"/>
                <w:szCs w:val="20"/>
                <w:color w:val="auto"/>
              </w:rPr>
            </w:pPr>
            <w:r>
              <w:rPr>
                <w:rFonts w:ascii="Arial" w:cs="Arial" w:eastAsia="Arial" w:hAnsi="Arial"/>
                <w:sz w:val="17"/>
                <w:szCs w:val="17"/>
                <w:color w:val="auto"/>
              </w:rPr>
              <w:t>N/A</w:t>
            </w:r>
          </w:p>
        </w:tc>
      </w:tr>
      <w:tr>
        <w:trPr>
          <w:trHeight w:val="183"/>
        </w:trPr>
        <w:tc>
          <w:tcPr>
            <w:tcW w:w="5440" w:type="dxa"/>
            <w:vAlign w:val="bottom"/>
            <w:tcBorders>
              <w:bottom w:val="single" w:sz="8" w:color="483E65"/>
            </w:tcBorders>
            <w:shd w:val="clear" w:color="auto" w:fill="ACABA7"/>
          </w:tcPr>
          <w:p>
            <w:pPr>
              <w:ind w:left="100"/>
              <w:spacing w:after="0" w:line="184" w:lineRule="exact"/>
              <w:rPr>
                <w:sz w:val="20"/>
                <w:szCs w:val="20"/>
                <w:color w:val="auto"/>
              </w:rPr>
            </w:pPr>
            <w:r>
              <w:rPr>
                <w:rFonts w:ascii="Arial" w:cs="Arial" w:eastAsia="Arial" w:hAnsi="Arial"/>
                <w:sz w:val="17"/>
                <w:szCs w:val="17"/>
                <w:color w:val="auto"/>
              </w:rPr>
              <w:t>Total</w:t>
            </w:r>
            <w:r>
              <w:rPr>
                <w:rFonts w:ascii="Arial" w:cs="Arial" w:eastAsia="Arial" w:hAnsi="Arial"/>
                <w:sz w:val="14"/>
                <w:szCs w:val="14"/>
                <w:color w:val="auto"/>
              </w:rPr>
              <w:t>(9)</w:t>
            </w:r>
          </w:p>
        </w:tc>
        <w:tc>
          <w:tcPr>
            <w:tcW w:w="1480" w:type="dxa"/>
            <w:vAlign w:val="bottom"/>
            <w:tcBorders>
              <w:bottom w:val="single" w:sz="8" w:color="483E65"/>
            </w:tcBorders>
            <w:shd w:val="clear" w:color="auto" w:fill="ACABA7"/>
          </w:tcPr>
          <w:p>
            <w:pPr>
              <w:jc w:val="right"/>
              <w:ind w:right="78"/>
              <w:spacing w:after="0" w:line="184" w:lineRule="exact"/>
              <w:rPr>
                <w:sz w:val="20"/>
                <w:szCs w:val="20"/>
                <w:color w:val="auto"/>
              </w:rPr>
            </w:pPr>
            <w:r>
              <w:rPr>
                <w:rFonts w:ascii="Arial" w:cs="Arial" w:eastAsia="Arial" w:hAnsi="Arial"/>
                <w:sz w:val="17"/>
                <w:szCs w:val="17"/>
                <w:color w:val="auto"/>
              </w:rPr>
              <w:t>3,784,069</w:t>
            </w:r>
          </w:p>
        </w:tc>
        <w:tc>
          <w:tcPr>
            <w:tcW w:w="1100" w:type="dxa"/>
            <w:vAlign w:val="bottom"/>
            <w:tcBorders>
              <w:bottom w:val="single" w:sz="8" w:color="483E65"/>
            </w:tcBorders>
            <w:shd w:val="clear" w:color="auto" w:fill="ACABA7"/>
          </w:tcPr>
          <w:p>
            <w:pPr>
              <w:jc w:val="right"/>
              <w:spacing w:after="0" w:line="184" w:lineRule="exact"/>
              <w:rPr>
                <w:sz w:val="20"/>
                <w:szCs w:val="20"/>
                <w:color w:val="auto"/>
              </w:rPr>
            </w:pPr>
            <w:r>
              <w:rPr>
                <w:rFonts w:ascii="Arial" w:cs="Arial" w:eastAsia="Arial" w:hAnsi="Arial"/>
                <w:sz w:val="17"/>
                <w:szCs w:val="17"/>
                <w:color w:val="auto"/>
              </w:rPr>
              <w:t>8,118,012</w:t>
            </w:r>
          </w:p>
        </w:tc>
        <w:tc>
          <w:tcPr>
            <w:tcW w:w="1380" w:type="dxa"/>
            <w:vAlign w:val="bottom"/>
            <w:tcBorders>
              <w:bottom w:val="single" w:sz="8" w:color="483E65"/>
            </w:tcBorders>
            <w:shd w:val="clear" w:color="auto" w:fill="ACABA7"/>
          </w:tcPr>
          <w:p>
            <w:pPr>
              <w:jc w:val="right"/>
              <w:ind w:right="16"/>
              <w:spacing w:after="0" w:line="184" w:lineRule="exact"/>
              <w:rPr>
                <w:sz w:val="20"/>
                <w:szCs w:val="20"/>
                <w:color w:val="auto"/>
              </w:rPr>
            </w:pPr>
            <w:r>
              <w:rPr>
                <w:rFonts w:ascii="Arial" w:cs="Arial" w:eastAsia="Arial" w:hAnsi="Arial"/>
                <w:sz w:val="17"/>
                <w:szCs w:val="17"/>
                <w:color w:val="auto"/>
              </w:rPr>
              <w:t>6,346,707</w:t>
            </w:r>
          </w:p>
        </w:tc>
        <w:tc>
          <w:tcPr>
            <w:tcW w:w="980" w:type="dxa"/>
            <w:vAlign w:val="bottom"/>
            <w:tcBorders>
              <w:bottom w:val="single" w:sz="8" w:color="483E65"/>
            </w:tcBorders>
            <w:shd w:val="clear" w:color="auto" w:fill="ACABA7"/>
          </w:tcPr>
          <w:p>
            <w:pPr>
              <w:jc w:val="right"/>
              <w:ind w:right="36"/>
              <w:spacing w:after="0" w:line="184" w:lineRule="exact"/>
              <w:rPr>
                <w:sz w:val="20"/>
                <w:szCs w:val="20"/>
                <w:color w:val="auto"/>
              </w:rPr>
            </w:pPr>
            <w:r>
              <w:rPr>
                <w:rFonts w:ascii="Arial" w:cs="Arial" w:eastAsia="Arial" w:hAnsi="Arial"/>
                <w:sz w:val="17"/>
                <w:szCs w:val="17"/>
                <w:color w:val="auto"/>
              </w:rPr>
              <w:t>5,605,130</w:t>
            </w:r>
          </w:p>
        </w:tc>
      </w:tr>
      <w:tr>
        <w:trPr>
          <w:trHeight w:val="272"/>
        </w:trPr>
        <w:tc>
          <w:tcPr>
            <w:tcW w:w="5440" w:type="dxa"/>
            <w:vAlign w:val="bottom"/>
          </w:tcPr>
          <w:p>
            <w:pPr>
              <w:ind w:left="100"/>
              <w:spacing w:after="0"/>
              <w:rPr>
                <w:sz w:val="20"/>
                <w:szCs w:val="20"/>
                <w:color w:val="auto"/>
              </w:rPr>
            </w:pPr>
            <w:r>
              <w:rPr>
                <w:rFonts w:ascii="Arial" w:cs="Arial" w:eastAsia="Arial" w:hAnsi="Arial"/>
                <w:sz w:val="17"/>
                <w:szCs w:val="17"/>
                <w:b w:val="1"/>
                <w:bCs w:val="1"/>
                <w:color w:val="auto"/>
              </w:rPr>
              <w:t>Jerald S. Howe, Jr.</w:t>
            </w:r>
          </w:p>
        </w:tc>
        <w:tc>
          <w:tcPr>
            <w:tcW w:w="1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191"/>
        </w:trPr>
        <w:tc>
          <w:tcPr>
            <w:tcW w:w="544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Severance and Pro-rata Bonus</w:t>
            </w:r>
            <w:r>
              <w:rPr>
                <w:rFonts w:ascii="Arial" w:cs="Arial" w:eastAsia="Arial" w:hAnsi="Arial"/>
                <w:sz w:val="14"/>
                <w:szCs w:val="14"/>
                <w:color w:val="auto"/>
              </w:rPr>
              <w:t>(3)</w:t>
            </w:r>
          </w:p>
        </w:tc>
        <w:tc>
          <w:tcPr>
            <w:tcW w:w="1480" w:type="dxa"/>
            <w:vAlign w:val="bottom"/>
            <w:shd w:val="clear" w:color="auto" w:fill="ACABA7"/>
          </w:tcPr>
          <w:p>
            <w:pPr>
              <w:jc w:val="right"/>
              <w:ind w:right="78"/>
              <w:spacing w:after="0" w:line="191" w:lineRule="exact"/>
              <w:rPr>
                <w:sz w:val="20"/>
                <w:szCs w:val="20"/>
                <w:color w:val="auto"/>
              </w:rPr>
            </w:pPr>
            <w:r>
              <w:rPr>
                <w:rFonts w:ascii="Arial" w:cs="Arial" w:eastAsia="Arial" w:hAnsi="Arial"/>
                <w:sz w:val="17"/>
                <w:szCs w:val="17"/>
                <w:color w:val="auto"/>
              </w:rPr>
              <w:t>1,169,087</w:t>
            </w:r>
          </w:p>
        </w:tc>
        <w:tc>
          <w:tcPr>
            <w:tcW w:w="110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2,065,000</w:t>
            </w:r>
          </w:p>
        </w:tc>
        <w:tc>
          <w:tcPr>
            <w:tcW w:w="1380" w:type="dxa"/>
            <w:vAlign w:val="bottom"/>
            <w:shd w:val="clear" w:color="auto" w:fill="ACABA7"/>
          </w:tcPr>
          <w:p>
            <w:pPr>
              <w:jc w:val="right"/>
              <w:ind w:right="16"/>
              <w:spacing w:after="0" w:line="191" w:lineRule="exact"/>
              <w:rPr>
                <w:sz w:val="20"/>
                <w:szCs w:val="20"/>
                <w:color w:val="auto"/>
              </w:rPr>
            </w:pPr>
            <w:r>
              <w:rPr>
                <w:rFonts w:ascii="Arial" w:cs="Arial" w:eastAsia="Arial" w:hAnsi="Arial"/>
                <w:sz w:val="17"/>
                <w:szCs w:val="17"/>
                <w:color w:val="auto"/>
              </w:rPr>
              <w:t>579,087</w:t>
            </w:r>
          </w:p>
        </w:tc>
        <w:tc>
          <w:tcPr>
            <w:tcW w:w="980" w:type="dxa"/>
            <w:vAlign w:val="bottom"/>
            <w:shd w:val="clear" w:color="auto" w:fill="ACABA7"/>
          </w:tcPr>
          <w:p>
            <w:pPr>
              <w:jc w:val="right"/>
              <w:ind w:right="36"/>
              <w:spacing w:after="0" w:line="191" w:lineRule="exact"/>
              <w:rPr>
                <w:sz w:val="20"/>
                <w:szCs w:val="20"/>
                <w:color w:val="auto"/>
              </w:rPr>
            </w:pPr>
            <w:r>
              <w:rPr>
                <w:rFonts w:ascii="Arial" w:cs="Arial" w:eastAsia="Arial" w:hAnsi="Arial"/>
                <w:sz w:val="17"/>
                <w:szCs w:val="17"/>
                <w:color w:val="auto"/>
              </w:rPr>
              <w:t>579,087</w:t>
            </w:r>
          </w:p>
        </w:tc>
      </w:tr>
      <w:tr>
        <w:trPr>
          <w:trHeight w:val="191"/>
        </w:trPr>
        <w:tc>
          <w:tcPr>
            <w:tcW w:w="5440" w:type="dxa"/>
            <w:vAlign w:val="bottom"/>
          </w:tcPr>
          <w:p>
            <w:pPr>
              <w:ind w:left="100"/>
              <w:spacing w:after="0" w:line="191" w:lineRule="exact"/>
              <w:rPr>
                <w:sz w:val="20"/>
                <w:szCs w:val="20"/>
                <w:color w:val="auto"/>
              </w:rPr>
            </w:pPr>
            <w:r>
              <w:rPr>
                <w:rFonts w:ascii="Arial" w:cs="Arial" w:eastAsia="Arial" w:hAnsi="Arial"/>
                <w:sz w:val="17"/>
                <w:szCs w:val="17"/>
                <w:color w:val="auto"/>
              </w:rPr>
              <w:t>Restricted Stock Units</w:t>
            </w:r>
            <w:r>
              <w:rPr>
                <w:rFonts w:ascii="Arial" w:cs="Arial" w:eastAsia="Arial" w:hAnsi="Arial"/>
                <w:sz w:val="14"/>
                <w:szCs w:val="14"/>
                <w:color w:val="auto"/>
              </w:rPr>
              <w:t>(4)</w:t>
            </w:r>
          </w:p>
        </w:tc>
        <w:tc>
          <w:tcPr>
            <w:tcW w:w="1480" w:type="dxa"/>
            <w:vAlign w:val="bottom"/>
          </w:tcPr>
          <w:p>
            <w:pPr>
              <w:jc w:val="right"/>
              <w:ind w:right="78"/>
              <w:spacing w:after="0" w:line="191" w:lineRule="exact"/>
              <w:rPr>
                <w:sz w:val="20"/>
                <w:szCs w:val="20"/>
                <w:color w:val="auto"/>
              </w:rPr>
            </w:pPr>
            <w:r>
              <w:rPr>
                <w:rFonts w:ascii="Arial" w:cs="Arial" w:eastAsia="Arial" w:hAnsi="Arial"/>
                <w:sz w:val="17"/>
                <w:szCs w:val="17"/>
                <w:color w:val="auto"/>
              </w:rPr>
              <w:t>211,867</w:t>
            </w:r>
          </w:p>
        </w:tc>
        <w:tc>
          <w:tcPr>
            <w:tcW w:w="1100" w:type="dxa"/>
            <w:vAlign w:val="bottom"/>
          </w:tcPr>
          <w:p>
            <w:pPr>
              <w:jc w:val="right"/>
              <w:spacing w:after="0" w:line="191" w:lineRule="exact"/>
              <w:rPr>
                <w:sz w:val="20"/>
                <w:szCs w:val="20"/>
                <w:color w:val="auto"/>
              </w:rPr>
            </w:pPr>
            <w:r>
              <w:rPr>
                <w:rFonts w:ascii="Arial" w:cs="Arial" w:eastAsia="Arial" w:hAnsi="Arial"/>
                <w:sz w:val="17"/>
                <w:szCs w:val="17"/>
                <w:color w:val="auto"/>
              </w:rPr>
              <w:t>920,195</w:t>
            </w:r>
          </w:p>
        </w:tc>
        <w:tc>
          <w:tcPr>
            <w:tcW w:w="1380" w:type="dxa"/>
            <w:vAlign w:val="bottom"/>
          </w:tcPr>
          <w:p>
            <w:pPr>
              <w:jc w:val="right"/>
              <w:ind w:right="16"/>
              <w:spacing w:after="0" w:line="191" w:lineRule="exact"/>
              <w:rPr>
                <w:sz w:val="20"/>
                <w:szCs w:val="20"/>
                <w:color w:val="auto"/>
              </w:rPr>
            </w:pPr>
            <w:r>
              <w:rPr>
                <w:rFonts w:ascii="Arial" w:cs="Arial" w:eastAsia="Arial" w:hAnsi="Arial"/>
                <w:sz w:val="17"/>
                <w:szCs w:val="17"/>
                <w:color w:val="auto"/>
              </w:rPr>
              <w:t>920,195</w:t>
            </w:r>
          </w:p>
        </w:tc>
        <w:tc>
          <w:tcPr>
            <w:tcW w:w="980" w:type="dxa"/>
            <w:vAlign w:val="bottom"/>
          </w:tcPr>
          <w:p>
            <w:pPr>
              <w:jc w:val="right"/>
              <w:ind w:right="36"/>
              <w:spacing w:after="0" w:line="191" w:lineRule="exact"/>
              <w:rPr>
                <w:sz w:val="20"/>
                <w:szCs w:val="20"/>
                <w:color w:val="auto"/>
              </w:rPr>
            </w:pPr>
            <w:r>
              <w:rPr>
                <w:rFonts w:ascii="Arial" w:cs="Arial" w:eastAsia="Arial" w:hAnsi="Arial"/>
                <w:sz w:val="17"/>
                <w:szCs w:val="17"/>
                <w:color w:val="auto"/>
              </w:rPr>
              <w:t>920,195</w:t>
            </w:r>
          </w:p>
        </w:tc>
      </w:tr>
      <w:tr>
        <w:trPr>
          <w:trHeight w:val="191"/>
        </w:trPr>
        <w:tc>
          <w:tcPr>
            <w:tcW w:w="544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Stock Options</w:t>
            </w:r>
            <w:r>
              <w:rPr>
                <w:rFonts w:ascii="Arial" w:cs="Arial" w:eastAsia="Arial" w:hAnsi="Arial"/>
                <w:sz w:val="14"/>
                <w:szCs w:val="14"/>
                <w:color w:val="auto"/>
              </w:rPr>
              <w:t>(5)</w:t>
            </w:r>
          </w:p>
        </w:tc>
        <w:tc>
          <w:tcPr>
            <w:tcW w:w="1480" w:type="dxa"/>
            <w:vAlign w:val="bottom"/>
            <w:shd w:val="clear" w:color="auto" w:fill="ACABA7"/>
          </w:tcPr>
          <w:p>
            <w:pPr>
              <w:jc w:val="right"/>
              <w:ind w:right="78"/>
              <w:spacing w:after="0" w:line="191" w:lineRule="exact"/>
              <w:rPr>
                <w:sz w:val="20"/>
                <w:szCs w:val="20"/>
                <w:color w:val="auto"/>
              </w:rPr>
            </w:pPr>
            <w:r>
              <w:rPr>
                <w:rFonts w:ascii="Arial" w:cs="Arial" w:eastAsia="Arial" w:hAnsi="Arial"/>
                <w:sz w:val="17"/>
                <w:szCs w:val="17"/>
                <w:color w:val="auto"/>
              </w:rPr>
              <w:t>259,673</w:t>
            </w:r>
          </w:p>
        </w:tc>
        <w:tc>
          <w:tcPr>
            <w:tcW w:w="110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1,147,979</w:t>
            </w:r>
          </w:p>
        </w:tc>
        <w:tc>
          <w:tcPr>
            <w:tcW w:w="1380" w:type="dxa"/>
            <w:vAlign w:val="bottom"/>
            <w:shd w:val="clear" w:color="auto" w:fill="ACABA7"/>
          </w:tcPr>
          <w:p>
            <w:pPr>
              <w:jc w:val="right"/>
              <w:ind w:right="16"/>
              <w:spacing w:after="0" w:line="191" w:lineRule="exact"/>
              <w:rPr>
                <w:sz w:val="20"/>
                <w:szCs w:val="20"/>
                <w:color w:val="auto"/>
              </w:rPr>
            </w:pPr>
            <w:r>
              <w:rPr>
                <w:rFonts w:ascii="Arial" w:cs="Arial" w:eastAsia="Arial" w:hAnsi="Arial"/>
                <w:sz w:val="17"/>
                <w:szCs w:val="17"/>
                <w:color w:val="auto"/>
              </w:rPr>
              <w:t>1,147,979</w:t>
            </w:r>
          </w:p>
        </w:tc>
        <w:tc>
          <w:tcPr>
            <w:tcW w:w="980" w:type="dxa"/>
            <w:vAlign w:val="bottom"/>
            <w:shd w:val="clear" w:color="auto" w:fill="ACABA7"/>
          </w:tcPr>
          <w:p>
            <w:pPr>
              <w:jc w:val="right"/>
              <w:ind w:right="36"/>
              <w:spacing w:after="0" w:line="191" w:lineRule="exact"/>
              <w:rPr>
                <w:sz w:val="20"/>
                <w:szCs w:val="20"/>
                <w:color w:val="auto"/>
              </w:rPr>
            </w:pPr>
            <w:r>
              <w:rPr>
                <w:rFonts w:ascii="Arial" w:cs="Arial" w:eastAsia="Arial" w:hAnsi="Arial"/>
                <w:sz w:val="17"/>
                <w:szCs w:val="17"/>
                <w:color w:val="auto"/>
              </w:rPr>
              <w:t>1,147,979</w:t>
            </w:r>
          </w:p>
        </w:tc>
      </w:tr>
      <w:tr>
        <w:trPr>
          <w:trHeight w:val="191"/>
        </w:trPr>
        <w:tc>
          <w:tcPr>
            <w:tcW w:w="5440" w:type="dxa"/>
            <w:vAlign w:val="bottom"/>
          </w:tcPr>
          <w:p>
            <w:pPr>
              <w:ind w:left="100"/>
              <w:spacing w:after="0" w:line="191" w:lineRule="exact"/>
              <w:rPr>
                <w:sz w:val="20"/>
                <w:szCs w:val="20"/>
                <w:color w:val="auto"/>
              </w:rPr>
            </w:pPr>
            <w:r>
              <w:rPr>
                <w:rFonts w:ascii="Arial" w:cs="Arial" w:eastAsia="Arial" w:hAnsi="Arial"/>
                <w:sz w:val="17"/>
                <w:szCs w:val="17"/>
                <w:color w:val="auto"/>
              </w:rPr>
              <w:t>Performance Share Awards</w:t>
            </w:r>
            <w:r>
              <w:rPr>
                <w:rFonts w:ascii="Arial" w:cs="Arial" w:eastAsia="Arial" w:hAnsi="Arial"/>
                <w:sz w:val="14"/>
                <w:szCs w:val="14"/>
                <w:color w:val="auto"/>
              </w:rPr>
              <w:t>(6)</w:t>
            </w:r>
          </w:p>
        </w:tc>
        <w:tc>
          <w:tcPr>
            <w:tcW w:w="1480" w:type="dxa"/>
            <w:vAlign w:val="bottom"/>
          </w:tcPr>
          <w:p>
            <w:pPr>
              <w:jc w:val="right"/>
              <w:ind w:right="78"/>
              <w:spacing w:after="0" w:line="191" w:lineRule="exact"/>
              <w:rPr>
                <w:sz w:val="20"/>
                <w:szCs w:val="20"/>
                <w:color w:val="auto"/>
              </w:rPr>
            </w:pPr>
            <w:r>
              <w:rPr>
                <w:rFonts w:ascii="Arial" w:cs="Arial" w:eastAsia="Arial" w:hAnsi="Arial"/>
                <w:sz w:val="17"/>
                <w:szCs w:val="17"/>
                <w:color w:val="auto"/>
              </w:rPr>
              <w:t>1,313,295</w:t>
            </w:r>
          </w:p>
        </w:tc>
        <w:tc>
          <w:tcPr>
            <w:tcW w:w="1100" w:type="dxa"/>
            <w:vAlign w:val="bottom"/>
          </w:tcPr>
          <w:p>
            <w:pPr>
              <w:jc w:val="right"/>
              <w:spacing w:after="0" w:line="191" w:lineRule="exact"/>
              <w:rPr>
                <w:sz w:val="20"/>
                <w:szCs w:val="20"/>
                <w:color w:val="auto"/>
              </w:rPr>
            </w:pPr>
            <w:r>
              <w:rPr>
                <w:rFonts w:ascii="Arial" w:cs="Arial" w:eastAsia="Arial" w:hAnsi="Arial"/>
                <w:sz w:val="17"/>
                <w:szCs w:val="17"/>
                <w:color w:val="auto"/>
              </w:rPr>
              <w:t>2,240,294</w:t>
            </w:r>
          </w:p>
        </w:tc>
        <w:tc>
          <w:tcPr>
            <w:tcW w:w="1380" w:type="dxa"/>
            <w:vAlign w:val="bottom"/>
          </w:tcPr>
          <w:p>
            <w:pPr>
              <w:jc w:val="right"/>
              <w:ind w:right="16"/>
              <w:spacing w:after="0" w:line="191" w:lineRule="exact"/>
              <w:rPr>
                <w:sz w:val="20"/>
                <w:szCs w:val="20"/>
                <w:color w:val="auto"/>
              </w:rPr>
            </w:pPr>
            <w:r>
              <w:rPr>
                <w:rFonts w:ascii="Arial" w:cs="Arial" w:eastAsia="Arial" w:hAnsi="Arial"/>
                <w:sz w:val="17"/>
                <w:szCs w:val="17"/>
                <w:color w:val="auto"/>
              </w:rPr>
              <w:t>1,887,919</w:t>
            </w:r>
          </w:p>
        </w:tc>
        <w:tc>
          <w:tcPr>
            <w:tcW w:w="980" w:type="dxa"/>
            <w:vAlign w:val="bottom"/>
          </w:tcPr>
          <w:p>
            <w:pPr>
              <w:jc w:val="right"/>
              <w:ind w:right="36"/>
              <w:spacing w:after="0" w:line="191" w:lineRule="exact"/>
              <w:rPr>
                <w:sz w:val="20"/>
                <w:szCs w:val="20"/>
                <w:color w:val="auto"/>
              </w:rPr>
            </w:pPr>
            <w:r>
              <w:rPr>
                <w:rFonts w:ascii="Arial" w:cs="Arial" w:eastAsia="Arial" w:hAnsi="Arial"/>
                <w:sz w:val="17"/>
                <w:szCs w:val="17"/>
                <w:color w:val="auto"/>
              </w:rPr>
              <w:t>1,313,295</w:t>
            </w:r>
          </w:p>
        </w:tc>
      </w:tr>
      <w:tr>
        <w:trPr>
          <w:trHeight w:val="191"/>
        </w:trPr>
        <w:tc>
          <w:tcPr>
            <w:tcW w:w="544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Benefits &amp; Perquisites</w:t>
            </w:r>
            <w:r>
              <w:rPr>
                <w:rFonts w:ascii="Arial" w:cs="Arial" w:eastAsia="Arial" w:hAnsi="Arial"/>
                <w:sz w:val="14"/>
                <w:szCs w:val="14"/>
                <w:color w:val="auto"/>
              </w:rPr>
              <w:t>(7)</w:t>
            </w:r>
          </w:p>
        </w:tc>
        <w:tc>
          <w:tcPr>
            <w:tcW w:w="1480" w:type="dxa"/>
            <w:vAlign w:val="bottom"/>
            <w:shd w:val="clear" w:color="auto" w:fill="ACABA7"/>
          </w:tcPr>
          <w:p>
            <w:pPr>
              <w:jc w:val="right"/>
              <w:ind w:right="78"/>
              <w:spacing w:after="0" w:line="191" w:lineRule="exact"/>
              <w:rPr>
                <w:sz w:val="20"/>
                <w:szCs w:val="20"/>
                <w:color w:val="auto"/>
              </w:rPr>
            </w:pPr>
            <w:r>
              <w:rPr>
                <w:rFonts w:ascii="Arial" w:cs="Arial" w:eastAsia="Arial" w:hAnsi="Arial"/>
                <w:sz w:val="17"/>
                <w:szCs w:val="17"/>
                <w:color w:val="auto"/>
              </w:rPr>
              <w:t>14,209</w:t>
            </w:r>
          </w:p>
        </w:tc>
        <w:tc>
          <w:tcPr>
            <w:tcW w:w="110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25,063</w:t>
            </w:r>
          </w:p>
        </w:tc>
        <w:tc>
          <w:tcPr>
            <w:tcW w:w="1380" w:type="dxa"/>
            <w:vAlign w:val="bottom"/>
            <w:shd w:val="clear" w:color="auto" w:fill="ACABA7"/>
          </w:tcPr>
          <w:p>
            <w:pPr>
              <w:jc w:val="right"/>
              <w:ind w:right="16"/>
              <w:spacing w:after="0" w:line="191" w:lineRule="exact"/>
              <w:rPr>
                <w:sz w:val="20"/>
                <w:szCs w:val="20"/>
                <w:color w:val="auto"/>
              </w:rPr>
            </w:pPr>
            <w:r>
              <w:rPr>
                <w:rFonts w:ascii="Arial" w:cs="Arial" w:eastAsia="Arial" w:hAnsi="Arial"/>
                <w:sz w:val="17"/>
                <w:szCs w:val="17"/>
                <w:color w:val="auto"/>
              </w:rPr>
              <w:t>—</w:t>
            </w:r>
          </w:p>
        </w:tc>
        <w:tc>
          <w:tcPr>
            <w:tcW w:w="980" w:type="dxa"/>
            <w:vAlign w:val="bottom"/>
            <w:shd w:val="clear" w:color="auto" w:fill="ACABA7"/>
          </w:tcPr>
          <w:p>
            <w:pPr>
              <w:jc w:val="right"/>
              <w:ind w:right="36"/>
              <w:spacing w:after="0" w:line="191" w:lineRule="exact"/>
              <w:rPr>
                <w:sz w:val="20"/>
                <w:szCs w:val="20"/>
                <w:color w:val="auto"/>
              </w:rPr>
            </w:pPr>
            <w:r>
              <w:rPr>
                <w:rFonts w:ascii="Arial" w:cs="Arial" w:eastAsia="Arial" w:hAnsi="Arial"/>
                <w:sz w:val="17"/>
                <w:szCs w:val="17"/>
                <w:color w:val="auto"/>
              </w:rPr>
              <w:t>—</w:t>
            </w:r>
          </w:p>
        </w:tc>
      </w:tr>
      <w:tr>
        <w:trPr>
          <w:trHeight w:val="191"/>
        </w:trPr>
        <w:tc>
          <w:tcPr>
            <w:tcW w:w="5440" w:type="dxa"/>
            <w:vAlign w:val="bottom"/>
            <w:tcBorders>
              <w:bottom w:val="single" w:sz="8" w:color="483E65"/>
            </w:tcBorders>
          </w:tcPr>
          <w:p>
            <w:pPr>
              <w:ind w:left="80"/>
              <w:spacing w:after="0" w:line="191" w:lineRule="exact"/>
              <w:rPr>
                <w:sz w:val="20"/>
                <w:szCs w:val="20"/>
                <w:color w:val="auto"/>
              </w:rPr>
            </w:pPr>
            <w:r>
              <w:rPr>
                <w:rFonts w:ascii="Arial" w:cs="Arial" w:eastAsia="Arial" w:hAnsi="Arial"/>
                <w:sz w:val="17"/>
                <w:szCs w:val="17"/>
                <w:color w:val="auto"/>
              </w:rPr>
              <w:t>Applicable Scaleback</w:t>
            </w:r>
            <w:r>
              <w:rPr>
                <w:rFonts w:ascii="Arial" w:cs="Arial" w:eastAsia="Arial" w:hAnsi="Arial"/>
                <w:sz w:val="14"/>
                <w:szCs w:val="14"/>
                <w:color w:val="auto"/>
              </w:rPr>
              <w:t>(8)</w:t>
            </w:r>
          </w:p>
        </w:tc>
        <w:tc>
          <w:tcPr>
            <w:tcW w:w="1480" w:type="dxa"/>
            <w:vAlign w:val="bottom"/>
            <w:tcBorders>
              <w:bottom w:val="single" w:sz="8" w:color="483E65"/>
            </w:tcBorders>
          </w:tcPr>
          <w:p>
            <w:pPr>
              <w:jc w:val="right"/>
              <w:ind w:right="78"/>
              <w:spacing w:after="0" w:line="191" w:lineRule="exact"/>
              <w:rPr>
                <w:sz w:val="20"/>
                <w:szCs w:val="20"/>
                <w:color w:val="auto"/>
              </w:rPr>
            </w:pPr>
            <w:r>
              <w:rPr>
                <w:rFonts w:ascii="Arial" w:cs="Arial" w:eastAsia="Arial" w:hAnsi="Arial"/>
                <w:sz w:val="17"/>
                <w:szCs w:val="17"/>
                <w:color w:val="auto"/>
              </w:rPr>
              <w:t>N/A</w:t>
            </w:r>
          </w:p>
        </w:tc>
        <w:tc>
          <w:tcPr>
            <w:tcW w:w="1100" w:type="dxa"/>
            <w:vAlign w:val="bottom"/>
            <w:tcBorders>
              <w:bottom w:val="single" w:sz="8" w:color="483E65"/>
            </w:tcBorders>
          </w:tcPr>
          <w:p>
            <w:pPr>
              <w:jc w:val="right"/>
              <w:spacing w:after="0" w:line="191" w:lineRule="exact"/>
              <w:rPr>
                <w:sz w:val="20"/>
                <w:szCs w:val="20"/>
                <w:color w:val="auto"/>
              </w:rPr>
            </w:pPr>
            <w:r>
              <w:rPr>
                <w:rFonts w:ascii="Arial" w:cs="Arial" w:eastAsia="Arial" w:hAnsi="Arial"/>
                <w:sz w:val="17"/>
                <w:szCs w:val="17"/>
                <w:color w:val="auto"/>
              </w:rPr>
              <w:t>—</w:t>
            </w:r>
          </w:p>
        </w:tc>
        <w:tc>
          <w:tcPr>
            <w:tcW w:w="1380" w:type="dxa"/>
            <w:vAlign w:val="bottom"/>
            <w:tcBorders>
              <w:bottom w:val="single" w:sz="8" w:color="483E65"/>
            </w:tcBorders>
          </w:tcPr>
          <w:p>
            <w:pPr>
              <w:jc w:val="right"/>
              <w:ind w:right="16"/>
              <w:spacing w:after="0" w:line="191" w:lineRule="exact"/>
              <w:rPr>
                <w:sz w:val="20"/>
                <w:szCs w:val="20"/>
                <w:color w:val="auto"/>
              </w:rPr>
            </w:pPr>
            <w:r>
              <w:rPr>
                <w:rFonts w:ascii="Arial" w:cs="Arial" w:eastAsia="Arial" w:hAnsi="Arial"/>
                <w:sz w:val="17"/>
                <w:szCs w:val="17"/>
                <w:color w:val="auto"/>
              </w:rPr>
              <w:t>N/A</w:t>
            </w:r>
          </w:p>
        </w:tc>
        <w:tc>
          <w:tcPr>
            <w:tcW w:w="980" w:type="dxa"/>
            <w:vAlign w:val="bottom"/>
            <w:tcBorders>
              <w:bottom w:val="single" w:sz="8" w:color="483E65"/>
            </w:tcBorders>
          </w:tcPr>
          <w:p>
            <w:pPr>
              <w:jc w:val="right"/>
              <w:ind w:right="36"/>
              <w:spacing w:after="0" w:line="191" w:lineRule="exact"/>
              <w:rPr>
                <w:sz w:val="20"/>
                <w:szCs w:val="20"/>
                <w:color w:val="auto"/>
              </w:rPr>
            </w:pPr>
            <w:r>
              <w:rPr>
                <w:rFonts w:ascii="Arial" w:cs="Arial" w:eastAsia="Arial" w:hAnsi="Arial"/>
                <w:sz w:val="17"/>
                <w:szCs w:val="17"/>
                <w:color w:val="auto"/>
              </w:rPr>
              <w:t>N/A</w:t>
            </w:r>
          </w:p>
        </w:tc>
      </w:tr>
      <w:tr>
        <w:trPr>
          <w:trHeight w:val="183"/>
        </w:trPr>
        <w:tc>
          <w:tcPr>
            <w:tcW w:w="5440" w:type="dxa"/>
            <w:vAlign w:val="bottom"/>
            <w:tcBorders>
              <w:bottom w:val="single" w:sz="8" w:color="483E65"/>
            </w:tcBorders>
            <w:shd w:val="clear" w:color="auto" w:fill="ACABA7"/>
          </w:tcPr>
          <w:p>
            <w:pPr>
              <w:ind w:left="100"/>
              <w:spacing w:after="0" w:line="184" w:lineRule="exact"/>
              <w:rPr>
                <w:sz w:val="20"/>
                <w:szCs w:val="20"/>
                <w:color w:val="auto"/>
              </w:rPr>
            </w:pPr>
            <w:r>
              <w:rPr>
                <w:rFonts w:ascii="Arial" w:cs="Arial" w:eastAsia="Arial" w:hAnsi="Arial"/>
                <w:sz w:val="17"/>
                <w:szCs w:val="17"/>
                <w:color w:val="auto"/>
              </w:rPr>
              <w:t>Total</w:t>
            </w:r>
            <w:r>
              <w:rPr>
                <w:rFonts w:ascii="Arial" w:cs="Arial" w:eastAsia="Arial" w:hAnsi="Arial"/>
                <w:sz w:val="14"/>
                <w:szCs w:val="14"/>
                <w:color w:val="auto"/>
              </w:rPr>
              <w:t>(9)</w:t>
            </w:r>
          </w:p>
        </w:tc>
        <w:tc>
          <w:tcPr>
            <w:tcW w:w="1480" w:type="dxa"/>
            <w:vAlign w:val="bottom"/>
            <w:tcBorders>
              <w:bottom w:val="single" w:sz="8" w:color="483E65"/>
            </w:tcBorders>
            <w:shd w:val="clear" w:color="auto" w:fill="ACABA7"/>
          </w:tcPr>
          <w:p>
            <w:pPr>
              <w:jc w:val="right"/>
              <w:ind w:right="78"/>
              <w:spacing w:after="0" w:line="184" w:lineRule="exact"/>
              <w:rPr>
                <w:sz w:val="20"/>
                <w:szCs w:val="20"/>
                <w:color w:val="auto"/>
              </w:rPr>
            </w:pPr>
            <w:r>
              <w:rPr>
                <w:rFonts w:ascii="Arial" w:cs="Arial" w:eastAsia="Arial" w:hAnsi="Arial"/>
                <w:sz w:val="17"/>
                <w:szCs w:val="17"/>
                <w:color w:val="auto"/>
              </w:rPr>
              <w:t>2,968,131</w:t>
            </w:r>
          </w:p>
        </w:tc>
        <w:tc>
          <w:tcPr>
            <w:tcW w:w="1100" w:type="dxa"/>
            <w:vAlign w:val="bottom"/>
            <w:tcBorders>
              <w:bottom w:val="single" w:sz="8" w:color="483E65"/>
            </w:tcBorders>
            <w:shd w:val="clear" w:color="auto" w:fill="ACABA7"/>
          </w:tcPr>
          <w:p>
            <w:pPr>
              <w:jc w:val="right"/>
              <w:spacing w:after="0" w:line="184" w:lineRule="exact"/>
              <w:rPr>
                <w:sz w:val="20"/>
                <w:szCs w:val="20"/>
                <w:color w:val="auto"/>
              </w:rPr>
            </w:pPr>
            <w:r>
              <w:rPr>
                <w:rFonts w:ascii="Arial" w:cs="Arial" w:eastAsia="Arial" w:hAnsi="Arial"/>
                <w:sz w:val="17"/>
                <w:szCs w:val="17"/>
                <w:color w:val="auto"/>
              </w:rPr>
              <w:t>6,398,531</w:t>
            </w:r>
          </w:p>
        </w:tc>
        <w:tc>
          <w:tcPr>
            <w:tcW w:w="1380" w:type="dxa"/>
            <w:vAlign w:val="bottom"/>
            <w:tcBorders>
              <w:bottom w:val="single" w:sz="8" w:color="483E65"/>
            </w:tcBorders>
            <w:shd w:val="clear" w:color="auto" w:fill="ACABA7"/>
          </w:tcPr>
          <w:p>
            <w:pPr>
              <w:jc w:val="right"/>
              <w:ind w:right="16"/>
              <w:spacing w:after="0" w:line="184" w:lineRule="exact"/>
              <w:rPr>
                <w:sz w:val="20"/>
                <w:szCs w:val="20"/>
                <w:color w:val="auto"/>
              </w:rPr>
            </w:pPr>
            <w:r>
              <w:rPr>
                <w:rFonts w:ascii="Arial" w:cs="Arial" w:eastAsia="Arial" w:hAnsi="Arial"/>
                <w:sz w:val="17"/>
                <w:szCs w:val="17"/>
                <w:color w:val="auto"/>
              </w:rPr>
              <w:t>4,535,180</w:t>
            </w:r>
          </w:p>
        </w:tc>
        <w:tc>
          <w:tcPr>
            <w:tcW w:w="980" w:type="dxa"/>
            <w:vAlign w:val="bottom"/>
            <w:tcBorders>
              <w:bottom w:val="single" w:sz="8" w:color="483E65"/>
            </w:tcBorders>
            <w:shd w:val="clear" w:color="auto" w:fill="ACABA7"/>
          </w:tcPr>
          <w:p>
            <w:pPr>
              <w:jc w:val="right"/>
              <w:ind w:right="36"/>
              <w:spacing w:after="0" w:line="184" w:lineRule="exact"/>
              <w:rPr>
                <w:sz w:val="20"/>
                <w:szCs w:val="20"/>
                <w:color w:val="auto"/>
              </w:rPr>
            </w:pPr>
            <w:r>
              <w:rPr>
                <w:rFonts w:ascii="Arial" w:cs="Arial" w:eastAsia="Arial" w:hAnsi="Arial"/>
                <w:sz w:val="17"/>
                <w:szCs w:val="17"/>
                <w:color w:val="auto"/>
              </w:rPr>
              <w:t>3,960,556</w:t>
            </w:r>
          </w:p>
        </w:tc>
      </w:tr>
      <w:tr>
        <w:trPr>
          <w:trHeight w:val="272"/>
        </w:trPr>
        <w:tc>
          <w:tcPr>
            <w:tcW w:w="5440" w:type="dxa"/>
            <w:vAlign w:val="bottom"/>
          </w:tcPr>
          <w:p>
            <w:pPr>
              <w:ind w:left="100"/>
              <w:spacing w:after="0"/>
              <w:rPr>
                <w:sz w:val="20"/>
                <w:szCs w:val="20"/>
                <w:color w:val="auto"/>
              </w:rPr>
            </w:pPr>
            <w:r>
              <w:rPr>
                <w:rFonts w:ascii="Arial" w:cs="Arial" w:eastAsia="Arial" w:hAnsi="Arial"/>
                <w:sz w:val="17"/>
                <w:szCs w:val="17"/>
                <w:b w:val="1"/>
                <w:bCs w:val="1"/>
                <w:color w:val="auto"/>
              </w:rPr>
              <w:t>Gerard A. Fasano</w:t>
            </w:r>
          </w:p>
        </w:tc>
        <w:tc>
          <w:tcPr>
            <w:tcW w:w="1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191"/>
        </w:trPr>
        <w:tc>
          <w:tcPr>
            <w:tcW w:w="544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Severance and Pro-rata Bonus</w:t>
            </w:r>
            <w:r>
              <w:rPr>
                <w:rFonts w:ascii="Arial" w:cs="Arial" w:eastAsia="Arial" w:hAnsi="Arial"/>
                <w:sz w:val="14"/>
                <w:szCs w:val="14"/>
                <w:color w:val="auto"/>
              </w:rPr>
              <w:t>(3)</w:t>
            </w:r>
          </w:p>
        </w:tc>
        <w:tc>
          <w:tcPr>
            <w:tcW w:w="1480" w:type="dxa"/>
            <w:vAlign w:val="bottom"/>
            <w:shd w:val="clear" w:color="auto" w:fill="ACABA7"/>
          </w:tcPr>
          <w:p>
            <w:pPr>
              <w:jc w:val="right"/>
              <w:ind w:right="78"/>
              <w:spacing w:after="0" w:line="191" w:lineRule="exact"/>
              <w:rPr>
                <w:sz w:val="20"/>
                <w:szCs w:val="20"/>
                <w:color w:val="auto"/>
              </w:rPr>
            </w:pPr>
            <w:r>
              <w:rPr>
                <w:rFonts w:ascii="Arial" w:cs="Arial" w:eastAsia="Arial" w:hAnsi="Arial"/>
                <w:sz w:val="17"/>
                <w:szCs w:val="17"/>
                <w:color w:val="auto"/>
              </w:rPr>
              <w:t>1,033,738</w:t>
            </w:r>
          </w:p>
        </w:tc>
        <w:tc>
          <w:tcPr>
            <w:tcW w:w="110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1,837,500</w:t>
            </w:r>
          </w:p>
        </w:tc>
        <w:tc>
          <w:tcPr>
            <w:tcW w:w="1380" w:type="dxa"/>
            <w:vAlign w:val="bottom"/>
            <w:shd w:val="clear" w:color="auto" w:fill="ACABA7"/>
          </w:tcPr>
          <w:p>
            <w:pPr>
              <w:jc w:val="right"/>
              <w:ind w:right="16"/>
              <w:spacing w:after="0" w:line="191" w:lineRule="exact"/>
              <w:rPr>
                <w:sz w:val="20"/>
                <w:szCs w:val="20"/>
                <w:color w:val="auto"/>
              </w:rPr>
            </w:pPr>
            <w:r>
              <w:rPr>
                <w:rFonts w:ascii="Arial" w:cs="Arial" w:eastAsia="Arial" w:hAnsi="Arial"/>
                <w:sz w:val="17"/>
                <w:szCs w:val="17"/>
                <w:color w:val="auto"/>
              </w:rPr>
              <w:t>508,738</w:t>
            </w:r>
          </w:p>
        </w:tc>
        <w:tc>
          <w:tcPr>
            <w:tcW w:w="980" w:type="dxa"/>
            <w:vAlign w:val="bottom"/>
            <w:shd w:val="clear" w:color="auto" w:fill="ACABA7"/>
          </w:tcPr>
          <w:p>
            <w:pPr>
              <w:jc w:val="right"/>
              <w:ind w:right="36"/>
              <w:spacing w:after="0" w:line="191" w:lineRule="exact"/>
              <w:rPr>
                <w:sz w:val="20"/>
                <w:szCs w:val="20"/>
                <w:color w:val="auto"/>
              </w:rPr>
            </w:pPr>
            <w:r>
              <w:rPr>
                <w:rFonts w:ascii="Arial" w:cs="Arial" w:eastAsia="Arial" w:hAnsi="Arial"/>
                <w:sz w:val="17"/>
                <w:szCs w:val="17"/>
                <w:color w:val="auto"/>
              </w:rPr>
              <w:t>508,738</w:t>
            </w:r>
          </w:p>
        </w:tc>
      </w:tr>
      <w:tr>
        <w:trPr>
          <w:trHeight w:val="191"/>
        </w:trPr>
        <w:tc>
          <w:tcPr>
            <w:tcW w:w="5440" w:type="dxa"/>
            <w:vAlign w:val="bottom"/>
          </w:tcPr>
          <w:p>
            <w:pPr>
              <w:ind w:left="100"/>
              <w:spacing w:after="0" w:line="191" w:lineRule="exact"/>
              <w:rPr>
                <w:sz w:val="20"/>
                <w:szCs w:val="20"/>
                <w:color w:val="auto"/>
              </w:rPr>
            </w:pPr>
            <w:r>
              <w:rPr>
                <w:rFonts w:ascii="Arial" w:cs="Arial" w:eastAsia="Arial" w:hAnsi="Arial"/>
                <w:sz w:val="17"/>
                <w:szCs w:val="17"/>
                <w:color w:val="auto"/>
              </w:rPr>
              <w:t>Restricted Stock Units</w:t>
            </w:r>
            <w:r>
              <w:rPr>
                <w:rFonts w:ascii="Arial" w:cs="Arial" w:eastAsia="Arial" w:hAnsi="Arial"/>
                <w:sz w:val="14"/>
                <w:szCs w:val="14"/>
                <w:color w:val="auto"/>
              </w:rPr>
              <w:t>(4)</w:t>
            </w:r>
          </w:p>
        </w:tc>
        <w:tc>
          <w:tcPr>
            <w:tcW w:w="1480" w:type="dxa"/>
            <w:vAlign w:val="bottom"/>
          </w:tcPr>
          <w:p>
            <w:pPr>
              <w:jc w:val="right"/>
              <w:ind w:right="78"/>
              <w:spacing w:after="0" w:line="191" w:lineRule="exact"/>
              <w:rPr>
                <w:sz w:val="20"/>
                <w:szCs w:val="20"/>
                <w:color w:val="auto"/>
              </w:rPr>
            </w:pPr>
            <w:r>
              <w:rPr>
                <w:rFonts w:ascii="Arial" w:cs="Arial" w:eastAsia="Arial" w:hAnsi="Arial"/>
                <w:sz w:val="17"/>
                <w:szCs w:val="17"/>
                <w:color w:val="auto"/>
              </w:rPr>
              <w:t>262,940</w:t>
            </w:r>
          </w:p>
        </w:tc>
        <w:tc>
          <w:tcPr>
            <w:tcW w:w="1100" w:type="dxa"/>
            <w:vAlign w:val="bottom"/>
          </w:tcPr>
          <w:p>
            <w:pPr>
              <w:jc w:val="right"/>
              <w:spacing w:after="0" w:line="191" w:lineRule="exact"/>
              <w:rPr>
                <w:sz w:val="20"/>
                <w:szCs w:val="20"/>
                <w:color w:val="auto"/>
              </w:rPr>
            </w:pPr>
            <w:r>
              <w:rPr>
                <w:rFonts w:ascii="Arial" w:cs="Arial" w:eastAsia="Arial" w:hAnsi="Arial"/>
                <w:sz w:val="17"/>
                <w:szCs w:val="17"/>
                <w:color w:val="auto"/>
              </w:rPr>
              <w:t>971,139</w:t>
            </w:r>
          </w:p>
        </w:tc>
        <w:tc>
          <w:tcPr>
            <w:tcW w:w="1380" w:type="dxa"/>
            <w:vAlign w:val="bottom"/>
          </w:tcPr>
          <w:p>
            <w:pPr>
              <w:jc w:val="right"/>
              <w:ind w:right="16"/>
              <w:spacing w:after="0" w:line="191" w:lineRule="exact"/>
              <w:rPr>
                <w:sz w:val="20"/>
                <w:szCs w:val="20"/>
                <w:color w:val="auto"/>
              </w:rPr>
            </w:pPr>
            <w:r>
              <w:rPr>
                <w:rFonts w:ascii="Arial" w:cs="Arial" w:eastAsia="Arial" w:hAnsi="Arial"/>
                <w:sz w:val="17"/>
                <w:szCs w:val="17"/>
                <w:color w:val="auto"/>
              </w:rPr>
              <w:t>971,139</w:t>
            </w:r>
          </w:p>
        </w:tc>
        <w:tc>
          <w:tcPr>
            <w:tcW w:w="980" w:type="dxa"/>
            <w:vAlign w:val="bottom"/>
          </w:tcPr>
          <w:p>
            <w:pPr>
              <w:jc w:val="right"/>
              <w:ind w:right="36"/>
              <w:spacing w:after="0" w:line="191" w:lineRule="exact"/>
              <w:rPr>
                <w:sz w:val="20"/>
                <w:szCs w:val="20"/>
                <w:color w:val="auto"/>
              </w:rPr>
            </w:pPr>
            <w:r>
              <w:rPr>
                <w:rFonts w:ascii="Arial" w:cs="Arial" w:eastAsia="Arial" w:hAnsi="Arial"/>
                <w:sz w:val="17"/>
                <w:szCs w:val="17"/>
                <w:color w:val="auto"/>
              </w:rPr>
              <w:t>971,139</w:t>
            </w:r>
          </w:p>
        </w:tc>
      </w:tr>
      <w:tr>
        <w:trPr>
          <w:trHeight w:val="191"/>
        </w:trPr>
        <w:tc>
          <w:tcPr>
            <w:tcW w:w="544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Stock Options</w:t>
            </w:r>
            <w:r>
              <w:rPr>
                <w:rFonts w:ascii="Arial" w:cs="Arial" w:eastAsia="Arial" w:hAnsi="Arial"/>
                <w:sz w:val="14"/>
                <w:szCs w:val="14"/>
                <w:color w:val="auto"/>
              </w:rPr>
              <w:t>(5)</w:t>
            </w:r>
          </w:p>
        </w:tc>
        <w:tc>
          <w:tcPr>
            <w:tcW w:w="1480" w:type="dxa"/>
            <w:vAlign w:val="bottom"/>
            <w:shd w:val="clear" w:color="auto" w:fill="ACABA7"/>
          </w:tcPr>
          <w:p>
            <w:pPr>
              <w:jc w:val="right"/>
              <w:ind w:right="78"/>
              <w:spacing w:after="0" w:line="191" w:lineRule="exact"/>
              <w:rPr>
                <w:sz w:val="20"/>
                <w:szCs w:val="20"/>
                <w:color w:val="auto"/>
              </w:rPr>
            </w:pPr>
            <w:r>
              <w:rPr>
                <w:rFonts w:ascii="Arial" w:cs="Arial" w:eastAsia="Arial" w:hAnsi="Arial"/>
                <w:sz w:val="17"/>
                <w:szCs w:val="17"/>
                <w:color w:val="auto"/>
              </w:rPr>
              <w:t>342,860</w:t>
            </w:r>
          </w:p>
        </w:tc>
        <w:tc>
          <w:tcPr>
            <w:tcW w:w="110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1,256,084</w:t>
            </w:r>
          </w:p>
        </w:tc>
        <w:tc>
          <w:tcPr>
            <w:tcW w:w="1380" w:type="dxa"/>
            <w:vAlign w:val="bottom"/>
            <w:shd w:val="clear" w:color="auto" w:fill="ACABA7"/>
          </w:tcPr>
          <w:p>
            <w:pPr>
              <w:jc w:val="right"/>
              <w:ind w:right="16"/>
              <w:spacing w:after="0" w:line="191" w:lineRule="exact"/>
              <w:rPr>
                <w:sz w:val="20"/>
                <w:szCs w:val="20"/>
                <w:color w:val="auto"/>
              </w:rPr>
            </w:pPr>
            <w:r>
              <w:rPr>
                <w:rFonts w:ascii="Arial" w:cs="Arial" w:eastAsia="Arial" w:hAnsi="Arial"/>
                <w:sz w:val="17"/>
                <w:szCs w:val="17"/>
                <w:color w:val="auto"/>
              </w:rPr>
              <w:t>1,256,084</w:t>
            </w:r>
          </w:p>
        </w:tc>
        <w:tc>
          <w:tcPr>
            <w:tcW w:w="980" w:type="dxa"/>
            <w:vAlign w:val="bottom"/>
            <w:shd w:val="clear" w:color="auto" w:fill="ACABA7"/>
          </w:tcPr>
          <w:p>
            <w:pPr>
              <w:jc w:val="right"/>
              <w:ind w:right="36"/>
              <w:spacing w:after="0" w:line="191" w:lineRule="exact"/>
              <w:rPr>
                <w:sz w:val="20"/>
                <w:szCs w:val="20"/>
                <w:color w:val="auto"/>
              </w:rPr>
            </w:pPr>
            <w:r>
              <w:rPr>
                <w:rFonts w:ascii="Arial" w:cs="Arial" w:eastAsia="Arial" w:hAnsi="Arial"/>
                <w:sz w:val="17"/>
                <w:szCs w:val="17"/>
                <w:color w:val="auto"/>
              </w:rPr>
              <w:t>1,256,084</w:t>
            </w:r>
          </w:p>
        </w:tc>
      </w:tr>
      <w:tr>
        <w:trPr>
          <w:trHeight w:val="191"/>
        </w:trPr>
        <w:tc>
          <w:tcPr>
            <w:tcW w:w="5440" w:type="dxa"/>
            <w:vAlign w:val="bottom"/>
          </w:tcPr>
          <w:p>
            <w:pPr>
              <w:ind w:left="100"/>
              <w:spacing w:after="0" w:line="191" w:lineRule="exact"/>
              <w:rPr>
                <w:sz w:val="20"/>
                <w:szCs w:val="20"/>
                <w:color w:val="auto"/>
              </w:rPr>
            </w:pPr>
            <w:r>
              <w:rPr>
                <w:rFonts w:ascii="Arial" w:cs="Arial" w:eastAsia="Arial" w:hAnsi="Arial"/>
                <w:sz w:val="17"/>
                <w:szCs w:val="17"/>
                <w:color w:val="auto"/>
              </w:rPr>
              <w:t>Performance Share Awards</w:t>
            </w:r>
            <w:r>
              <w:rPr>
                <w:rFonts w:ascii="Arial" w:cs="Arial" w:eastAsia="Arial" w:hAnsi="Arial"/>
                <w:sz w:val="14"/>
                <w:szCs w:val="14"/>
                <w:color w:val="auto"/>
              </w:rPr>
              <w:t>(6)</w:t>
            </w:r>
          </w:p>
        </w:tc>
        <w:tc>
          <w:tcPr>
            <w:tcW w:w="1480" w:type="dxa"/>
            <w:vAlign w:val="bottom"/>
          </w:tcPr>
          <w:p>
            <w:pPr>
              <w:jc w:val="right"/>
              <w:ind w:right="78"/>
              <w:spacing w:after="0" w:line="191" w:lineRule="exact"/>
              <w:rPr>
                <w:sz w:val="20"/>
                <w:szCs w:val="20"/>
                <w:color w:val="auto"/>
              </w:rPr>
            </w:pPr>
            <w:r>
              <w:rPr>
                <w:rFonts w:ascii="Arial" w:cs="Arial" w:eastAsia="Arial" w:hAnsi="Arial"/>
                <w:sz w:val="17"/>
                <w:szCs w:val="17"/>
                <w:color w:val="auto"/>
              </w:rPr>
              <w:t>1,636,918</w:t>
            </w:r>
          </w:p>
        </w:tc>
        <w:tc>
          <w:tcPr>
            <w:tcW w:w="1100" w:type="dxa"/>
            <w:vAlign w:val="bottom"/>
          </w:tcPr>
          <w:p>
            <w:pPr>
              <w:jc w:val="right"/>
              <w:spacing w:after="0" w:line="191" w:lineRule="exact"/>
              <w:rPr>
                <w:sz w:val="20"/>
                <w:szCs w:val="20"/>
                <w:color w:val="auto"/>
              </w:rPr>
            </w:pPr>
            <w:r>
              <w:rPr>
                <w:rFonts w:ascii="Arial" w:cs="Arial" w:eastAsia="Arial" w:hAnsi="Arial"/>
                <w:sz w:val="17"/>
                <w:szCs w:val="17"/>
                <w:color w:val="auto"/>
              </w:rPr>
              <w:t>2,531,154</w:t>
            </w:r>
          </w:p>
        </w:tc>
        <w:tc>
          <w:tcPr>
            <w:tcW w:w="1380" w:type="dxa"/>
            <w:vAlign w:val="bottom"/>
          </w:tcPr>
          <w:p>
            <w:pPr>
              <w:jc w:val="right"/>
              <w:ind w:right="16"/>
              <w:spacing w:after="0" w:line="191" w:lineRule="exact"/>
              <w:rPr>
                <w:sz w:val="20"/>
                <w:szCs w:val="20"/>
                <w:color w:val="auto"/>
              </w:rPr>
            </w:pPr>
            <w:r>
              <w:rPr>
                <w:rFonts w:ascii="Arial" w:cs="Arial" w:eastAsia="Arial" w:hAnsi="Arial"/>
                <w:sz w:val="17"/>
                <w:szCs w:val="17"/>
                <w:color w:val="auto"/>
              </w:rPr>
              <w:t>2,283,757</w:t>
            </w:r>
          </w:p>
        </w:tc>
        <w:tc>
          <w:tcPr>
            <w:tcW w:w="980" w:type="dxa"/>
            <w:vAlign w:val="bottom"/>
          </w:tcPr>
          <w:p>
            <w:pPr>
              <w:jc w:val="right"/>
              <w:ind w:right="36"/>
              <w:spacing w:after="0" w:line="191" w:lineRule="exact"/>
              <w:rPr>
                <w:sz w:val="20"/>
                <w:szCs w:val="20"/>
                <w:color w:val="auto"/>
              </w:rPr>
            </w:pPr>
            <w:r>
              <w:rPr>
                <w:rFonts w:ascii="Arial" w:cs="Arial" w:eastAsia="Arial" w:hAnsi="Arial"/>
                <w:sz w:val="17"/>
                <w:szCs w:val="17"/>
                <w:color w:val="auto"/>
              </w:rPr>
              <w:t>1,636,918</w:t>
            </w:r>
          </w:p>
        </w:tc>
      </w:tr>
      <w:tr>
        <w:trPr>
          <w:trHeight w:val="191"/>
        </w:trPr>
        <w:tc>
          <w:tcPr>
            <w:tcW w:w="544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Benefits &amp; Perquisites</w:t>
            </w:r>
            <w:r>
              <w:rPr>
                <w:rFonts w:ascii="Arial" w:cs="Arial" w:eastAsia="Arial" w:hAnsi="Arial"/>
                <w:sz w:val="14"/>
                <w:szCs w:val="14"/>
                <w:color w:val="auto"/>
              </w:rPr>
              <w:t>(7)</w:t>
            </w:r>
          </w:p>
        </w:tc>
        <w:tc>
          <w:tcPr>
            <w:tcW w:w="1480" w:type="dxa"/>
            <w:vAlign w:val="bottom"/>
            <w:shd w:val="clear" w:color="auto" w:fill="ACABA7"/>
          </w:tcPr>
          <w:p>
            <w:pPr>
              <w:jc w:val="right"/>
              <w:ind w:right="78"/>
              <w:spacing w:after="0" w:line="191" w:lineRule="exact"/>
              <w:rPr>
                <w:sz w:val="20"/>
                <w:szCs w:val="20"/>
                <w:color w:val="auto"/>
              </w:rPr>
            </w:pPr>
            <w:r>
              <w:rPr>
                <w:rFonts w:ascii="Arial" w:cs="Arial" w:eastAsia="Arial" w:hAnsi="Arial"/>
                <w:sz w:val="17"/>
                <w:szCs w:val="17"/>
                <w:color w:val="auto"/>
              </w:rPr>
              <w:t>30,434</w:t>
            </w:r>
          </w:p>
        </w:tc>
        <w:tc>
          <w:tcPr>
            <w:tcW w:w="1100" w:type="dxa"/>
            <w:vAlign w:val="bottom"/>
            <w:shd w:val="clear" w:color="auto" w:fill="ACABA7"/>
          </w:tcPr>
          <w:p>
            <w:pPr>
              <w:jc w:val="right"/>
              <w:spacing w:after="0" w:line="191" w:lineRule="exact"/>
              <w:rPr>
                <w:sz w:val="20"/>
                <w:szCs w:val="20"/>
                <w:color w:val="auto"/>
              </w:rPr>
            </w:pPr>
            <w:r>
              <w:rPr>
                <w:rFonts w:ascii="Arial" w:cs="Arial" w:eastAsia="Arial" w:hAnsi="Arial"/>
                <w:sz w:val="17"/>
                <w:szCs w:val="17"/>
                <w:color w:val="auto"/>
              </w:rPr>
              <w:t>49,401</w:t>
            </w:r>
          </w:p>
        </w:tc>
        <w:tc>
          <w:tcPr>
            <w:tcW w:w="1380" w:type="dxa"/>
            <w:vAlign w:val="bottom"/>
            <w:shd w:val="clear" w:color="auto" w:fill="ACABA7"/>
          </w:tcPr>
          <w:p>
            <w:pPr>
              <w:jc w:val="right"/>
              <w:ind w:right="16"/>
              <w:spacing w:after="0" w:line="191" w:lineRule="exact"/>
              <w:rPr>
                <w:sz w:val="20"/>
                <w:szCs w:val="20"/>
                <w:color w:val="auto"/>
              </w:rPr>
            </w:pPr>
            <w:r>
              <w:rPr>
                <w:rFonts w:ascii="Arial" w:cs="Arial" w:eastAsia="Arial" w:hAnsi="Arial"/>
                <w:sz w:val="17"/>
                <w:szCs w:val="17"/>
                <w:color w:val="auto"/>
              </w:rPr>
              <w:t>—</w:t>
            </w:r>
          </w:p>
        </w:tc>
        <w:tc>
          <w:tcPr>
            <w:tcW w:w="980" w:type="dxa"/>
            <w:vAlign w:val="bottom"/>
            <w:shd w:val="clear" w:color="auto" w:fill="ACABA7"/>
          </w:tcPr>
          <w:p>
            <w:pPr>
              <w:jc w:val="right"/>
              <w:ind w:right="36"/>
              <w:spacing w:after="0" w:line="191" w:lineRule="exact"/>
              <w:rPr>
                <w:sz w:val="20"/>
                <w:szCs w:val="20"/>
                <w:color w:val="auto"/>
              </w:rPr>
            </w:pPr>
            <w:r>
              <w:rPr>
                <w:rFonts w:ascii="Arial" w:cs="Arial" w:eastAsia="Arial" w:hAnsi="Arial"/>
                <w:sz w:val="17"/>
                <w:szCs w:val="17"/>
                <w:color w:val="auto"/>
              </w:rPr>
              <w:t>—</w:t>
            </w:r>
          </w:p>
        </w:tc>
      </w:tr>
      <w:tr>
        <w:trPr>
          <w:trHeight w:val="191"/>
        </w:trPr>
        <w:tc>
          <w:tcPr>
            <w:tcW w:w="5440" w:type="dxa"/>
            <w:vAlign w:val="bottom"/>
            <w:tcBorders>
              <w:bottom w:val="single" w:sz="8" w:color="483E65"/>
            </w:tcBorders>
          </w:tcPr>
          <w:p>
            <w:pPr>
              <w:ind w:left="80"/>
              <w:spacing w:after="0" w:line="191" w:lineRule="exact"/>
              <w:rPr>
                <w:sz w:val="20"/>
                <w:szCs w:val="20"/>
                <w:color w:val="auto"/>
              </w:rPr>
            </w:pPr>
            <w:r>
              <w:rPr>
                <w:rFonts w:ascii="Arial" w:cs="Arial" w:eastAsia="Arial" w:hAnsi="Arial"/>
                <w:sz w:val="17"/>
                <w:szCs w:val="17"/>
                <w:color w:val="auto"/>
              </w:rPr>
              <w:t>Applicable Scaleback</w:t>
            </w:r>
            <w:r>
              <w:rPr>
                <w:rFonts w:ascii="Arial" w:cs="Arial" w:eastAsia="Arial" w:hAnsi="Arial"/>
                <w:sz w:val="14"/>
                <w:szCs w:val="14"/>
                <w:color w:val="auto"/>
              </w:rPr>
              <w:t>(8)</w:t>
            </w:r>
          </w:p>
        </w:tc>
        <w:tc>
          <w:tcPr>
            <w:tcW w:w="1480" w:type="dxa"/>
            <w:vAlign w:val="bottom"/>
            <w:tcBorders>
              <w:bottom w:val="single" w:sz="8" w:color="483E65"/>
            </w:tcBorders>
          </w:tcPr>
          <w:p>
            <w:pPr>
              <w:jc w:val="right"/>
              <w:ind w:right="78"/>
              <w:spacing w:after="0" w:line="191" w:lineRule="exact"/>
              <w:rPr>
                <w:sz w:val="20"/>
                <w:szCs w:val="20"/>
                <w:color w:val="auto"/>
              </w:rPr>
            </w:pPr>
            <w:r>
              <w:rPr>
                <w:rFonts w:ascii="Arial" w:cs="Arial" w:eastAsia="Arial" w:hAnsi="Arial"/>
                <w:sz w:val="17"/>
                <w:szCs w:val="17"/>
                <w:color w:val="auto"/>
              </w:rPr>
              <w:t>N/A</w:t>
            </w:r>
          </w:p>
        </w:tc>
        <w:tc>
          <w:tcPr>
            <w:tcW w:w="1100" w:type="dxa"/>
            <w:vAlign w:val="bottom"/>
            <w:tcBorders>
              <w:bottom w:val="single" w:sz="8" w:color="483E65"/>
            </w:tcBorders>
          </w:tcPr>
          <w:p>
            <w:pPr>
              <w:jc w:val="right"/>
              <w:spacing w:after="0" w:line="191" w:lineRule="exact"/>
              <w:rPr>
                <w:sz w:val="20"/>
                <w:szCs w:val="20"/>
                <w:color w:val="auto"/>
              </w:rPr>
            </w:pPr>
            <w:r>
              <w:rPr>
                <w:rFonts w:ascii="Arial" w:cs="Arial" w:eastAsia="Arial" w:hAnsi="Arial"/>
                <w:sz w:val="17"/>
                <w:szCs w:val="17"/>
                <w:color w:val="auto"/>
              </w:rPr>
              <w:t>—</w:t>
            </w:r>
          </w:p>
        </w:tc>
        <w:tc>
          <w:tcPr>
            <w:tcW w:w="1380" w:type="dxa"/>
            <w:vAlign w:val="bottom"/>
            <w:tcBorders>
              <w:bottom w:val="single" w:sz="8" w:color="483E65"/>
            </w:tcBorders>
          </w:tcPr>
          <w:p>
            <w:pPr>
              <w:jc w:val="right"/>
              <w:ind w:right="16"/>
              <w:spacing w:after="0" w:line="191" w:lineRule="exact"/>
              <w:rPr>
                <w:sz w:val="20"/>
                <w:szCs w:val="20"/>
                <w:color w:val="auto"/>
              </w:rPr>
            </w:pPr>
            <w:r>
              <w:rPr>
                <w:rFonts w:ascii="Arial" w:cs="Arial" w:eastAsia="Arial" w:hAnsi="Arial"/>
                <w:sz w:val="17"/>
                <w:szCs w:val="17"/>
                <w:color w:val="auto"/>
              </w:rPr>
              <w:t>N/A</w:t>
            </w:r>
          </w:p>
        </w:tc>
        <w:tc>
          <w:tcPr>
            <w:tcW w:w="980" w:type="dxa"/>
            <w:vAlign w:val="bottom"/>
            <w:tcBorders>
              <w:bottom w:val="single" w:sz="8" w:color="483E65"/>
            </w:tcBorders>
          </w:tcPr>
          <w:p>
            <w:pPr>
              <w:jc w:val="right"/>
              <w:ind w:right="36"/>
              <w:spacing w:after="0" w:line="191" w:lineRule="exact"/>
              <w:rPr>
                <w:sz w:val="20"/>
                <w:szCs w:val="20"/>
                <w:color w:val="auto"/>
              </w:rPr>
            </w:pPr>
            <w:r>
              <w:rPr>
                <w:rFonts w:ascii="Arial" w:cs="Arial" w:eastAsia="Arial" w:hAnsi="Arial"/>
                <w:sz w:val="17"/>
                <w:szCs w:val="17"/>
                <w:color w:val="auto"/>
              </w:rPr>
              <w:t>N/A</w:t>
            </w:r>
          </w:p>
        </w:tc>
      </w:tr>
      <w:tr>
        <w:trPr>
          <w:trHeight w:val="183"/>
        </w:trPr>
        <w:tc>
          <w:tcPr>
            <w:tcW w:w="5440" w:type="dxa"/>
            <w:vAlign w:val="bottom"/>
            <w:tcBorders>
              <w:bottom w:val="single" w:sz="8" w:color="483E65"/>
            </w:tcBorders>
            <w:shd w:val="clear" w:color="auto" w:fill="ACABA7"/>
          </w:tcPr>
          <w:p>
            <w:pPr>
              <w:ind w:left="100"/>
              <w:spacing w:after="0" w:line="184" w:lineRule="exact"/>
              <w:rPr>
                <w:sz w:val="20"/>
                <w:szCs w:val="20"/>
                <w:color w:val="auto"/>
              </w:rPr>
            </w:pPr>
            <w:r>
              <w:rPr>
                <w:rFonts w:ascii="Arial" w:cs="Arial" w:eastAsia="Arial" w:hAnsi="Arial"/>
                <w:sz w:val="17"/>
                <w:szCs w:val="17"/>
                <w:color w:val="auto"/>
              </w:rPr>
              <w:t>Total</w:t>
            </w:r>
            <w:r>
              <w:rPr>
                <w:rFonts w:ascii="Arial" w:cs="Arial" w:eastAsia="Arial" w:hAnsi="Arial"/>
                <w:sz w:val="14"/>
                <w:szCs w:val="14"/>
                <w:color w:val="auto"/>
              </w:rPr>
              <w:t>(9)</w:t>
            </w:r>
          </w:p>
        </w:tc>
        <w:tc>
          <w:tcPr>
            <w:tcW w:w="1480" w:type="dxa"/>
            <w:vAlign w:val="bottom"/>
            <w:tcBorders>
              <w:bottom w:val="single" w:sz="8" w:color="483E65"/>
            </w:tcBorders>
            <w:shd w:val="clear" w:color="auto" w:fill="ACABA7"/>
          </w:tcPr>
          <w:p>
            <w:pPr>
              <w:jc w:val="right"/>
              <w:ind w:right="78"/>
              <w:spacing w:after="0" w:line="184" w:lineRule="exact"/>
              <w:rPr>
                <w:sz w:val="20"/>
                <w:szCs w:val="20"/>
                <w:color w:val="auto"/>
              </w:rPr>
            </w:pPr>
            <w:r>
              <w:rPr>
                <w:rFonts w:ascii="Arial" w:cs="Arial" w:eastAsia="Arial" w:hAnsi="Arial"/>
                <w:sz w:val="17"/>
                <w:szCs w:val="17"/>
                <w:color w:val="auto"/>
              </w:rPr>
              <w:t>3,306,890</w:t>
            </w:r>
          </w:p>
        </w:tc>
        <w:tc>
          <w:tcPr>
            <w:tcW w:w="1100" w:type="dxa"/>
            <w:vAlign w:val="bottom"/>
            <w:tcBorders>
              <w:bottom w:val="single" w:sz="8" w:color="483E65"/>
            </w:tcBorders>
            <w:shd w:val="clear" w:color="auto" w:fill="ACABA7"/>
          </w:tcPr>
          <w:p>
            <w:pPr>
              <w:jc w:val="right"/>
              <w:spacing w:after="0" w:line="184" w:lineRule="exact"/>
              <w:rPr>
                <w:sz w:val="20"/>
                <w:szCs w:val="20"/>
                <w:color w:val="auto"/>
              </w:rPr>
            </w:pPr>
            <w:r>
              <w:rPr>
                <w:rFonts w:ascii="Arial" w:cs="Arial" w:eastAsia="Arial" w:hAnsi="Arial"/>
                <w:sz w:val="17"/>
                <w:szCs w:val="17"/>
                <w:color w:val="auto"/>
              </w:rPr>
              <w:t>6,645,278</w:t>
            </w:r>
          </w:p>
        </w:tc>
        <w:tc>
          <w:tcPr>
            <w:tcW w:w="1380" w:type="dxa"/>
            <w:vAlign w:val="bottom"/>
            <w:tcBorders>
              <w:bottom w:val="single" w:sz="8" w:color="483E65"/>
            </w:tcBorders>
            <w:shd w:val="clear" w:color="auto" w:fill="ACABA7"/>
          </w:tcPr>
          <w:p>
            <w:pPr>
              <w:jc w:val="right"/>
              <w:ind w:right="16"/>
              <w:spacing w:after="0" w:line="184" w:lineRule="exact"/>
              <w:rPr>
                <w:sz w:val="20"/>
                <w:szCs w:val="20"/>
                <w:color w:val="auto"/>
              </w:rPr>
            </w:pPr>
            <w:r>
              <w:rPr>
                <w:rFonts w:ascii="Arial" w:cs="Arial" w:eastAsia="Arial" w:hAnsi="Arial"/>
                <w:sz w:val="17"/>
                <w:szCs w:val="17"/>
                <w:color w:val="auto"/>
              </w:rPr>
              <w:t>5,019,718</w:t>
            </w:r>
          </w:p>
        </w:tc>
        <w:tc>
          <w:tcPr>
            <w:tcW w:w="980" w:type="dxa"/>
            <w:vAlign w:val="bottom"/>
            <w:tcBorders>
              <w:bottom w:val="single" w:sz="8" w:color="483E65"/>
            </w:tcBorders>
            <w:shd w:val="clear" w:color="auto" w:fill="ACABA7"/>
          </w:tcPr>
          <w:p>
            <w:pPr>
              <w:jc w:val="right"/>
              <w:ind w:right="36"/>
              <w:spacing w:after="0" w:line="184" w:lineRule="exact"/>
              <w:rPr>
                <w:sz w:val="20"/>
                <w:szCs w:val="20"/>
                <w:color w:val="auto"/>
              </w:rPr>
            </w:pPr>
            <w:r>
              <w:rPr>
                <w:rFonts w:ascii="Arial" w:cs="Arial" w:eastAsia="Arial" w:hAnsi="Arial"/>
                <w:sz w:val="17"/>
                <w:szCs w:val="17"/>
                <w:color w:val="auto"/>
              </w:rPr>
              <w:t>4,372,879</w:t>
            </w:r>
          </w:p>
        </w:tc>
      </w:tr>
    </w:tbl>
    <w:p>
      <w:pPr>
        <w:spacing w:after="0" w:line="114" w:lineRule="exact"/>
        <w:rPr>
          <w:sz w:val="20"/>
          <w:szCs w:val="20"/>
          <w:color w:val="auto"/>
        </w:rPr>
      </w:pPr>
    </w:p>
    <w:p>
      <w:pPr>
        <w:ind w:left="840" w:right="40" w:hanging="400"/>
        <w:spacing w:after="0" w:line="237" w:lineRule="auto"/>
        <w:tabs>
          <w:tab w:leader="none" w:pos="8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Amounts in this column represent the benefits the named executive officers would be entitled to receive in the event of a hypothetical qualifying termination following a transaction that does not constitute a change in control (“CIC”) under the terms of the Leidos Equity and Deferred Compensation Plans, in addition to the benefits under an employment agreement (for Mr. Krone) or Leidos Executive Severance Plan (for named executive officers other than Mr. Krone).</w:t>
      </w:r>
    </w:p>
    <w:p>
      <w:pPr>
        <w:spacing w:after="0" w:line="115" w:lineRule="exact"/>
        <w:rPr>
          <w:sz w:val="20"/>
          <w:szCs w:val="20"/>
          <w:color w:val="auto"/>
        </w:rPr>
      </w:pPr>
    </w:p>
    <w:p>
      <w:pPr>
        <w:ind w:left="8680"/>
        <w:spacing w:after="0"/>
        <w:tabs>
          <w:tab w:leader="none" w:pos="10400" w:val="left"/>
          <w:tab w:leader="none" w:pos="1062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39</w:t>
      </w:r>
    </w:p>
    <w:p>
      <w:pPr>
        <w:sectPr>
          <w:pgSz w:w="11900" w:h="16838" w:orient="portrait"/>
          <w:cols w:equalWidth="0" w:num="1">
            <w:col w:w="10820"/>
          </w:cols>
          <w:pgMar w:left="320" w:top="441" w:right="75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840" w:right="80" w:hanging="400"/>
        <w:spacing w:after="0" w:line="237" w:lineRule="auto"/>
        <w:tabs>
          <w:tab w:leader="none" w:pos="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Amounts in this column represent the benefits the executives would be entitled to receive in the event a transaction had occurred on January 3, 2020 that constituted a CIC under the terms of the Leidos Equity and Deferred Compensation Plans, in addition to the benefits under an employment agreement (for Mr. Krone) or Leidos Executive Severance Plan (for named executive officers other than Mr. Krone).</w:t>
      </w:r>
    </w:p>
    <w:p>
      <w:pPr>
        <w:spacing w:after="0" w:line="104" w:lineRule="exact"/>
        <w:rPr>
          <w:rFonts w:ascii="Arial" w:cs="Arial" w:eastAsia="Arial" w:hAnsi="Arial"/>
          <w:sz w:val="17"/>
          <w:szCs w:val="17"/>
          <w:color w:val="auto"/>
        </w:rPr>
      </w:pPr>
    </w:p>
    <w:p>
      <w:pPr>
        <w:ind w:left="840" w:hanging="400"/>
        <w:spacing w:after="0" w:line="235" w:lineRule="auto"/>
        <w:tabs>
          <w:tab w:leader="none" w:pos="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Amounts in this row represent cash payments for (a) lump sum severance and (b) pro-rated annual bonuses for the year of termination. Severance amounts for Mr. Krone are equal to one times (in the event of termination without a CIC), and two-and-one-half times (in the event of termination in connection with a CIC), the sum of Mr. Krone’s year end salary and bonus at target. Severance amounts for other executives reflect one year of annual base salary (for termination without a CIC), and 1.5 times the sum of annual base salary and target bonus (for termination with a CIC). Mr. Krone’s pro-rated annual bonus would be payable based on actual performance for the period ended January 3, 2020 in all scenarios. For the other executives, for the termination without a CIC, and death and disability scenarios, the bonus would be based on actual performance through January 3, 2020 and the number of days that elapsed during the performance period ended January 3, 2020. In the CIC scenario, the bonus amount is based on target performance results.</w:t>
      </w:r>
    </w:p>
    <w:p>
      <w:pPr>
        <w:spacing w:after="0" w:line="107" w:lineRule="exact"/>
        <w:rPr>
          <w:rFonts w:ascii="Arial" w:cs="Arial" w:eastAsia="Arial" w:hAnsi="Arial"/>
          <w:sz w:val="17"/>
          <w:szCs w:val="17"/>
          <w:color w:val="auto"/>
        </w:rPr>
      </w:pPr>
    </w:p>
    <w:p>
      <w:pPr>
        <w:ind w:left="840" w:right="20" w:hanging="400"/>
        <w:spacing w:after="0" w:line="236" w:lineRule="auto"/>
        <w:tabs>
          <w:tab w:leader="none" w:pos="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For a termination not in connection with a CIC, the value reflects a portion of the named executive officer’s RSUs (granted beginning in March 2017), pro-rated based on the number of days elapsed between the grant date and January 3, 2020 including accrued cash dividends as of January 3, 2020. For terminations in connection with a CIC, death, and disability, amounts represent the value of accelerated vesting of shares of all RSUs, including accrued dividends as of January 3, 2020, pursuant to the Leidos Equity and Deferred Compensation Plans. For more information regarding the number of shares of unvested RSUs held by the executive officers, see the table under the caption “Outstanding Equity Awards at Year-End.”</w:t>
      </w:r>
    </w:p>
    <w:p>
      <w:pPr>
        <w:spacing w:after="0" w:line="104" w:lineRule="exact"/>
        <w:rPr>
          <w:rFonts w:ascii="Arial" w:cs="Arial" w:eastAsia="Arial" w:hAnsi="Arial"/>
          <w:sz w:val="17"/>
          <w:szCs w:val="17"/>
          <w:color w:val="auto"/>
        </w:rPr>
      </w:pPr>
    </w:p>
    <w:p>
      <w:pPr>
        <w:ind w:left="840" w:right="80" w:hanging="400"/>
        <w:spacing w:after="0" w:line="237" w:lineRule="auto"/>
        <w:tabs>
          <w:tab w:leader="none" w:pos="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For a termination without a CIC, reflects pro-rated amounts of stock options granted beginning in March 2017 that would vest based on the number of days elapsed between the grant date and January 3, 2020. For a termination in connection with a CIC, or upon death or disability, represents the value of accelerated vesting of all unvested options held by the named executive officer at the end of the year issued pursuant to the Leidos Equity Plans. For more information regarding the number of shares and exercise prices underlying unvested options held see the table under the caption “Outstanding Equity Awards at Year-End.”</w:t>
      </w:r>
    </w:p>
    <w:p>
      <w:pPr>
        <w:spacing w:after="0" w:line="102" w:lineRule="exact"/>
        <w:rPr>
          <w:rFonts w:ascii="Arial" w:cs="Arial" w:eastAsia="Arial" w:hAnsi="Arial"/>
          <w:sz w:val="17"/>
          <w:szCs w:val="17"/>
          <w:color w:val="auto"/>
        </w:rPr>
      </w:pPr>
    </w:p>
    <w:p>
      <w:pPr>
        <w:ind w:left="840" w:right="60" w:hanging="400"/>
        <w:spacing w:after="0" w:line="237" w:lineRule="auto"/>
        <w:tabs>
          <w:tab w:leader="none" w:pos="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For a termination without a CIC and for disability, the values represent a pro-rata amount of performance share awards, including accrued cash dividends, based on actual performance as of January 3, 2020. In the CIC and death scenarios, 2017 awards reflect a pro-rata amount, including accrued cash dividends, based on actual performance as of January 3, 2020, while the 2018 and 2019 awards reflect full vesting including accrued cash dividends as of January 3, 2020 using target performance pay for death and actual performance as of January 3, 2020 in the CIC scenario.</w:t>
      </w:r>
    </w:p>
    <w:p>
      <w:pPr>
        <w:spacing w:after="0" w:line="102" w:lineRule="exact"/>
        <w:rPr>
          <w:rFonts w:ascii="Arial" w:cs="Arial" w:eastAsia="Arial" w:hAnsi="Arial"/>
          <w:sz w:val="17"/>
          <w:szCs w:val="17"/>
          <w:color w:val="auto"/>
        </w:rPr>
      </w:pPr>
    </w:p>
    <w:p>
      <w:pPr>
        <w:ind w:left="840" w:hanging="400"/>
        <w:spacing w:after="0" w:line="235" w:lineRule="auto"/>
        <w:tabs>
          <w:tab w:leader="none" w:pos="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Amounts in this row reflect the total of (a) lump sum cash payments in lieu of providing benefits to the executives, and (b) cost estimates for providing outplacement benefits following a qualifying termination of employment. Benefit lump sums for all named executive officers other than Mr. Krone are equal to 12 months of COBRA premiums for medical, dental and vision coverage for terminations not in connection with a CIC, and 18 months of COBRA premiums for terminations in connection with a CIC. Mr. Krone’s amounts reflect 12 months of COBRA premiums for medical, dental and vision coverage following a termination not in connection with a CIC, and lump sum payments in lieu of continued life, disability, medical, dental and vision coverage for 30 months for terminations in connection with a CIC. Amounts also include estimates for providing outplacement counseling services for 12 months following termination of employment in connection with a CIC or, except for Mr. Krone, for 6 months if the termination is not in connection with a CIC.</w:t>
      </w:r>
    </w:p>
    <w:p>
      <w:pPr>
        <w:spacing w:after="0" w:line="107" w:lineRule="exact"/>
        <w:rPr>
          <w:rFonts w:ascii="Arial" w:cs="Arial" w:eastAsia="Arial" w:hAnsi="Arial"/>
          <w:sz w:val="17"/>
          <w:szCs w:val="17"/>
          <w:color w:val="auto"/>
        </w:rPr>
      </w:pPr>
    </w:p>
    <w:p>
      <w:pPr>
        <w:ind w:left="840" w:right="200" w:hanging="400"/>
        <w:spacing w:after="0" w:line="243" w:lineRule="auto"/>
        <w:tabs>
          <w:tab w:leader="none" w:pos="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Estimates the benefits to be reduced to avoid the payment of excess parachute payments pursuant to Section 280G of the Internal Revenue Code.</w:t>
      </w:r>
    </w:p>
    <w:p>
      <w:pPr>
        <w:spacing w:after="0" w:line="99" w:lineRule="exact"/>
        <w:rPr>
          <w:rFonts w:ascii="Arial" w:cs="Arial" w:eastAsia="Arial" w:hAnsi="Arial"/>
          <w:sz w:val="17"/>
          <w:szCs w:val="17"/>
          <w:color w:val="auto"/>
        </w:rPr>
      </w:pPr>
    </w:p>
    <w:p>
      <w:pPr>
        <w:ind w:left="840" w:right="320" w:hanging="400"/>
        <w:spacing w:after="0" w:line="243" w:lineRule="auto"/>
        <w:tabs>
          <w:tab w:leader="none" w:pos="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Amounts in this row represent the gross amount of benefits to be received by the named executive officer. In addition, the named executive officers would also be entitled to be paid for any unused comprehensive leave time accrued.</w:t>
      </w:r>
    </w:p>
    <w:p>
      <w:pPr>
        <w:spacing w:after="0" w:line="110" w:lineRule="exact"/>
        <w:rPr>
          <w:sz w:val="20"/>
          <w:szCs w:val="20"/>
          <w:color w:val="auto"/>
        </w:r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40</w:t>
        <w:tab/>
        <w:t>|</w:t>
        <w:tab/>
        <w:t>2020 Proxy Statement</w:t>
      </w:r>
    </w:p>
    <w:p>
      <w:pPr>
        <w:sectPr>
          <w:pgSz w:w="11900" w:h="16838" w:orient="portrait"/>
          <w:cols w:equalWidth="0" w:num="1">
            <w:col w:w="10800"/>
          </w:cols>
          <w:pgMar w:left="320" w:top="441" w:right="77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93" w:lineRule="exact"/>
        <w:rPr>
          <w:sz w:val="20"/>
          <w:szCs w:val="20"/>
          <w:color w:val="auto"/>
        </w:rPr>
      </w:pPr>
    </w:p>
    <w:p>
      <w:pPr>
        <w:ind w:left="440" w:right="80"/>
        <w:spacing w:after="0" w:line="239" w:lineRule="auto"/>
        <w:rPr>
          <w:sz w:val="20"/>
          <w:szCs w:val="20"/>
          <w:color w:val="auto"/>
        </w:rPr>
      </w:pPr>
      <w:r>
        <w:rPr>
          <w:rFonts w:ascii="Arial" w:cs="Arial" w:eastAsia="Arial" w:hAnsi="Arial"/>
          <w:sz w:val="17"/>
          <w:szCs w:val="17"/>
          <w:color w:val="auto"/>
        </w:rPr>
        <w:t>On October 18, 2019, Ms. Heise’s employment with the company ceased through an Executive Layoff Event pursuant to the Severance Plan. As a result, in accordance with the Severance Plan, Ms. Heise’s outstanding equity awards were vested on a pro rata basis and she received the following cash benefits:</w:t>
      </w:r>
    </w:p>
    <w:p>
      <w:pPr>
        <w:spacing w:after="0" w:line="209"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120" w:type="dxa"/>
            <w:vAlign w:val="bottom"/>
            <w:tcBorders>
              <w:bottom w:val="single" w:sz="8" w:color="483E65"/>
            </w:tcBorders>
          </w:tcPr>
          <w:p>
            <w:pPr>
              <w:ind w:left="80"/>
              <w:spacing w:after="0"/>
              <w:rPr>
                <w:sz w:val="20"/>
                <w:szCs w:val="20"/>
                <w:color w:val="auto"/>
              </w:rPr>
            </w:pPr>
            <w:r>
              <w:rPr>
                <w:rFonts w:ascii="Arial" w:cs="Arial" w:eastAsia="Arial" w:hAnsi="Arial"/>
                <w:sz w:val="14"/>
                <w:szCs w:val="14"/>
                <w:color w:val="483E65"/>
              </w:rPr>
              <w:t>Component</w:t>
            </w:r>
          </w:p>
        </w:tc>
        <w:tc>
          <w:tcPr>
            <w:tcW w:w="4260" w:type="dxa"/>
            <w:vAlign w:val="bottom"/>
            <w:tcBorders>
              <w:bottom w:val="single" w:sz="8" w:color="483E65"/>
            </w:tcBorders>
          </w:tcPr>
          <w:p>
            <w:pPr>
              <w:jc w:val="right"/>
              <w:ind w:right="378"/>
              <w:spacing w:after="0"/>
              <w:rPr>
                <w:sz w:val="20"/>
                <w:szCs w:val="20"/>
                <w:color w:val="auto"/>
              </w:rPr>
            </w:pPr>
            <w:r>
              <w:rPr>
                <w:rFonts w:ascii="Arial" w:cs="Arial" w:eastAsia="Arial" w:hAnsi="Arial"/>
                <w:sz w:val="14"/>
                <w:szCs w:val="14"/>
                <w:color w:val="483E65"/>
              </w:rPr>
              <w:t>($)</w:t>
            </w:r>
          </w:p>
        </w:tc>
      </w:tr>
      <w:tr>
        <w:trPr>
          <w:trHeight w:val="183"/>
        </w:trPr>
        <w:tc>
          <w:tcPr>
            <w:tcW w:w="6120" w:type="dxa"/>
            <w:vAlign w:val="bottom"/>
            <w:shd w:val="clear" w:color="auto" w:fill="ACABA7"/>
          </w:tcPr>
          <w:p>
            <w:pPr>
              <w:ind w:left="100"/>
              <w:spacing w:after="0" w:line="184" w:lineRule="exact"/>
              <w:rPr>
                <w:sz w:val="20"/>
                <w:szCs w:val="20"/>
                <w:color w:val="auto"/>
              </w:rPr>
            </w:pPr>
            <w:r>
              <w:rPr>
                <w:rFonts w:ascii="Arial" w:cs="Arial" w:eastAsia="Arial" w:hAnsi="Arial"/>
                <w:sz w:val="17"/>
                <w:szCs w:val="17"/>
                <w:color w:val="auto"/>
              </w:rPr>
              <w:t>Severance Lump Sum (1 x Salary)</w:t>
            </w:r>
          </w:p>
        </w:tc>
        <w:tc>
          <w:tcPr>
            <w:tcW w:w="4260" w:type="dxa"/>
            <w:vAlign w:val="bottom"/>
            <w:shd w:val="clear" w:color="auto" w:fill="ACABA7"/>
          </w:tcPr>
          <w:p>
            <w:pPr>
              <w:jc w:val="right"/>
              <w:ind w:right="38"/>
              <w:spacing w:after="0" w:line="184" w:lineRule="exact"/>
              <w:rPr>
                <w:sz w:val="20"/>
                <w:szCs w:val="20"/>
                <w:color w:val="auto"/>
              </w:rPr>
            </w:pPr>
            <w:r>
              <w:rPr>
                <w:rFonts w:ascii="Arial" w:cs="Arial" w:eastAsia="Arial" w:hAnsi="Arial"/>
                <w:sz w:val="17"/>
                <w:szCs w:val="17"/>
                <w:color w:val="auto"/>
              </w:rPr>
              <w:t>550,000</w:t>
            </w:r>
          </w:p>
        </w:tc>
      </w:tr>
      <w:tr>
        <w:trPr>
          <w:trHeight w:val="191"/>
        </w:trPr>
        <w:tc>
          <w:tcPr>
            <w:tcW w:w="6120" w:type="dxa"/>
            <w:vAlign w:val="bottom"/>
          </w:tcPr>
          <w:p>
            <w:pPr>
              <w:ind w:left="100"/>
              <w:spacing w:after="0" w:line="191" w:lineRule="exact"/>
              <w:rPr>
                <w:sz w:val="20"/>
                <w:szCs w:val="20"/>
                <w:color w:val="auto"/>
              </w:rPr>
            </w:pPr>
            <w:r>
              <w:rPr>
                <w:rFonts w:ascii="Arial" w:cs="Arial" w:eastAsia="Arial" w:hAnsi="Arial"/>
                <w:sz w:val="17"/>
                <w:szCs w:val="17"/>
                <w:color w:val="auto"/>
              </w:rPr>
              <w:t>Healthcare Lump Sum (12 months)</w:t>
            </w:r>
          </w:p>
        </w:tc>
        <w:tc>
          <w:tcPr>
            <w:tcW w:w="4260" w:type="dxa"/>
            <w:vAlign w:val="bottom"/>
          </w:tcPr>
          <w:p>
            <w:pPr>
              <w:jc w:val="right"/>
              <w:ind w:right="38"/>
              <w:spacing w:after="0" w:line="191" w:lineRule="exact"/>
              <w:rPr>
                <w:sz w:val="20"/>
                <w:szCs w:val="20"/>
                <w:color w:val="auto"/>
              </w:rPr>
            </w:pPr>
            <w:r>
              <w:rPr>
                <w:rFonts w:ascii="Arial" w:cs="Arial" w:eastAsia="Arial" w:hAnsi="Arial"/>
                <w:sz w:val="17"/>
                <w:szCs w:val="17"/>
                <w:color w:val="auto"/>
              </w:rPr>
              <w:t>19,807</w:t>
            </w:r>
          </w:p>
        </w:tc>
      </w:tr>
      <w:tr>
        <w:trPr>
          <w:trHeight w:val="191"/>
        </w:trPr>
        <w:tc>
          <w:tcPr>
            <w:tcW w:w="6120" w:type="dxa"/>
            <w:vAlign w:val="bottom"/>
            <w:shd w:val="clear" w:color="auto" w:fill="ACABA7"/>
          </w:tcPr>
          <w:p>
            <w:pPr>
              <w:ind w:left="100"/>
              <w:spacing w:after="0" w:line="191" w:lineRule="exact"/>
              <w:rPr>
                <w:sz w:val="20"/>
                <w:szCs w:val="20"/>
                <w:color w:val="auto"/>
              </w:rPr>
            </w:pPr>
            <w:r>
              <w:rPr>
                <w:rFonts w:ascii="Arial" w:cs="Arial" w:eastAsia="Arial" w:hAnsi="Arial"/>
                <w:sz w:val="17"/>
                <w:szCs w:val="17"/>
                <w:color w:val="auto"/>
              </w:rPr>
              <w:t>Outplacement Services (6 months)</w:t>
            </w:r>
          </w:p>
        </w:tc>
        <w:tc>
          <w:tcPr>
            <w:tcW w:w="4260" w:type="dxa"/>
            <w:vAlign w:val="bottom"/>
            <w:shd w:val="clear" w:color="auto" w:fill="ACABA7"/>
          </w:tcPr>
          <w:p>
            <w:pPr>
              <w:jc w:val="right"/>
              <w:ind w:right="38"/>
              <w:spacing w:after="0" w:line="191" w:lineRule="exact"/>
              <w:rPr>
                <w:sz w:val="20"/>
                <w:szCs w:val="20"/>
                <w:color w:val="auto"/>
              </w:rPr>
            </w:pPr>
            <w:r>
              <w:rPr>
                <w:rFonts w:ascii="Arial" w:cs="Arial" w:eastAsia="Arial" w:hAnsi="Arial"/>
                <w:sz w:val="17"/>
                <w:szCs w:val="17"/>
                <w:color w:val="auto"/>
              </w:rPr>
              <w:t>7,500</w:t>
            </w:r>
          </w:p>
        </w:tc>
      </w:tr>
      <w:tr>
        <w:trPr>
          <w:trHeight w:val="191"/>
        </w:trPr>
        <w:tc>
          <w:tcPr>
            <w:tcW w:w="6120" w:type="dxa"/>
            <w:vAlign w:val="bottom"/>
            <w:tcBorders>
              <w:bottom w:val="single" w:sz="8" w:color="483E65"/>
            </w:tcBorders>
          </w:tcPr>
          <w:p>
            <w:pPr>
              <w:ind w:left="100"/>
              <w:spacing w:after="0" w:line="191" w:lineRule="exact"/>
              <w:rPr>
                <w:sz w:val="20"/>
                <w:szCs w:val="20"/>
                <w:color w:val="auto"/>
              </w:rPr>
            </w:pPr>
            <w:r>
              <w:rPr>
                <w:rFonts w:ascii="Arial" w:cs="Arial" w:eastAsia="Arial" w:hAnsi="Arial"/>
                <w:sz w:val="17"/>
                <w:szCs w:val="17"/>
                <w:color w:val="auto"/>
              </w:rPr>
              <w:t>Pro rata Fiscal Year 2019 Bonus</w:t>
            </w:r>
          </w:p>
        </w:tc>
        <w:tc>
          <w:tcPr>
            <w:tcW w:w="4260" w:type="dxa"/>
            <w:vAlign w:val="bottom"/>
            <w:tcBorders>
              <w:bottom w:val="single" w:sz="8" w:color="483E65"/>
            </w:tcBorders>
          </w:tcPr>
          <w:p>
            <w:pPr>
              <w:jc w:val="right"/>
              <w:ind w:right="38"/>
              <w:spacing w:after="0" w:line="191" w:lineRule="exact"/>
              <w:rPr>
                <w:sz w:val="20"/>
                <w:szCs w:val="20"/>
                <w:color w:val="auto"/>
              </w:rPr>
            </w:pPr>
            <w:r>
              <w:rPr>
                <w:rFonts w:ascii="Arial" w:cs="Arial" w:eastAsia="Arial" w:hAnsi="Arial"/>
                <w:sz w:val="17"/>
                <w:szCs w:val="17"/>
                <w:color w:val="auto"/>
              </w:rPr>
              <w:t>466,520</w:t>
            </w:r>
          </w:p>
        </w:tc>
      </w:tr>
      <w:tr>
        <w:trPr>
          <w:trHeight w:val="183"/>
        </w:trPr>
        <w:tc>
          <w:tcPr>
            <w:tcW w:w="6120" w:type="dxa"/>
            <w:vAlign w:val="bottom"/>
            <w:tcBorders>
              <w:bottom w:val="single" w:sz="8" w:color="483E65"/>
            </w:tcBorders>
            <w:shd w:val="clear" w:color="auto" w:fill="ACABA7"/>
          </w:tcPr>
          <w:p>
            <w:pPr>
              <w:ind w:left="100"/>
              <w:spacing w:after="0" w:line="184" w:lineRule="exact"/>
              <w:rPr>
                <w:sz w:val="20"/>
                <w:szCs w:val="20"/>
                <w:color w:val="auto"/>
              </w:rPr>
            </w:pPr>
            <w:r>
              <w:rPr>
                <w:rFonts w:ascii="Arial" w:cs="Arial" w:eastAsia="Arial" w:hAnsi="Arial"/>
                <w:sz w:val="17"/>
                <w:szCs w:val="17"/>
                <w:color w:val="auto"/>
              </w:rPr>
              <w:t>Total</w:t>
            </w:r>
          </w:p>
        </w:tc>
        <w:tc>
          <w:tcPr>
            <w:tcW w:w="4260" w:type="dxa"/>
            <w:vAlign w:val="bottom"/>
            <w:tcBorders>
              <w:bottom w:val="single" w:sz="8" w:color="483E65"/>
            </w:tcBorders>
            <w:shd w:val="clear" w:color="auto" w:fill="ACABA7"/>
          </w:tcPr>
          <w:p>
            <w:pPr>
              <w:jc w:val="right"/>
              <w:ind w:right="38"/>
              <w:spacing w:after="0" w:line="184" w:lineRule="exact"/>
              <w:rPr>
                <w:sz w:val="20"/>
                <w:szCs w:val="20"/>
                <w:color w:val="auto"/>
              </w:rPr>
            </w:pPr>
            <w:r>
              <w:rPr>
                <w:rFonts w:ascii="Arial" w:cs="Arial" w:eastAsia="Arial" w:hAnsi="Arial"/>
                <w:sz w:val="17"/>
                <w:szCs w:val="17"/>
                <w:color w:val="auto"/>
              </w:rPr>
              <w:t>1,043,827</w:t>
            </w:r>
          </w:p>
        </w:tc>
      </w:tr>
    </w:tbl>
    <w:p>
      <w:pPr>
        <w:spacing w:after="0" w:line="18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Treatment of Equity Awards upon Termination</w:t>
      </w:r>
    </w:p>
    <w:p>
      <w:pPr>
        <w:spacing w:after="0" w:line="218" w:lineRule="exact"/>
        <w:rPr>
          <w:sz w:val="20"/>
          <w:szCs w:val="20"/>
          <w:color w:val="auto"/>
        </w:rPr>
      </w:pPr>
    </w:p>
    <w:p>
      <w:pPr>
        <w:jc w:val="both"/>
        <w:ind w:left="440" w:right="20"/>
        <w:spacing w:after="0" w:line="273" w:lineRule="auto"/>
        <w:rPr>
          <w:sz w:val="20"/>
          <w:szCs w:val="20"/>
          <w:color w:val="auto"/>
        </w:rPr>
      </w:pPr>
      <w:r>
        <w:rPr>
          <w:rFonts w:ascii="Arial" w:cs="Arial" w:eastAsia="Arial" w:hAnsi="Arial"/>
          <w:sz w:val="16"/>
          <w:szCs w:val="16"/>
          <w:color w:val="auto"/>
        </w:rPr>
        <w:t>With respect to outstanding equity awards, our executive officers are generally treated in the same way as all other employee award recipients if their employment is terminated due to death, disability, retirement, involuntary without cause departure, or voluntary departure.</w:t>
      </w:r>
    </w:p>
    <w:p>
      <w:pPr>
        <w:spacing w:after="0" w:line="166" w:lineRule="exact"/>
        <w:rPr>
          <w:sz w:val="20"/>
          <w:szCs w:val="20"/>
          <w:color w:val="auto"/>
        </w:rPr>
      </w:pPr>
    </w:p>
    <w:p>
      <w:pPr>
        <w:ind w:left="440" w:right="360"/>
        <w:spacing w:after="0" w:line="237" w:lineRule="auto"/>
        <w:rPr>
          <w:sz w:val="20"/>
          <w:szCs w:val="20"/>
          <w:color w:val="auto"/>
        </w:rPr>
      </w:pPr>
      <w:r>
        <w:rPr>
          <w:rFonts w:ascii="Arial" w:cs="Arial" w:eastAsia="Arial" w:hAnsi="Arial"/>
          <w:sz w:val="17"/>
          <w:szCs w:val="17"/>
          <w:color w:val="auto"/>
        </w:rPr>
        <w:t>In the case of death or disability, restricted stock units and options will vest immediately and options will remain exercisable for the remaining term of the option. For our 2017 and earlier performance share award program, target shares will be paid out promptly on a pro-rata basis upon death and for 2018 and later, target shares will be paid out promptly upon death. In the case of disability for all performance share awards, individuals will receive a pro-rata number of shares after the end of the applicable three-year performance period, based on actual company performance over the full period.</w:t>
      </w:r>
    </w:p>
    <w:p>
      <w:pPr>
        <w:spacing w:after="0" w:line="191" w:lineRule="exact"/>
        <w:rPr>
          <w:sz w:val="20"/>
          <w:szCs w:val="20"/>
          <w:color w:val="auto"/>
        </w:rPr>
      </w:pPr>
    </w:p>
    <w:p>
      <w:pPr>
        <w:ind w:left="440" w:right="200"/>
        <w:spacing w:after="0" w:line="236" w:lineRule="auto"/>
        <w:rPr>
          <w:sz w:val="20"/>
          <w:szCs w:val="20"/>
          <w:color w:val="auto"/>
        </w:rPr>
      </w:pPr>
      <w:r>
        <w:rPr>
          <w:rFonts w:ascii="Arial" w:cs="Arial" w:eastAsia="Arial" w:hAnsi="Arial"/>
          <w:sz w:val="17"/>
          <w:szCs w:val="17"/>
          <w:color w:val="auto"/>
        </w:rPr>
        <w:t>Under our continued vesting program, employees who retire, including our executive officers, may continue holding and vesting in their stock options if they have held such options for at least 12 months prior to retirement and they retire (i) after age 59 1/2 with at least ten years of service or (ii) after age 59 1/2 when age at termination plus years of service equals at least 70. When an individual becomes eligible for continued vesting, restricted stock units will continue to vest in accordance with the original vesting schedule. Individuals meeting these qualifications who hold performance share awards will receive a pro-rata number of shares after the end of the applicable three-year performance period, based on actual company performance over the full period. We have the right to terminate continued vesting if an individual violates confidentiality, non-solicitation, non-compete, or similar obligations to us.</w:t>
      </w:r>
    </w:p>
    <w:p>
      <w:pPr>
        <w:spacing w:after="0" w:line="192" w:lineRule="exact"/>
        <w:rPr>
          <w:sz w:val="20"/>
          <w:szCs w:val="20"/>
          <w:color w:val="auto"/>
        </w:rPr>
      </w:pPr>
    </w:p>
    <w:p>
      <w:pPr>
        <w:ind w:left="440" w:right="80"/>
        <w:spacing w:after="0" w:line="236" w:lineRule="auto"/>
        <w:rPr>
          <w:sz w:val="20"/>
          <w:szCs w:val="20"/>
          <w:color w:val="auto"/>
        </w:rPr>
      </w:pPr>
      <w:r>
        <w:rPr>
          <w:rFonts w:ascii="Arial" w:cs="Arial" w:eastAsia="Arial" w:hAnsi="Arial"/>
          <w:sz w:val="17"/>
          <w:szCs w:val="17"/>
          <w:color w:val="auto"/>
        </w:rPr>
        <w:t>In the case of an involuntary termination without cause , all restricted stock units and stock options granted in 2017 or later will vest on a pro-rata basis provided the award has been held for a minimum of six months. In the case of a performance share award granted in 2017, individuals will receive a pro-rata number of shares after the end of the applicable three-year performance period, based on actual company performance over the full period. For performance share awards granted in 2018 or later, individuals will receive a pro-rata number of shares after the end of the applicable three-year performance period, based on actual company performance over the full period, provided the award has been held for a minimum of 6 months.</w:t>
      </w:r>
    </w:p>
    <w:p>
      <w:pPr>
        <w:spacing w:after="0" w:line="194" w:lineRule="exact"/>
        <w:rPr>
          <w:sz w:val="20"/>
          <w:szCs w:val="20"/>
          <w:color w:val="auto"/>
        </w:rPr>
      </w:pPr>
    </w:p>
    <w:p>
      <w:pPr>
        <w:ind w:left="440" w:right="160"/>
        <w:spacing w:after="0" w:line="239" w:lineRule="auto"/>
        <w:rPr>
          <w:sz w:val="20"/>
          <w:szCs w:val="20"/>
          <w:color w:val="auto"/>
        </w:rPr>
      </w:pPr>
      <w:r>
        <w:rPr>
          <w:rFonts w:ascii="Arial" w:cs="Arial" w:eastAsia="Arial" w:hAnsi="Arial"/>
          <w:sz w:val="17"/>
          <w:szCs w:val="17"/>
          <w:color w:val="auto"/>
        </w:rPr>
        <w:t>In any other case, if the employment of an equity award recipient, including an executive officer, is terminated for any reason, all of that recipient’s unvested restricted stock units, options and performance share awards are forfeited. Vested options remain exercisable for 90 days or until the option expiration date, if earlier.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Pay Ratio Disclosure</w:t>
      </w:r>
    </w:p>
    <w:p>
      <w:pPr>
        <w:spacing w:after="0" w:line="218" w:lineRule="exact"/>
        <w:rPr>
          <w:sz w:val="20"/>
          <w:szCs w:val="20"/>
          <w:color w:val="auto"/>
        </w:rPr>
      </w:pPr>
    </w:p>
    <w:p>
      <w:pPr>
        <w:ind w:left="440" w:right="320"/>
        <w:spacing w:after="0" w:line="243" w:lineRule="auto"/>
        <w:rPr>
          <w:sz w:val="20"/>
          <w:szCs w:val="20"/>
          <w:color w:val="auto"/>
        </w:rPr>
      </w:pPr>
      <w:r>
        <w:rPr>
          <w:rFonts w:ascii="Arial" w:cs="Arial" w:eastAsia="Arial" w:hAnsi="Arial"/>
          <w:sz w:val="17"/>
          <w:szCs w:val="17"/>
          <w:color w:val="auto"/>
        </w:rPr>
        <w:t>In accordance with the requirements of Section 953(b) of the Dodd-Frank Act and Item 402(u) of Regulation S-K (which we collectively refer to as the “Pay Ratio Rule”), we are providing the following estimated information for 2019:</w:t>
      </w:r>
    </w:p>
    <w:p>
      <w:pPr>
        <w:sectPr>
          <w:pgSz w:w="11900" w:h="16838" w:orient="portrait"/>
          <w:cols w:equalWidth="0" w:num="1">
            <w:col w:w="10820"/>
          </w:cols>
          <w:pgMar w:left="320" w:top="441" w:right="759" w:bottom="1440" w:gutter="0" w:footer="0" w:header="0"/>
        </w:sectPr>
      </w:pPr>
    </w:p>
    <w:p>
      <w:pPr>
        <w:spacing w:after="0" w:line="106" w:lineRule="exact"/>
        <w:rPr>
          <w:sz w:val="20"/>
          <w:szCs w:val="20"/>
          <w:color w:val="auto"/>
        </w:rPr>
      </w:pPr>
    </w:p>
    <w:p>
      <w:pPr>
        <w:ind w:left="5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540"/>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ind w:left="5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1120"/>
        <w:spacing w:after="0" w:line="374" w:lineRule="auto"/>
        <w:rPr>
          <w:sz w:val="20"/>
          <w:szCs w:val="20"/>
          <w:color w:val="auto"/>
        </w:rPr>
      </w:pPr>
      <w:r>
        <w:rPr>
          <w:rFonts w:ascii="Arial" w:cs="Arial" w:eastAsia="Arial" w:hAnsi="Arial"/>
          <w:sz w:val="17"/>
          <w:szCs w:val="17"/>
          <w:color w:val="auto"/>
        </w:rPr>
        <w:t>the median of the annual total compensation of all our employees (except our Chief Executive Officer) was $103,657; the annual total compensation of our Chief Executive officer was $10,671,271; and</w:t>
      </w:r>
    </w:p>
    <w:p>
      <w:pPr>
        <w:spacing w:after="0" w:line="1"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the ratio of these two amounts was 103 to 1. We believe that this ratio is a reasonable estimate calculated in a manner consistent with the requirements of the Pay Ratio Rule.</w:t>
      </w:r>
    </w:p>
    <w:p>
      <w:pPr>
        <w:spacing w:after="0" w:line="110" w:lineRule="exact"/>
        <w:rPr>
          <w:sz w:val="20"/>
          <w:szCs w:val="20"/>
          <w:color w:val="auto"/>
        </w:rPr>
      </w:pPr>
    </w:p>
    <w:p>
      <w:pPr>
        <w:sectPr>
          <w:pgSz w:w="11900" w:h="16838" w:orient="portrait"/>
          <w:cols w:equalWidth="0" w:num="2">
            <w:col w:w="580" w:space="360"/>
            <w:col w:w="9880"/>
          </w:cols>
          <w:pgMar w:left="320" w:top="441" w:right="759" w:bottom="1440" w:gutter="0" w:footer="0" w:header="0"/>
          <w:type w:val="continuous"/>
        </w:sectPr>
      </w:pPr>
    </w:p>
    <w:p>
      <w:pPr>
        <w:ind w:left="8680"/>
        <w:spacing w:after="0"/>
        <w:tabs>
          <w:tab w:leader="none" w:pos="10400" w:val="left"/>
          <w:tab w:leader="none" w:pos="1062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41</w:t>
      </w:r>
    </w:p>
    <w:p>
      <w:pPr>
        <w:sectPr>
          <w:pgSz w:w="11900" w:h="16838" w:orient="portrait"/>
          <w:cols w:equalWidth="0" w:num="1">
            <w:col w:w="10820"/>
          </w:cols>
          <w:pgMar w:left="320" w:top="441" w:right="759" w:bottom="1440" w:gutter="0" w:footer="0" w:header="0"/>
          <w:type w:val="continuous"/>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93" w:lineRule="exact"/>
        <w:rPr>
          <w:sz w:val="20"/>
          <w:szCs w:val="20"/>
          <w:color w:val="auto"/>
        </w:rPr>
      </w:pPr>
    </w:p>
    <w:p>
      <w:pPr>
        <w:jc w:val="both"/>
        <w:ind w:left="440" w:right="200"/>
        <w:spacing w:after="0" w:line="273" w:lineRule="auto"/>
        <w:rPr>
          <w:sz w:val="20"/>
          <w:szCs w:val="20"/>
          <w:color w:val="auto"/>
        </w:rPr>
      </w:pPr>
      <w:r>
        <w:rPr>
          <w:rFonts w:ascii="Arial" w:cs="Arial" w:eastAsia="Arial" w:hAnsi="Arial"/>
          <w:sz w:val="16"/>
          <w:szCs w:val="16"/>
          <w:color w:val="auto"/>
        </w:rPr>
        <w:t>SEC rules for identifying the median employee and calculating the pay ratio allow companies to apply various methodologies and apply various assumptions and, as a result, the pay ratio reported by us may not be comparable to the pay ratio reported by other companies.</w:t>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Methodology for Identifying Our “Median Employee”</w:t>
      </w:r>
    </w:p>
    <w:p>
      <w:pPr>
        <w:spacing w:after="0" w:line="200"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483E65"/>
        </w:rPr>
        <w:t>Employee Population</w:t>
      </w:r>
    </w:p>
    <w:p>
      <w:pPr>
        <w:spacing w:after="0" w:line="216" w:lineRule="exact"/>
        <w:rPr>
          <w:sz w:val="20"/>
          <w:szCs w:val="20"/>
          <w:color w:val="auto"/>
        </w:rPr>
      </w:pPr>
    </w:p>
    <w:p>
      <w:pPr>
        <w:ind w:left="440"/>
        <w:spacing w:after="0" w:line="236" w:lineRule="auto"/>
        <w:rPr>
          <w:sz w:val="20"/>
          <w:szCs w:val="20"/>
          <w:color w:val="auto"/>
        </w:rPr>
      </w:pPr>
      <w:r>
        <w:rPr>
          <w:rFonts w:ascii="Arial" w:cs="Arial" w:eastAsia="Arial" w:hAnsi="Arial"/>
          <w:sz w:val="17"/>
          <w:szCs w:val="17"/>
          <w:color w:val="auto"/>
        </w:rPr>
        <w:t>To identify the median of the annual total compensation of all of our employees (other than our Chief Executive Officer), we first identified our total employee population from which we determined our “median employee.” We selected January 3, 2020, which is within the last three months of 2019, as the date upon which we would identify the “median employee.” We determined that, as of January 3, 2020, our employee population consisted of 33,501 individuals (of which approximately 93% were located in the United States and 7% were located in jurisdictions outside the United States). Our employee population consisted of our global workforce of full-time, part-time, and temporary employees, as described in more detail below.</w:t>
      </w:r>
    </w:p>
    <w:p>
      <w:pPr>
        <w:spacing w:after="0" w:line="176"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483E65"/>
        </w:rPr>
        <w:t>Adjustments to Our Employee Population</w:t>
      </w:r>
    </w:p>
    <w:p>
      <w:pPr>
        <w:spacing w:after="0" w:line="216" w:lineRule="exact"/>
        <w:rPr>
          <w:sz w:val="20"/>
          <w:szCs w:val="20"/>
          <w:color w:val="auto"/>
        </w:rPr>
      </w:pPr>
    </w:p>
    <w:p>
      <w:pPr>
        <w:ind w:left="440" w:right="140"/>
        <w:spacing w:after="0" w:line="236" w:lineRule="auto"/>
        <w:rPr>
          <w:sz w:val="20"/>
          <w:szCs w:val="20"/>
          <w:color w:val="auto"/>
        </w:rPr>
      </w:pPr>
      <w:r>
        <w:rPr>
          <w:rFonts w:ascii="Arial" w:cs="Arial" w:eastAsia="Arial" w:hAnsi="Arial"/>
          <w:sz w:val="17"/>
          <w:szCs w:val="17"/>
          <w:color w:val="auto"/>
        </w:rPr>
        <w:t>As permitted by the Pay Ratio Rule, we adjusted our total employee population (as described above) for purposes of identifying our “median employee” by excluding approximately 1,131 of our employees located in certain jurisdictions outside of the United States given the relatively small number of employees in those jurisdictions and the estimated costs of obtaining their compensation information, as follows: 1,078 employees from the United Kingdom, 16 employees from Israel, one employee from South Korea, 8 employees from Canada, one employee from Belgium, one employee from UAE, and 26 employees from Saudi Arabia, and 1 employee from the United Arab Emirates.</w:t>
      </w:r>
    </w:p>
    <w:p>
      <w:pPr>
        <w:spacing w:after="0" w:line="194" w:lineRule="exact"/>
        <w:rPr>
          <w:sz w:val="20"/>
          <w:szCs w:val="20"/>
          <w:color w:val="auto"/>
        </w:rPr>
      </w:pPr>
    </w:p>
    <w:p>
      <w:pPr>
        <w:ind w:left="440" w:right="540"/>
        <w:spacing w:after="0" w:line="273" w:lineRule="auto"/>
        <w:rPr>
          <w:sz w:val="20"/>
          <w:szCs w:val="20"/>
          <w:color w:val="auto"/>
        </w:rPr>
      </w:pPr>
      <w:r>
        <w:rPr>
          <w:rFonts w:ascii="Arial" w:cs="Arial" w:eastAsia="Arial" w:hAnsi="Arial"/>
          <w:sz w:val="16"/>
          <w:szCs w:val="16"/>
          <w:color w:val="auto"/>
        </w:rPr>
        <w:t>After taking into account the above described adjustments to our employee population as permitted by the Pay Ratio Rule, our total adjusted employee population for purposes of determining our “median employee” consisted of approximately 32,370 individuals.</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483E65"/>
        </w:rPr>
        <w:t>Determining Our Median Employee</w:t>
      </w:r>
    </w:p>
    <w:p>
      <w:pPr>
        <w:spacing w:after="0" w:line="216" w:lineRule="exact"/>
        <w:rPr>
          <w:sz w:val="20"/>
          <w:szCs w:val="20"/>
          <w:color w:val="auto"/>
        </w:rPr>
      </w:pPr>
    </w:p>
    <w:p>
      <w:pPr>
        <w:ind w:left="440"/>
        <w:spacing w:after="0" w:line="236" w:lineRule="auto"/>
        <w:rPr>
          <w:sz w:val="20"/>
          <w:szCs w:val="20"/>
          <w:color w:val="auto"/>
        </w:rPr>
      </w:pPr>
      <w:r>
        <w:rPr>
          <w:rFonts w:ascii="Arial" w:cs="Arial" w:eastAsia="Arial" w:hAnsi="Arial"/>
          <w:sz w:val="17"/>
          <w:szCs w:val="17"/>
          <w:color w:val="auto"/>
        </w:rPr>
        <w:t>To identify our “median employee” from our total adjusted employee population, we compared the annualized salary of our employees as reflected in our human resources system of record. We identified our “median employee” using this compensation measure, which was consistently applied to all our employees included in the calculation. After identifying the median employee, that employee’s compensation was restated based on the Summary Compensation Table elements. Using the methodologies described above, we determined that our “median employee” was a full-time, salaried employee located in the United States with base wages for the 12-month period ending January 3, 2020 in the amount of $103,657.</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483E65"/>
        </w:rPr>
        <w:t>Determination of Annual Total Compensation of Our “Median Employee” and Our CEO</w:t>
      </w:r>
    </w:p>
    <w:p>
      <w:pPr>
        <w:spacing w:after="0" w:line="218" w:lineRule="exact"/>
        <w:rPr>
          <w:sz w:val="20"/>
          <w:szCs w:val="20"/>
          <w:color w:val="auto"/>
        </w:rPr>
      </w:pPr>
    </w:p>
    <w:p>
      <w:pPr>
        <w:ind w:left="440" w:right="100"/>
        <w:spacing w:after="0" w:line="239" w:lineRule="auto"/>
        <w:rPr>
          <w:sz w:val="20"/>
          <w:szCs w:val="20"/>
          <w:color w:val="auto"/>
        </w:rPr>
      </w:pPr>
      <w:r>
        <w:rPr>
          <w:rFonts w:ascii="Arial" w:cs="Arial" w:eastAsia="Arial" w:hAnsi="Arial"/>
          <w:sz w:val="17"/>
          <w:szCs w:val="17"/>
          <w:color w:val="auto"/>
        </w:rPr>
        <w:t>Once we identified our “median employee”, we then calculated such employee’s annual total compensation for 2019 using the same methodology we used for purposes of determining the annual total compensation of our named executive officers for 2019 (as set forth in the 2019 Summary Compensation Table in this Proxy Statement).</w:t>
      </w:r>
    </w:p>
    <w:p>
      <w:pPr>
        <w:spacing w:after="0" w:line="191" w:lineRule="exact"/>
        <w:rPr>
          <w:sz w:val="20"/>
          <w:szCs w:val="20"/>
          <w:color w:val="auto"/>
        </w:rPr>
      </w:pPr>
    </w:p>
    <w:p>
      <w:pPr>
        <w:ind w:left="440" w:right="60"/>
        <w:spacing w:after="0" w:line="243" w:lineRule="auto"/>
        <w:rPr>
          <w:sz w:val="20"/>
          <w:szCs w:val="20"/>
          <w:color w:val="auto"/>
        </w:rPr>
      </w:pPr>
      <w:r>
        <w:rPr>
          <w:rFonts w:ascii="Arial" w:cs="Arial" w:eastAsia="Arial" w:hAnsi="Arial"/>
          <w:sz w:val="17"/>
          <w:szCs w:val="17"/>
          <w:color w:val="auto"/>
        </w:rPr>
        <w:t>Our CEO’s annual total compensation for 2019 for purposes of the Pay Ratio Rule is equal to the amount reported in the “Total” column in the 2019 Summary Compensation Table.</w:t>
      </w:r>
    </w:p>
    <w:p>
      <w:pPr>
        <w:spacing w:after="0" w:line="110" w:lineRule="exact"/>
        <w:rPr>
          <w:sz w:val="20"/>
          <w:szCs w:val="20"/>
          <w:color w:val="auto"/>
        </w:r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42</w:t>
        <w:tab/>
        <w:t>|</w:t>
        <w:tab/>
        <w:t>2020 Proxy Statement</w:t>
      </w:r>
    </w:p>
    <w:p>
      <w:pPr>
        <w:sectPr>
          <w:pgSz w:w="11900" w:h="16838" w:orient="portrait"/>
          <w:cols w:equalWidth="0" w:num="1">
            <w:col w:w="10780"/>
          </w:cols>
          <w:pgMar w:left="320" w:top="441" w:right="79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right="200"/>
        <w:spacing w:after="0" w:line="263" w:lineRule="auto"/>
        <w:rPr>
          <w:sz w:val="20"/>
          <w:szCs w:val="20"/>
          <w:color w:val="auto"/>
        </w:rPr>
      </w:pPr>
      <w:r>
        <w:rPr>
          <w:rFonts w:ascii="Arial" w:cs="Arial" w:eastAsia="Arial" w:hAnsi="Arial"/>
          <w:sz w:val="30"/>
          <w:szCs w:val="30"/>
          <w:color w:val="483E65"/>
        </w:rPr>
        <w:t>Proposal 3 —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106680</wp:posOffset>
            </wp:positionV>
            <wp:extent cx="65836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38" w:lineRule="exact"/>
        <w:rPr>
          <w:sz w:val="20"/>
          <w:szCs w:val="20"/>
          <w:color w:val="auto"/>
        </w:rPr>
      </w:pPr>
    </w:p>
    <w:p>
      <w:pPr>
        <w:ind w:left="440" w:right="20"/>
        <w:spacing w:after="0" w:line="237" w:lineRule="auto"/>
        <w:rPr>
          <w:sz w:val="20"/>
          <w:szCs w:val="20"/>
          <w:color w:val="auto"/>
        </w:rPr>
      </w:pPr>
      <w:r>
        <w:rPr>
          <w:rFonts w:ascii="Arial" w:cs="Arial" w:eastAsia="Arial" w:hAnsi="Arial"/>
          <w:sz w:val="17"/>
          <w:szCs w:val="17"/>
          <w:color w:val="auto"/>
        </w:rPr>
        <w:t>The Audit and Finance Committee of the Board of Directors has appointed Deloitte &amp; Touche LLP (“Deloitte”) as the independent registered public accounting firm to audit our consolidated financial statements for the fiscal year ending January 1, 2021. During the fiscal year ended January 3, 2020, Deloitte served as our independent registered public accounting firm and also provided certain tax and other audit-related services as set forth under the caption “Audit Matters” below. Representatives of Deloitte will be at the annual meeting to respond to appropriate questions and will have the opportunity to make a statement if they desire to do so.</w:t>
      </w:r>
    </w:p>
    <w:p>
      <w:pPr>
        <w:spacing w:after="0" w:line="191" w:lineRule="exact"/>
        <w:rPr>
          <w:sz w:val="20"/>
          <w:szCs w:val="20"/>
          <w:color w:val="auto"/>
        </w:rPr>
      </w:pPr>
    </w:p>
    <w:p>
      <w:pPr>
        <w:ind w:left="440" w:right="120"/>
        <w:spacing w:after="0" w:line="237" w:lineRule="auto"/>
        <w:rPr>
          <w:sz w:val="20"/>
          <w:szCs w:val="20"/>
          <w:color w:val="auto"/>
        </w:rPr>
      </w:pPr>
      <w:r>
        <w:rPr>
          <w:rFonts w:ascii="Arial" w:cs="Arial" w:eastAsia="Arial" w:hAnsi="Arial"/>
          <w:sz w:val="17"/>
          <w:szCs w:val="17"/>
          <w:color w:val="auto"/>
        </w:rPr>
        <w:t>Stockholders are not required to ratify the appointment of Deloitte as our independent registered public accounting firm. However, we are submitting the appointment for ratification as a matter of good corporate practice. If stockholders fail to ratify the appointment, the Audit and Finance Committee will consider whether or not to retain Deloitte. Even if the appointment is ratified, the Audit and Finance Committee may direct the appointment of a different independent registered public accounting firm at any time during the year if it determines that such a change would be in our stockholders’ best interests.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Vote Required</w:t>
      </w:r>
    </w:p>
    <w:p>
      <w:pPr>
        <w:spacing w:after="0" w:line="218" w:lineRule="exact"/>
        <w:rPr>
          <w:sz w:val="20"/>
          <w:szCs w:val="20"/>
          <w:color w:val="auto"/>
        </w:rPr>
      </w:pPr>
    </w:p>
    <w:p>
      <w:pPr>
        <w:ind w:left="440"/>
        <w:spacing w:after="0" w:line="237" w:lineRule="auto"/>
        <w:rPr>
          <w:sz w:val="20"/>
          <w:szCs w:val="20"/>
          <w:color w:val="auto"/>
        </w:rPr>
      </w:pPr>
      <w:r>
        <w:rPr>
          <w:rFonts w:ascii="Arial" w:cs="Arial" w:eastAsia="Arial" w:hAnsi="Arial"/>
          <w:sz w:val="17"/>
          <w:szCs w:val="17"/>
          <w:color w:val="auto"/>
        </w:rPr>
        <w:t>The affirmative vote of the holders of a majority of the voting power of common stock, present or represented and entitled to vote at the annual meeting is required to approve the proposal. Abstentions have the effect of a vote against the proposal, and broker “non-votes” have no effect on the outcome of the proposal. Shares of common stock represented by properly executed, timely received and unrevoked proxies will be voted in accordance with the instructions indicated thereon. In the absence of specific instructions, properly executed, timely received and unrevoked proxies will be voted “FOR” the proposal.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Recommendation of the Board of Directors</w:t>
      </w:r>
    </w:p>
    <w:p>
      <w:pPr>
        <w:spacing w:after="0" w:line="198" w:lineRule="exact"/>
        <w:rPr>
          <w:sz w:val="20"/>
          <w:szCs w:val="20"/>
          <w:color w:val="auto"/>
        </w:rPr>
      </w:pPr>
    </w:p>
    <w:p>
      <w:pPr>
        <w:ind w:left="440" w:right="120"/>
        <w:spacing w:after="0" w:line="268" w:lineRule="auto"/>
        <w:rPr>
          <w:sz w:val="20"/>
          <w:szCs w:val="20"/>
          <w:color w:val="auto"/>
        </w:rPr>
      </w:pPr>
      <w:r>
        <w:rPr>
          <w:rFonts w:ascii="Arial" w:cs="Arial" w:eastAsia="Arial" w:hAnsi="Arial"/>
          <w:sz w:val="17"/>
          <w:szCs w:val="17"/>
          <w:b w:val="1"/>
          <w:bCs w:val="1"/>
          <w:i w:val="1"/>
          <w:iCs w:val="1"/>
          <w:color w:val="483E65"/>
        </w:rPr>
        <w:t>The Board of Directors recommends stockholders vote FOR the ratification of the appointment of Deloitte &amp; Touche LLP as our independent registered public accounting firm for the fiscal year ending January 1, 2021.</w:t>
      </w:r>
    </w:p>
    <w:p>
      <w:pPr>
        <w:spacing w:after="0" w:line="89"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43</w:t>
      </w:r>
    </w:p>
    <w:p>
      <w:pPr>
        <w:sectPr>
          <w:pgSz w:w="11900" w:h="16838" w:orient="portrait"/>
          <w:cols w:equalWidth="0" w:num="1">
            <w:col w:w="10800"/>
          </w:cols>
          <w:pgMar w:left="320" w:top="441" w:right="77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Audit and Finance Committee Report</w:t>
      </w:r>
    </w:p>
    <w:p>
      <w:pPr>
        <w:spacing w:after="0" w:line="218" w:lineRule="exact"/>
        <w:rPr>
          <w:sz w:val="20"/>
          <w:szCs w:val="20"/>
          <w:color w:val="auto"/>
        </w:rPr>
      </w:pPr>
    </w:p>
    <w:p>
      <w:pPr>
        <w:ind w:left="440" w:right="40"/>
        <w:spacing w:after="0" w:line="236" w:lineRule="auto"/>
        <w:rPr>
          <w:sz w:val="20"/>
          <w:szCs w:val="20"/>
          <w:color w:val="auto"/>
        </w:rPr>
      </w:pPr>
      <w:r>
        <w:rPr>
          <w:rFonts w:ascii="Arial" w:cs="Arial" w:eastAsia="Arial" w:hAnsi="Arial"/>
          <w:sz w:val="17"/>
          <w:szCs w:val="17"/>
          <w:color w:val="auto"/>
        </w:rPr>
        <w:t>The Audit and Finance Committee assists the Board in its oversight of: (i) the integrity of the company’s financial statements, including the financial reporting process, system of internal control over financial reporting and audit process; (ii) the company’s compliance with legal and regulatory requirements; (iii) the independent registered public accounting firm’s qualifications and independence; (iv) the performance of the company’s internal audit function and independent registered public accounting firm; and (v) financial reporting risk assessment and mitigation. The Audit and Finance Committee’s job is one of oversight and it recognizes that management is responsible for the preparation and certification of the company’s financial statements and that the independent registered public accounting firm is responsible for auditing those financial statements.</w:t>
      </w:r>
    </w:p>
    <w:p>
      <w:pPr>
        <w:spacing w:after="0" w:line="192" w:lineRule="exact"/>
        <w:rPr>
          <w:sz w:val="20"/>
          <w:szCs w:val="20"/>
          <w:color w:val="auto"/>
        </w:rPr>
      </w:pPr>
    </w:p>
    <w:p>
      <w:pPr>
        <w:ind w:left="440" w:right="20"/>
        <w:spacing w:after="0" w:line="237" w:lineRule="auto"/>
        <w:rPr>
          <w:sz w:val="20"/>
          <w:szCs w:val="20"/>
          <w:color w:val="auto"/>
        </w:rPr>
      </w:pPr>
      <w:r>
        <w:rPr>
          <w:rFonts w:ascii="Arial" w:cs="Arial" w:eastAsia="Arial" w:hAnsi="Arial"/>
          <w:sz w:val="17"/>
          <w:szCs w:val="17"/>
          <w:color w:val="auto"/>
        </w:rPr>
        <w:t>The Audit and Finance Committee recognizes that financial management, including the internal audit staff, and the independent registered public accounting firm, have more time, knowledge, and detailed information on the company than do Audit and Finance Committee members. Consequently, in carrying out its oversight responsibilities, the Audit and Finance Committee is not providing any expert or special assurance as to the company’s financial statements or any professional certification as to the independent registered public accounting firm’s work.</w:t>
      </w:r>
    </w:p>
    <w:p>
      <w:pPr>
        <w:spacing w:after="0" w:line="191" w:lineRule="exact"/>
        <w:rPr>
          <w:sz w:val="20"/>
          <w:szCs w:val="20"/>
          <w:color w:val="auto"/>
        </w:rPr>
      </w:pPr>
    </w:p>
    <w:p>
      <w:pPr>
        <w:ind w:left="440" w:right="40"/>
        <w:spacing w:after="0" w:line="237" w:lineRule="auto"/>
        <w:rPr>
          <w:sz w:val="20"/>
          <w:szCs w:val="20"/>
          <w:color w:val="auto"/>
        </w:rPr>
      </w:pPr>
      <w:r>
        <w:rPr>
          <w:rFonts w:ascii="Arial" w:cs="Arial" w:eastAsia="Arial" w:hAnsi="Arial"/>
          <w:sz w:val="17"/>
          <w:szCs w:val="17"/>
          <w:color w:val="auto"/>
        </w:rPr>
        <w:t>The Audit and Finance Committee recognizes the importance of maintaining the independence of Leidos’ independent auditor, both in fact and appearance. In the second half of 2019, we conducted a competitive process to determine the company’s independent registered public accounting firm for the fiscal year ending January 1, 2021. We invited several firms to participate in this process, including Deloitte &amp; Touche LLP, the company’s independent registered public accounting firm since 2000. All of the firms participating in the process submitted proposals and presented their proposals to us and company representatives.</w:t>
      </w:r>
    </w:p>
    <w:p>
      <w:pPr>
        <w:spacing w:after="0" w:line="191" w:lineRule="exact"/>
        <w:rPr>
          <w:sz w:val="20"/>
          <w:szCs w:val="20"/>
          <w:color w:val="auto"/>
        </w:rPr>
      </w:pPr>
    </w:p>
    <w:p>
      <w:pPr>
        <w:ind w:left="440" w:right="300"/>
        <w:spacing w:after="0" w:line="248" w:lineRule="auto"/>
        <w:rPr>
          <w:sz w:val="20"/>
          <w:szCs w:val="20"/>
          <w:color w:val="auto"/>
        </w:rPr>
      </w:pPr>
      <w:r>
        <w:rPr>
          <w:rFonts w:ascii="Arial" w:cs="Arial" w:eastAsia="Arial" w:hAnsi="Arial"/>
          <w:sz w:val="16"/>
          <w:szCs w:val="16"/>
          <w:color w:val="auto"/>
        </w:rPr>
        <w:t>The committee, along with company management and internal auditors, evaluated all of the proposals across a number of criteria, including (i) the audit firm’s independence and objectivity, (ii) the capability and experience of the firm’s proposed audit team members,</w:t>
      </w:r>
    </w:p>
    <w:p>
      <w:pPr>
        <w:spacing w:after="0" w:line="1" w:lineRule="exact"/>
        <w:rPr>
          <w:sz w:val="20"/>
          <w:szCs w:val="20"/>
          <w:color w:val="auto"/>
        </w:rPr>
      </w:pPr>
    </w:p>
    <w:p>
      <w:pPr>
        <w:ind w:left="440" w:right="40"/>
        <w:spacing w:after="0" w:line="237" w:lineRule="auto"/>
        <w:tabs>
          <w:tab w:leader="none" w:pos="71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audit firm’s audit quality indicators, (iv) the advantages and possible disadvantages of the audit firm’s tenure as our independent auditors, (v) the appropriateness of the audit firm’s fees for audit and non-audit services, (vi) the audit firm’s capability and expertise in our industry and in auditing companies with broad and complex operations, (vii) the audit firm’s proposed approach to transition of the audit engagement and auditing the company, and (viii) the size and reputation of the audit firm.</w:t>
      </w:r>
    </w:p>
    <w:p>
      <w:pPr>
        <w:spacing w:after="0" w:line="194" w:lineRule="exact"/>
        <w:rPr>
          <w:sz w:val="20"/>
          <w:szCs w:val="20"/>
          <w:color w:val="auto"/>
        </w:rPr>
      </w:pPr>
    </w:p>
    <w:p>
      <w:pPr>
        <w:ind w:left="440" w:right="200"/>
        <w:spacing w:after="0" w:line="243" w:lineRule="auto"/>
        <w:rPr>
          <w:sz w:val="20"/>
          <w:szCs w:val="20"/>
          <w:color w:val="auto"/>
        </w:rPr>
      </w:pPr>
      <w:r>
        <w:rPr>
          <w:rFonts w:ascii="Arial" w:cs="Arial" w:eastAsia="Arial" w:hAnsi="Arial"/>
          <w:sz w:val="17"/>
          <w:szCs w:val="17"/>
          <w:color w:val="auto"/>
        </w:rPr>
        <w:t>After an extensive process, a thorough analysis of the proposals received, and in person interviews and presentations, we approved the engagement of Deloitte as our independent registered public accounting firm for the fiscal year ending January 1, 2021.</w:t>
      </w:r>
    </w:p>
    <w:p>
      <w:pPr>
        <w:spacing w:after="0" w:line="189" w:lineRule="exact"/>
        <w:rPr>
          <w:sz w:val="20"/>
          <w:szCs w:val="20"/>
          <w:color w:val="auto"/>
        </w:rPr>
      </w:pPr>
    </w:p>
    <w:p>
      <w:pPr>
        <w:ind w:left="440" w:right="640"/>
        <w:spacing w:after="0" w:line="239" w:lineRule="auto"/>
        <w:rPr>
          <w:sz w:val="20"/>
          <w:szCs w:val="20"/>
          <w:color w:val="auto"/>
        </w:rPr>
      </w:pPr>
      <w:r>
        <w:rPr>
          <w:rFonts w:ascii="Arial" w:cs="Arial" w:eastAsia="Arial" w:hAnsi="Arial"/>
          <w:sz w:val="17"/>
          <w:szCs w:val="17"/>
          <w:color w:val="auto"/>
        </w:rPr>
        <w:t>Deloitte rotates its lead audit engagement partner at least every five years. The Audit &amp; Finance Committee interviews proposed candidates and selects the lead audit engagement partner. As part of its final proposal to the company, Deloitte proposed, and the committee approved, a new lead audit engagement partner beginning with the fiscal year 2019 audit.</w:t>
      </w:r>
    </w:p>
    <w:p>
      <w:pPr>
        <w:spacing w:after="0" w:line="191" w:lineRule="exact"/>
        <w:rPr>
          <w:sz w:val="20"/>
          <w:szCs w:val="20"/>
          <w:color w:val="auto"/>
        </w:rPr>
      </w:pPr>
    </w:p>
    <w:p>
      <w:pPr>
        <w:ind w:left="440" w:right="120"/>
        <w:spacing w:after="0" w:line="237" w:lineRule="auto"/>
        <w:rPr>
          <w:sz w:val="20"/>
          <w:szCs w:val="20"/>
          <w:color w:val="auto"/>
        </w:rPr>
      </w:pPr>
      <w:r>
        <w:rPr>
          <w:rFonts w:ascii="Arial" w:cs="Arial" w:eastAsia="Arial" w:hAnsi="Arial"/>
          <w:sz w:val="17"/>
          <w:szCs w:val="17"/>
          <w:color w:val="auto"/>
        </w:rPr>
        <w:t>The duties and responsibilities of the Audit and Finance Committee have been set forth in a written charter since 1975. A copy of the current Audit and Finance Committee charter is available on the company’s website at www.leidos.com by clicking on the links entitled “Corporate Governance” and then “Board Committees.” Each member of the Audit and Finance Committee meets the independence and financial literacy requirements of the SEC and the NYSE. In addition, all of the Committee members qualify as audit committee financial experts under SEC rules.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the course of fulfilling its responsibilities, the Audit and Finance Committee has:</w:t>
      </w:r>
    </w:p>
    <w:p>
      <w:pPr>
        <w:sectPr>
          <w:pgSz w:w="11900" w:h="16838" w:orient="portrait"/>
          <w:cols w:equalWidth="0" w:num="1">
            <w:col w:w="10800"/>
          </w:cols>
          <w:pgMar w:left="320" w:top="441" w:right="779" w:bottom="1440" w:gutter="0" w:footer="0" w:header="0"/>
        </w:sectPr>
      </w:pPr>
    </w:p>
    <w:p>
      <w:pPr>
        <w:spacing w:after="0" w:line="231"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200" w:lineRule="exact"/>
        <w:rPr>
          <w:sz w:val="20"/>
          <w:szCs w:val="20"/>
          <w:color w:val="auto"/>
        </w:rPr>
      </w:pPr>
    </w:p>
    <w:p>
      <w:pPr>
        <w:spacing w:after="0" w:line="227"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both"/>
        <w:ind w:right="380"/>
        <w:spacing w:after="0" w:line="239" w:lineRule="auto"/>
        <w:rPr>
          <w:sz w:val="20"/>
          <w:szCs w:val="20"/>
          <w:color w:val="auto"/>
        </w:rPr>
      </w:pPr>
      <w:r>
        <w:rPr>
          <w:rFonts w:ascii="Arial" w:cs="Arial" w:eastAsia="Arial" w:hAnsi="Arial"/>
          <w:sz w:val="17"/>
          <w:szCs w:val="17"/>
          <w:color w:val="auto"/>
        </w:rPr>
        <w:t>met with the internal auditor and the independent registered public accounting firm to discuss any matters that the internal auditor, the independent registered public accounting firm or the Committee believed should be discussed privately without members of management present;</w:t>
      </w:r>
    </w:p>
    <w:p>
      <w:pPr>
        <w:spacing w:after="0" w:line="102"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met with management of the company to discuss any matters management or the Committee believed should be discussed privately without the internal auditor or the independent registered public accounting firm present;</w:t>
      </w:r>
    </w:p>
    <w:p>
      <w:pPr>
        <w:spacing w:after="0" w:line="10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reviewed and discussed with management and Deloitte &amp; Touche LLP, the company’s independent registered public accounting firm, the audited consolidated financial statements for the fiscal year ended January 3, 2020;</w:t>
      </w:r>
    </w:p>
    <w:p>
      <w:pPr>
        <w:spacing w:after="0" w:line="110" w:lineRule="exact"/>
        <w:rPr>
          <w:sz w:val="20"/>
          <w:szCs w:val="20"/>
          <w:color w:val="auto"/>
        </w:rPr>
      </w:pPr>
    </w:p>
    <w:p>
      <w:pPr>
        <w:sectPr>
          <w:pgSz w:w="11900" w:h="16838" w:orient="portrait"/>
          <w:cols w:equalWidth="0" w:num="2">
            <w:col w:w="880" w:space="380"/>
            <w:col w:w="9540"/>
          </w:cols>
          <w:pgMar w:left="320" w:top="441" w:right="779" w:bottom="1440" w:gutter="0" w:footer="0" w:header="0"/>
          <w:type w:val="continuous"/>
        </w:sect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44</w:t>
        <w:tab/>
        <w:t>|</w:t>
        <w:tab/>
        <w:t>2020 Proxy Statement</w:t>
      </w:r>
    </w:p>
    <w:p>
      <w:pPr>
        <w:sectPr>
          <w:pgSz w:w="11900" w:h="16838" w:orient="portrait"/>
          <w:cols w:equalWidth="0" w:num="1">
            <w:col w:w="10800"/>
          </w:cols>
          <w:pgMar w:left="320" w:top="441" w:right="779" w:bottom="1440" w:gutter="0" w:footer="0" w:header="0"/>
          <w:type w:val="continuous"/>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8580"/>
        <w:spacing w:after="0"/>
        <w:rPr>
          <w:sz w:val="20"/>
          <w:szCs w:val="20"/>
          <w:color w:val="auto"/>
        </w:rPr>
      </w:pPr>
      <w:r>
        <w:rPr>
          <w:rFonts w:ascii="Arial" w:cs="Arial" w:eastAsia="Arial" w:hAnsi="Arial"/>
          <w:sz w:val="30"/>
          <w:szCs w:val="30"/>
          <w:color w:val="483E65"/>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ectPr>
          <w:pgSz w:w="11900" w:h="16838" w:orient="portrait"/>
          <w:cols w:equalWidth="0" w:num="1">
            <w:col w:w="10820"/>
          </w:cols>
          <w:pgMar w:left="320" w:top="441" w:right="7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200" w:lineRule="exact"/>
        <w:rPr>
          <w:sz w:val="20"/>
          <w:szCs w:val="20"/>
          <w:color w:val="auto"/>
        </w:rPr>
      </w:pPr>
    </w:p>
    <w:p>
      <w:pPr>
        <w:spacing w:after="0" w:line="227"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ind w:right="620"/>
        <w:spacing w:after="0" w:line="243" w:lineRule="auto"/>
        <w:rPr>
          <w:sz w:val="20"/>
          <w:szCs w:val="20"/>
          <w:color w:val="auto"/>
        </w:rPr>
      </w:pPr>
      <w:r>
        <w:rPr>
          <w:rFonts w:ascii="Arial" w:cs="Arial" w:eastAsia="Arial" w:hAnsi="Arial"/>
          <w:sz w:val="17"/>
          <w:szCs w:val="17"/>
          <w:color w:val="auto"/>
        </w:rPr>
        <w:t>discussed with Deloitte &amp; Touche LLP the matters required to be discussed by the applicable requirements of the Public Company Accounting Oversight Board (PCAOB) Standards and the SEC; and</w:t>
      </w:r>
    </w:p>
    <w:p>
      <w:pPr>
        <w:spacing w:after="0" w:line="100" w:lineRule="exact"/>
        <w:rPr>
          <w:sz w:val="20"/>
          <w:szCs w:val="20"/>
          <w:color w:val="auto"/>
        </w:rPr>
      </w:pPr>
    </w:p>
    <w:p>
      <w:pPr>
        <w:jc w:val="both"/>
        <w:ind w:right="140"/>
        <w:spacing w:after="0" w:line="239" w:lineRule="auto"/>
        <w:rPr>
          <w:sz w:val="20"/>
          <w:szCs w:val="20"/>
          <w:color w:val="auto"/>
        </w:rPr>
      </w:pPr>
      <w:r>
        <w:rPr>
          <w:rFonts w:ascii="Arial" w:cs="Arial" w:eastAsia="Arial" w:hAnsi="Arial"/>
          <w:sz w:val="17"/>
          <w:szCs w:val="17"/>
          <w:color w:val="auto"/>
        </w:rPr>
        <w:t>received the written disclosures and the letter from Deloitte &amp; Touche LLP required by applicable requirements of the PCAOB regarding Deloitte &amp; Touche LLP’s communications with the Audit and Finance Committee concerning independence, and has discussed with Deloitte &amp; Touche LLP its independence.</w:t>
      </w:r>
    </w:p>
    <w:p>
      <w:pPr>
        <w:spacing w:after="0" w:line="191" w:lineRule="exact"/>
        <w:rPr>
          <w:sz w:val="20"/>
          <w:szCs w:val="20"/>
          <w:color w:val="auto"/>
        </w:rPr>
      </w:pPr>
    </w:p>
    <w:p>
      <w:pPr>
        <w:sectPr>
          <w:pgSz w:w="11900" w:h="16838" w:orient="portrait"/>
          <w:cols w:equalWidth="0" w:num="2">
            <w:col w:w="880" w:space="380"/>
            <w:col w:w="9560"/>
          </w:cols>
          <w:pgMar w:left="320" w:top="441" w:right="759" w:bottom="1440" w:gutter="0" w:footer="0" w:header="0"/>
          <w:type w:val="continuous"/>
        </w:sectPr>
      </w:pPr>
    </w:p>
    <w:p>
      <w:pPr>
        <w:ind w:left="440" w:right="140"/>
        <w:spacing w:after="0" w:line="237" w:lineRule="auto"/>
        <w:rPr>
          <w:sz w:val="20"/>
          <w:szCs w:val="20"/>
          <w:color w:val="auto"/>
        </w:rPr>
      </w:pPr>
      <w:r>
        <w:rPr>
          <w:rFonts w:ascii="Arial" w:cs="Arial" w:eastAsia="Arial" w:hAnsi="Arial"/>
          <w:sz w:val="17"/>
          <w:szCs w:val="17"/>
          <w:color w:val="auto"/>
        </w:rPr>
        <w:t>Based on the reviews and discussions summarized in this Report and subject to the limitations on our role and responsibilities referred to above and contained in the Audit and Finance Committee charter, the Audit and Finance Committee recommended to the Board of Directors that the company’s audited consolidated financial statements referred to above be included in the company’s Annual Report on Form 10-K for the fiscal year ended January 3, 2020 for filing with the SEC.</w:t>
      </w:r>
    </w:p>
    <w:p>
      <w:pPr>
        <w:spacing w:after="0" w:line="189"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Lawrence C. Nussdorf (Chair)</w:t>
      </w:r>
    </w:p>
    <w:p>
      <w:pPr>
        <w:ind w:left="6980"/>
        <w:spacing w:after="0" w:line="234" w:lineRule="auto"/>
        <w:rPr>
          <w:sz w:val="20"/>
          <w:szCs w:val="20"/>
          <w:color w:val="auto"/>
        </w:rPr>
      </w:pPr>
      <w:r>
        <w:rPr>
          <w:rFonts w:ascii="Arial" w:cs="Arial" w:eastAsia="Arial" w:hAnsi="Arial"/>
          <w:sz w:val="17"/>
          <w:szCs w:val="17"/>
          <w:color w:val="auto"/>
        </w:rPr>
        <w:t>Gregory R. Dahlberg</w:t>
      </w:r>
    </w:p>
    <w:p>
      <w:pPr>
        <w:ind w:left="6980"/>
        <w:spacing w:after="0" w:line="234" w:lineRule="auto"/>
        <w:rPr>
          <w:sz w:val="20"/>
          <w:szCs w:val="20"/>
          <w:color w:val="auto"/>
        </w:rPr>
      </w:pPr>
      <w:r>
        <w:rPr>
          <w:rFonts w:ascii="Arial" w:cs="Arial" w:eastAsia="Arial" w:hAnsi="Arial"/>
          <w:sz w:val="17"/>
          <w:szCs w:val="17"/>
          <w:color w:val="auto"/>
        </w:rPr>
        <w:t>Robert C. Kovarik, Jr.</w:t>
      </w:r>
    </w:p>
    <w:p>
      <w:pPr>
        <w:ind w:left="6980"/>
        <w:spacing w:after="0" w:line="234" w:lineRule="auto"/>
        <w:rPr>
          <w:sz w:val="20"/>
          <w:szCs w:val="20"/>
          <w:color w:val="auto"/>
        </w:rPr>
      </w:pPr>
      <w:r>
        <w:rPr>
          <w:rFonts w:ascii="Arial" w:cs="Arial" w:eastAsia="Arial" w:hAnsi="Arial"/>
          <w:sz w:val="17"/>
          <w:szCs w:val="17"/>
          <w:color w:val="auto"/>
        </w:rPr>
        <w:t>Harry M.J. Kraemer, Jr.</w:t>
      </w:r>
    </w:p>
    <w:p>
      <w:pPr>
        <w:ind w:left="6980"/>
        <w:spacing w:after="0" w:line="234" w:lineRule="auto"/>
        <w:rPr>
          <w:sz w:val="20"/>
          <w:szCs w:val="20"/>
          <w:color w:val="auto"/>
        </w:rPr>
      </w:pPr>
      <w:r>
        <w:rPr>
          <w:rFonts w:ascii="Arial" w:cs="Arial" w:eastAsia="Arial" w:hAnsi="Arial"/>
          <w:sz w:val="17"/>
          <w:szCs w:val="17"/>
          <w:color w:val="auto"/>
        </w:rPr>
        <w:t>Robert S. Shapard</w:t>
      </w:r>
    </w:p>
    <w:p>
      <w:pPr>
        <w:ind w:left="6980"/>
        <w:spacing w:after="0"/>
        <w:rPr>
          <w:sz w:val="20"/>
          <w:szCs w:val="20"/>
          <w:color w:val="auto"/>
        </w:rPr>
      </w:pPr>
      <w:r>
        <w:rPr>
          <w:rFonts w:ascii="Arial" w:cs="Arial" w:eastAsia="Arial" w:hAnsi="Arial"/>
          <w:sz w:val="17"/>
          <w:szCs w:val="17"/>
          <w:color w:val="auto"/>
        </w:rPr>
        <w:t>Susan M. Stalnecker</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Independent Registered Public Accounting Firm</w:t>
      </w:r>
    </w:p>
    <w:p>
      <w:pPr>
        <w:spacing w:after="0" w:line="218" w:lineRule="exact"/>
        <w:rPr>
          <w:sz w:val="20"/>
          <w:szCs w:val="20"/>
          <w:color w:val="auto"/>
        </w:rPr>
      </w:pPr>
    </w:p>
    <w:p>
      <w:pPr>
        <w:ind w:left="440" w:right="320"/>
        <w:spacing w:after="0" w:line="239" w:lineRule="auto"/>
        <w:rPr>
          <w:sz w:val="20"/>
          <w:szCs w:val="20"/>
          <w:color w:val="auto"/>
        </w:rPr>
      </w:pPr>
      <w:r>
        <w:rPr>
          <w:rFonts w:ascii="Arial" w:cs="Arial" w:eastAsia="Arial" w:hAnsi="Arial"/>
          <w:sz w:val="17"/>
          <w:szCs w:val="17"/>
          <w:color w:val="auto"/>
        </w:rPr>
        <w:t>The Audit and Finance Committee of the Board of Directors has appointed Deloitte &amp; Touche LLP as the independent registered public accounting firm to audit our financial statements for the fiscal year ending January 1, 2021. Stockholders are being asked to ratify the appointment of Deloitte &amp; Touche LLP at the annual meeting.</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Audit and Non-Audit Fees</w:t>
      </w:r>
    </w:p>
    <w:p>
      <w:pPr>
        <w:spacing w:after="0" w:line="218" w:lineRule="exact"/>
        <w:rPr>
          <w:sz w:val="20"/>
          <w:szCs w:val="20"/>
          <w:color w:val="auto"/>
        </w:rPr>
      </w:pPr>
    </w:p>
    <w:p>
      <w:pPr>
        <w:ind w:left="440" w:right="140"/>
        <w:spacing w:after="0" w:line="273" w:lineRule="auto"/>
        <w:rPr>
          <w:sz w:val="20"/>
          <w:szCs w:val="20"/>
          <w:color w:val="auto"/>
        </w:rPr>
      </w:pPr>
      <w:r>
        <w:rPr>
          <w:rFonts w:ascii="Arial" w:cs="Arial" w:eastAsia="Arial" w:hAnsi="Arial"/>
          <w:sz w:val="16"/>
          <w:szCs w:val="16"/>
          <w:color w:val="auto"/>
        </w:rPr>
        <w:t>Aggregate fees billed for the 2019 and 2018 fiscal years by our independent registered public accounting firm, Deloitte &amp; Touche LLP, the member firms of Deloitte Touche Tohmatsu Limited and their respective affiliates (collectively, the “Deloitte Entities”), were as follows:</w:t>
      </w:r>
    </w:p>
    <w:p>
      <w:pPr>
        <w:spacing w:after="0" w:line="187"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5600" w:type="dxa"/>
            <w:vAlign w:val="bottom"/>
            <w:tcBorders>
              <w:bottom w:val="single" w:sz="8" w:color="483E65"/>
            </w:tcBorders>
          </w:tcPr>
          <w:p>
            <w:pPr>
              <w:spacing w:after="0"/>
              <w:rPr>
                <w:sz w:val="16"/>
                <w:szCs w:val="16"/>
                <w:color w:val="auto"/>
              </w:rPr>
            </w:pPr>
          </w:p>
        </w:tc>
        <w:tc>
          <w:tcPr>
            <w:tcW w:w="2220" w:type="dxa"/>
            <w:vAlign w:val="bottom"/>
            <w:tcBorders>
              <w:bottom w:val="single" w:sz="8" w:color="483E65"/>
            </w:tcBorders>
          </w:tcPr>
          <w:p>
            <w:pPr>
              <w:jc w:val="right"/>
              <w:ind w:right="975"/>
              <w:spacing w:after="0"/>
              <w:rPr>
                <w:sz w:val="20"/>
                <w:szCs w:val="20"/>
                <w:color w:val="auto"/>
              </w:rPr>
            </w:pPr>
            <w:r>
              <w:rPr>
                <w:rFonts w:ascii="Arial" w:cs="Arial" w:eastAsia="Arial" w:hAnsi="Arial"/>
                <w:sz w:val="17"/>
                <w:szCs w:val="17"/>
                <w:color w:val="483E65"/>
              </w:rPr>
              <w:t>2019</w:t>
            </w:r>
          </w:p>
        </w:tc>
        <w:tc>
          <w:tcPr>
            <w:tcW w:w="2560" w:type="dxa"/>
            <w:vAlign w:val="bottom"/>
            <w:tcBorders>
              <w:bottom w:val="single" w:sz="8" w:color="483E65"/>
            </w:tcBorders>
          </w:tcPr>
          <w:p>
            <w:pPr>
              <w:jc w:val="right"/>
              <w:ind w:right="1155"/>
              <w:spacing w:after="0"/>
              <w:rPr>
                <w:sz w:val="20"/>
                <w:szCs w:val="20"/>
                <w:color w:val="auto"/>
              </w:rPr>
            </w:pPr>
            <w:r>
              <w:rPr>
                <w:rFonts w:ascii="Arial" w:cs="Arial" w:eastAsia="Arial" w:hAnsi="Arial"/>
                <w:sz w:val="17"/>
                <w:szCs w:val="17"/>
                <w:color w:val="483E65"/>
              </w:rPr>
              <w:t>2018</w:t>
            </w:r>
          </w:p>
        </w:tc>
      </w:tr>
      <w:tr>
        <w:trPr>
          <w:trHeight w:val="183"/>
        </w:trPr>
        <w:tc>
          <w:tcPr>
            <w:tcW w:w="5600" w:type="dxa"/>
            <w:vAlign w:val="bottom"/>
          </w:tcPr>
          <w:p>
            <w:pPr>
              <w:ind w:left="80"/>
              <w:spacing w:after="0" w:line="184" w:lineRule="exact"/>
              <w:rPr>
                <w:sz w:val="20"/>
                <w:szCs w:val="20"/>
                <w:color w:val="auto"/>
              </w:rPr>
            </w:pPr>
            <w:r>
              <w:rPr>
                <w:rFonts w:ascii="Arial" w:cs="Arial" w:eastAsia="Arial" w:hAnsi="Arial"/>
                <w:sz w:val="17"/>
                <w:szCs w:val="17"/>
                <w:color w:val="auto"/>
              </w:rPr>
              <w:t>Audit fees</w:t>
            </w:r>
            <w:r>
              <w:rPr>
                <w:rFonts w:ascii="Arial" w:cs="Arial" w:eastAsia="Arial" w:hAnsi="Arial"/>
                <w:sz w:val="14"/>
                <w:szCs w:val="14"/>
                <w:color w:val="auto"/>
              </w:rPr>
              <w:t>(1)</w:t>
            </w:r>
          </w:p>
        </w:tc>
        <w:tc>
          <w:tcPr>
            <w:tcW w:w="2220" w:type="dxa"/>
            <w:vAlign w:val="bottom"/>
          </w:tcPr>
          <w:p>
            <w:pPr>
              <w:jc w:val="right"/>
              <w:ind w:right="695"/>
              <w:spacing w:after="0" w:line="184" w:lineRule="exact"/>
              <w:rPr>
                <w:sz w:val="20"/>
                <w:szCs w:val="20"/>
                <w:color w:val="auto"/>
              </w:rPr>
            </w:pPr>
            <w:r>
              <w:rPr>
                <w:rFonts w:ascii="Arial" w:cs="Arial" w:eastAsia="Arial" w:hAnsi="Arial"/>
                <w:sz w:val="17"/>
                <w:szCs w:val="17"/>
                <w:color w:val="auto"/>
              </w:rPr>
              <w:t>$6,916,500</w:t>
            </w:r>
          </w:p>
        </w:tc>
        <w:tc>
          <w:tcPr>
            <w:tcW w:w="2560" w:type="dxa"/>
            <w:vAlign w:val="bottom"/>
          </w:tcPr>
          <w:p>
            <w:pPr>
              <w:jc w:val="right"/>
              <w:ind w:right="855"/>
              <w:spacing w:after="0" w:line="184" w:lineRule="exact"/>
              <w:rPr>
                <w:sz w:val="20"/>
                <w:szCs w:val="20"/>
                <w:color w:val="auto"/>
              </w:rPr>
            </w:pPr>
            <w:r>
              <w:rPr>
                <w:rFonts w:ascii="Arial" w:cs="Arial" w:eastAsia="Arial" w:hAnsi="Arial"/>
                <w:sz w:val="17"/>
                <w:szCs w:val="17"/>
                <w:color w:val="auto"/>
              </w:rPr>
              <w:t>$7,640,100</w:t>
            </w:r>
          </w:p>
        </w:tc>
      </w:tr>
      <w:tr>
        <w:trPr>
          <w:trHeight w:val="203"/>
        </w:trPr>
        <w:tc>
          <w:tcPr>
            <w:tcW w:w="5600" w:type="dxa"/>
            <w:vAlign w:val="bottom"/>
            <w:shd w:val="clear" w:color="auto" w:fill="ACABA7"/>
          </w:tcPr>
          <w:p>
            <w:pPr>
              <w:ind w:left="80"/>
              <w:spacing w:after="0"/>
              <w:rPr>
                <w:sz w:val="20"/>
                <w:szCs w:val="20"/>
                <w:color w:val="auto"/>
              </w:rPr>
            </w:pPr>
            <w:r>
              <w:rPr>
                <w:rFonts w:ascii="Arial" w:cs="Arial" w:eastAsia="Arial" w:hAnsi="Arial"/>
                <w:sz w:val="17"/>
                <w:szCs w:val="17"/>
                <w:color w:val="auto"/>
              </w:rPr>
              <w:t>Audit-related fees</w:t>
            </w:r>
          </w:p>
        </w:tc>
        <w:tc>
          <w:tcPr>
            <w:tcW w:w="2220" w:type="dxa"/>
            <w:vAlign w:val="bottom"/>
            <w:shd w:val="clear" w:color="auto" w:fill="ACABA7"/>
          </w:tcPr>
          <w:p>
            <w:pPr>
              <w:jc w:val="right"/>
              <w:ind w:right="695"/>
              <w:spacing w:after="0"/>
              <w:rPr>
                <w:sz w:val="20"/>
                <w:szCs w:val="20"/>
                <w:color w:val="auto"/>
              </w:rPr>
            </w:pPr>
            <w:r>
              <w:rPr>
                <w:rFonts w:ascii="Arial" w:cs="Arial" w:eastAsia="Arial" w:hAnsi="Arial"/>
                <w:sz w:val="17"/>
                <w:szCs w:val="17"/>
                <w:color w:val="auto"/>
              </w:rPr>
              <w:t>—</w:t>
            </w:r>
          </w:p>
        </w:tc>
        <w:tc>
          <w:tcPr>
            <w:tcW w:w="2560" w:type="dxa"/>
            <w:vAlign w:val="bottom"/>
            <w:shd w:val="clear" w:color="auto" w:fill="ACABA7"/>
          </w:tcPr>
          <w:p>
            <w:pPr>
              <w:jc w:val="right"/>
              <w:ind w:right="855"/>
              <w:spacing w:after="0"/>
              <w:rPr>
                <w:sz w:val="20"/>
                <w:szCs w:val="20"/>
                <w:color w:val="auto"/>
              </w:rPr>
            </w:pPr>
            <w:r>
              <w:rPr>
                <w:rFonts w:ascii="Arial" w:cs="Arial" w:eastAsia="Arial" w:hAnsi="Arial"/>
                <w:sz w:val="17"/>
                <w:szCs w:val="17"/>
                <w:color w:val="auto"/>
              </w:rPr>
              <w:t>—</w:t>
            </w:r>
          </w:p>
        </w:tc>
      </w:tr>
      <w:tr>
        <w:trPr>
          <w:trHeight w:val="203"/>
        </w:trPr>
        <w:tc>
          <w:tcPr>
            <w:tcW w:w="5600" w:type="dxa"/>
            <w:vAlign w:val="bottom"/>
          </w:tcPr>
          <w:p>
            <w:pPr>
              <w:ind w:left="100"/>
              <w:spacing w:after="0"/>
              <w:rPr>
                <w:sz w:val="20"/>
                <w:szCs w:val="20"/>
                <w:color w:val="auto"/>
              </w:rPr>
            </w:pPr>
            <w:r>
              <w:rPr>
                <w:rFonts w:ascii="Arial" w:cs="Arial" w:eastAsia="Arial" w:hAnsi="Arial"/>
                <w:sz w:val="17"/>
                <w:szCs w:val="17"/>
                <w:color w:val="auto"/>
              </w:rPr>
              <w:t>Tax fees</w:t>
            </w:r>
            <w:r>
              <w:rPr>
                <w:rFonts w:ascii="Arial" w:cs="Arial" w:eastAsia="Arial" w:hAnsi="Arial"/>
                <w:sz w:val="14"/>
                <w:szCs w:val="14"/>
                <w:color w:val="auto"/>
              </w:rPr>
              <w:t>(2)</w:t>
            </w:r>
          </w:p>
        </w:tc>
        <w:tc>
          <w:tcPr>
            <w:tcW w:w="2220" w:type="dxa"/>
            <w:vAlign w:val="bottom"/>
          </w:tcPr>
          <w:p>
            <w:pPr>
              <w:jc w:val="right"/>
              <w:ind w:right="695"/>
              <w:spacing w:after="0"/>
              <w:rPr>
                <w:sz w:val="20"/>
                <w:szCs w:val="20"/>
                <w:color w:val="auto"/>
              </w:rPr>
            </w:pPr>
            <w:r>
              <w:rPr>
                <w:rFonts w:ascii="Arial" w:cs="Arial" w:eastAsia="Arial" w:hAnsi="Arial"/>
                <w:sz w:val="17"/>
                <w:szCs w:val="17"/>
                <w:color w:val="auto"/>
              </w:rPr>
              <w:t>$192,100</w:t>
            </w:r>
          </w:p>
        </w:tc>
        <w:tc>
          <w:tcPr>
            <w:tcW w:w="2560" w:type="dxa"/>
            <w:vAlign w:val="bottom"/>
          </w:tcPr>
          <w:p>
            <w:pPr>
              <w:jc w:val="right"/>
              <w:ind w:right="855"/>
              <w:spacing w:after="0"/>
              <w:rPr>
                <w:sz w:val="20"/>
                <w:szCs w:val="20"/>
                <w:color w:val="auto"/>
              </w:rPr>
            </w:pPr>
            <w:r>
              <w:rPr>
                <w:rFonts w:ascii="Arial" w:cs="Arial" w:eastAsia="Arial" w:hAnsi="Arial"/>
                <w:sz w:val="17"/>
                <w:szCs w:val="17"/>
                <w:color w:val="auto"/>
              </w:rPr>
              <w:t>$442,600</w:t>
            </w:r>
          </w:p>
        </w:tc>
      </w:tr>
      <w:tr>
        <w:trPr>
          <w:trHeight w:val="203"/>
        </w:trPr>
        <w:tc>
          <w:tcPr>
            <w:tcW w:w="5600" w:type="dxa"/>
            <w:vAlign w:val="bottom"/>
            <w:shd w:val="clear" w:color="auto" w:fill="ACABA7"/>
          </w:tcPr>
          <w:p>
            <w:pPr>
              <w:ind w:left="80"/>
              <w:spacing w:after="0"/>
              <w:rPr>
                <w:sz w:val="20"/>
                <w:szCs w:val="20"/>
                <w:color w:val="auto"/>
              </w:rPr>
            </w:pPr>
            <w:r>
              <w:rPr>
                <w:rFonts w:ascii="Arial" w:cs="Arial" w:eastAsia="Arial" w:hAnsi="Arial"/>
                <w:sz w:val="17"/>
                <w:szCs w:val="17"/>
                <w:color w:val="auto"/>
              </w:rPr>
              <w:t>All other fees</w:t>
            </w:r>
            <w:r>
              <w:rPr>
                <w:rFonts w:ascii="Arial" w:cs="Arial" w:eastAsia="Arial" w:hAnsi="Arial"/>
                <w:sz w:val="14"/>
                <w:szCs w:val="14"/>
                <w:color w:val="auto"/>
              </w:rPr>
              <w:t>(3)</w:t>
            </w:r>
          </w:p>
        </w:tc>
        <w:tc>
          <w:tcPr>
            <w:tcW w:w="2220" w:type="dxa"/>
            <w:vAlign w:val="bottom"/>
            <w:shd w:val="clear" w:color="auto" w:fill="ACABA7"/>
          </w:tcPr>
          <w:p>
            <w:pPr>
              <w:jc w:val="right"/>
              <w:ind w:right="695"/>
              <w:spacing w:after="0"/>
              <w:rPr>
                <w:sz w:val="20"/>
                <w:szCs w:val="20"/>
                <w:color w:val="auto"/>
              </w:rPr>
            </w:pPr>
            <w:r>
              <w:rPr>
                <w:rFonts w:ascii="Arial" w:cs="Arial" w:eastAsia="Arial" w:hAnsi="Arial"/>
                <w:sz w:val="17"/>
                <w:szCs w:val="17"/>
                <w:color w:val="auto"/>
              </w:rPr>
              <w:t>$17,000</w:t>
            </w:r>
          </w:p>
        </w:tc>
        <w:tc>
          <w:tcPr>
            <w:tcW w:w="2560" w:type="dxa"/>
            <w:vAlign w:val="bottom"/>
            <w:shd w:val="clear" w:color="auto" w:fill="ACABA7"/>
          </w:tcPr>
          <w:p>
            <w:pPr>
              <w:jc w:val="right"/>
              <w:ind w:right="855"/>
              <w:spacing w:after="0"/>
              <w:rPr>
                <w:sz w:val="20"/>
                <w:szCs w:val="20"/>
                <w:color w:val="auto"/>
              </w:rPr>
            </w:pPr>
            <w:r>
              <w:rPr>
                <w:rFonts w:ascii="Arial" w:cs="Arial" w:eastAsia="Arial" w:hAnsi="Arial"/>
                <w:sz w:val="17"/>
                <w:szCs w:val="17"/>
                <w:color w:val="auto"/>
              </w:rPr>
              <w:t>$6,300</w:t>
            </w:r>
          </w:p>
        </w:tc>
      </w:tr>
      <w:tr>
        <w:trPr>
          <w:trHeight w:val="223"/>
        </w:trPr>
        <w:tc>
          <w:tcPr>
            <w:tcW w:w="5600" w:type="dxa"/>
            <w:vAlign w:val="bottom"/>
          </w:tcPr>
          <w:p>
            <w:pPr>
              <w:ind w:left="340"/>
              <w:spacing w:after="0"/>
              <w:rPr>
                <w:sz w:val="20"/>
                <w:szCs w:val="20"/>
                <w:color w:val="auto"/>
              </w:rPr>
            </w:pPr>
            <w:r>
              <w:rPr>
                <w:rFonts w:ascii="Arial" w:cs="Arial" w:eastAsia="Arial" w:hAnsi="Arial"/>
                <w:sz w:val="17"/>
                <w:szCs w:val="17"/>
                <w:b w:val="1"/>
                <w:bCs w:val="1"/>
                <w:color w:val="auto"/>
              </w:rPr>
              <w:t>Total fees</w:t>
            </w:r>
          </w:p>
        </w:tc>
        <w:tc>
          <w:tcPr>
            <w:tcW w:w="2220" w:type="dxa"/>
            <w:vAlign w:val="bottom"/>
          </w:tcPr>
          <w:p>
            <w:pPr>
              <w:jc w:val="right"/>
              <w:ind w:right="695"/>
              <w:spacing w:after="0"/>
              <w:rPr>
                <w:sz w:val="20"/>
                <w:szCs w:val="20"/>
                <w:color w:val="auto"/>
              </w:rPr>
            </w:pPr>
            <w:r>
              <w:rPr>
                <w:rFonts w:ascii="Arial" w:cs="Arial" w:eastAsia="Arial" w:hAnsi="Arial"/>
                <w:sz w:val="17"/>
                <w:szCs w:val="17"/>
                <w:color w:val="auto"/>
              </w:rPr>
              <w:t>$7,125,600</w:t>
            </w:r>
          </w:p>
        </w:tc>
        <w:tc>
          <w:tcPr>
            <w:tcW w:w="2560" w:type="dxa"/>
            <w:vAlign w:val="bottom"/>
          </w:tcPr>
          <w:p>
            <w:pPr>
              <w:jc w:val="right"/>
              <w:ind w:right="855"/>
              <w:spacing w:after="0"/>
              <w:rPr>
                <w:sz w:val="20"/>
                <w:szCs w:val="20"/>
                <w:color w:val="auto"/>
              </w:rPr>
            </w:pPr>
            <w:r>
              <w:rPr>
                <w:rFonts w:ascii="Arial" w:cs="Arial" w:eastAsia="Arial" w:hAnsi="Arial"/>
                <w:sz w:val="17"/>
                <w:szCs w:val="17"/>
                <w:color w:val="auto"/>
              </w:rPr>
              <w:t>$8,089,000</w:t>
            </w:r>
          </w:p>
        </w:tc>
      </w:tr>
    </w:tbl>
    <w:p>
      <w:pPr>
        <w:spacing w:after="0" w:line="208" w:lineRule="exact"/>
        <w:rPr>
          <w:sz w:val="20"/>
          <w:szCs w:val="20"/>
          <w:color w:val="auto"/>
        </w:rPr>
      </w:pPr>
    </w:p>
    <w:p>
      <w:pPr>
        <w:ind w:left="940" w:right="120" w:hanging="500"/>
        <w:spacing w:after="0" w:line="237" w:lineRule="auto"/>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Audit fees include professional services rendered for the audit of the annual consolidated financial statements (including services incurred with rendering an opinion under Section 404 of the Sarbanes-Oxley Act of 2002) and review of quarterly consolidated financial statements. Audit fees also include services that are normally provided by the accountant in connection with statutory and regulatory filings or engagements, including statutory audits.</w:t>
      </w:r>
    </w:p>
    <w:p>
      <w:pPr>
        <w:spacing w:after="0" w:line="104" w:lineRule="exact"/>
        <w:rPr>
          <w:rFonts w:ascii="Arial" w:cs="Arial" w:eastAsia="Arial" w:hAnsi="Arial"/>
          <w:sz w:val="17"/>
          <w:szCs w:val="17"/>
          <w:color w:val="auto"/>
        </w:rPr>
      </w:pPr>
    </w:p>
    <w:p>
      <w:pPr>
        <w:ind w:left="940" w:right="120" w:hanging="500"/>
        <w:spacing w:after="0" w:line="239" w:lineRule="auto"/>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Tax fees include a variety of permissible tax services related to preparation and/or review of statutory tax filings within U.S., foreign and state jurisdictions, general tax advisory services (including research and discussions related to tax compliance matters), tax planning and assistance with transfer pricing documentation and dispositions.</w:t>
      </w:r>
    </w:p>
    <w:p>
      <w:pPr>
        <w:spacing w:after="0" w:line="102" w:lineRule="exact"/>
        <w:rPr>
          <w:rFonts w:ascii="Arial" w:cs="Arial" w:eastAsia="Arial" w:hAnsi="Arial"/>
          <w:sz w:val="17"/>
          <w:szCs w:val="17"/>
          <w:color w:val="auto"/>
        </w:rPr>
      </w:pPr>
    </w:p>
    <w:p>
      <w:pPr>
        <w:ind w:left="940" w:hanging="500"/>
        <w:spacing w:after="0"/>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other fees relate to the purchase of accounting-related research software and agreed upon procedures.</w:t>
      </w:r>
    </w:p>
    <w:p>
      <w:pPr>
        <w:spacing w:after="0" w:line="198" w:lineRule="exact"/>
        <w:rPr>
          <w:sz w:val="20"/>
          <w:szCs w:val="20"/>
          <w:color w:val="auto"/>
        </w:rPr>
      </w:pPr>
    </w:p>
    <w:p>
      <w:pPr>
        <w:ind w:left="440" w:right="20"/>
        <w:spacing w:after="0" w:line="236" w:lineRule="auto"/>
        <w:rPr>
          <w:sz w:val="20"/>
          <w:szCs w:val="20"/>
          <w:color w:val="auto"/>
        </w:rPr>
      </w:pPr>
      <w:r>
        <w:rPr>
          <w:rFonts w:ascii="Arial" w:cs="Arial" w:eastAsia="Arial" w:hAnsi="Arial"/>
          <w:sz w:val="17"/>
          <w:szCs w:val="17"/>
          <w:color w:val="auto"/>
        </w:rPr>
        <w:t>The Audit and Finance Committee has considered whether the above services provided by the Deloitte Entities are compatible with maintaining the independence of the Deloitte Entities. The Audit and Finance Committee has the responsibility to pre-approve all audit and non-audit services to be performed by the independent registered public accounting firm in advance. Further, the Chair of the Audit and Finance Committee has the authority to pre-approve audit and non-audit services, as necessary, between regular meetings of the Audit and Finance Committee, provided that any such services so pre-approved shall be disclosed to the full Audit and Finance Committee at its next scheduled meeting.</w:t>
      </w:r>
    </w:p>
    <w:p>
      <w:pPr>
        <w:spacing w:after="0" w:line="115" w:lineRule="exact"/>
        <w:rPr>
          <w:sz w:val="20"/>
          <w:szCs w:val="20"/>
          <w:color w:val="auto"/>
        </w:rPr>
      </w:pPr>
    </w:p>
    <w:p>
      <w:pPr>
        <w:jc w:val="right"/>
        <w:ind w:right="20"/>
        <w:spacing w:after="0"/>
        <w:tabs>
          <w:tab w:leader="none" w:pos="380" w:val="left"/>
          <w:tab w:leader="none" w:pos="16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45</w:t>
      </w:r>
    </w:p>
    <w:p>
      <w:pPr>
        <w:sectPr>
          <w:pgSz w:w="11900" w:h="16838" w:orient="portrait"/>
          <w:cols w:equalWidth="0" w:num="1">
            <w:col w:w="10820"/>
          </w:cols>
          <w:pgMar w:left="320" w:top="441" w:right="759" w:bottom="1440" w:gutter="0" w:footer="0" w:header="0"/>
          <w:type w:val="continuous"/>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right="800"/>
        <w:spacing w:after="0" w:line="263" w:lineRule="auto"/>
        <w:rPr>
          <w:sz w:val="20"/>
          <w:szCs w:val="20"/>
          <w:color w:val="auto"/>
        </w:rPr>
      </w:pPr>
      <w:r>
        <w:rPr>
          <w:rFonts w:ascii="Arial" w:cs="Arial" w:eastAsia="Arial" w:hAnsi="Arial"/>
          <w:sz w:val="30"/>
          <w:szCs w:val="30"/>
          <w:color w:val="483E65"/>
        </w:rPr>
        <w:t>Proposal 4 — Approval of Amendment to Certificate of Incorporation to Eliminate Cumulative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106680</wp:posOffset>
            </wp:positionV>
            <wp:extent cx="65836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38" w:lineRule="exact"/>
        <w:rPr>
          <w:sz w:val="20"/>
          <w:szCs w:val="20"/>
          <w:color w:val="auto"/>
        </w:rPr>
      </w:pPr>
    </w:p>
    <w:p>
      <w:pPr>
        <w:ind w:left="440" w:right="100"/>
        <w:spacing w:after="0" w:line="243" w:lineRule="auto"/>
        <w:rPr>
          <w:sz w:val="20"/>
          <w:szCs w:val="20"/>
          <w:color w:val="auto"/>
        </w:rPr>
      </w:pPr>
      <w:r>
        <w:rPr>
          <w:rFonts w:ascii="Arial" w:cs="Arial" w:eastAsia="Arial" w:hAnsi="Arial"/>
          <w:sz w:val="17"/>
          <w:szCs w:val="17"/>
          <w:color w:val="auto"/>
        </w:rPr>
        <w:t>The Board is proposing, for approval by our stockholders, an amendment to our certificate of incorporation to eliminate cumulative voting in director elections.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Summary of Amendment</w:t>
      </w:r>
    </w:p>
    <w:p>
      <w:pPr>
        <w:spacing w:after="0" w:line="218" w:lineRule="exact"/>
        <w:rPr>
          <w:sz w:val="20"/>
          <w:szCs w:val="20"/>
          <w:color w:val="auto"/>
        </w:rPr>
      </w:pPr>
    </w:p>
    <w:p>
      <w:pPr>
        <w:ind w:left="440"/>
        <w:spacing w:after="0" w:line="236" w:lineRule="auto"/>
        <w:rPr>
          <w:sz w:val="20"/>
          <w:szCs w:val="20"/>
          <w:color w:val="auto"/>
        </w:rPr>
      </w:pPr>
      <w:r>
        <w:rPr>
          <w:rFonts w:ascii="Arial" w:cs="Arial" w:eastAsia="Arial" w:hAnsi="Arial"/>
          <w:sz w:val="17"/>
          <w:szCs w:val="17"/>
          <w:color w:val="auto"/>
        </w:rPr>
        <w:t>Under Delaware law, stockholders do not have the right to vote their shares cumulatively in any election of directors unless a company’s certificate of incorporation provides otherwise. Article SEVENTH, Section (D) of our certificate of incorporation currently expressly authorizes cumulative voting in all director elections. Cumulative voting enables a stockholder to concentrate his or her voting power by allocating to one candidate a number of votes equal to the number of directors to be elected, multiplied by the number of shares held by that stockholder, or to distribute those votes among two or more candidates. Consequently, a stockholder or group of stockholders holding a relatively small number of shares may be able to elect one or more directors by cumulating votes, even if a majority of stockholders oppose their election.</w:t>
      </w:r>
    </w:p>
    <w:p>
      <w:pPr>
        <w:spacing w:after="0" w:line="192" w:lineRule="exact"/>
        <w:rPr>
          <w:sz w:val="20"/>
          <w:szCs w:val="20"/>
          <w:color w:val="auto"/>
        </w:rPr>
      </w:pPr>
    </w:p>
    <w:p>
      <w:pPr>
        <w:ind w:left="440" w:right="140"/>
        <w:spacing w:after="0" w:line="239" w:lineRule="auto"/>
        <w:rPr>
          <w:sz w:val="20"/>
          <w:szCs w:val="20"/>
          <w:color w:val="auto"/>
        </w:rPr>
      </w:pPr>
      <w:r>
        <w:rPr>
          <w:rFonts w:ascii="Arial" w:cs="Arial" w:eastAsia="Arial" w:hAnsi="Arial"/>
          <w:sz w:val="17"/>
          <w:szCs w:val="17"/>
          <w:color w:val="auto"/>
        </w:rPr>
        <w:t>As amended, Article SEVENTH, Section (D) would eliminate cumulative voting in all elections of directors. The text of Article SEVENTH, Section (D) as proposed to be amended, would read as follows (additions are indicated by underlining and deletions are indicated by strikeouts):</w:t>
      </w:r>
    </w:p>
    <w:p>
      <w:pPr>
        <w:spacing w:after="0" w:line="171" w:lineRule="exact"/>
        <w:rPr>
          <w:sz w:val="20"/>
          <w:szCs w:val="20"/>
          <w:color w:val="auto"/>
        </w:rPr>
      </w:pPr>
    </w:p>
    <w:p>
      <w:pPr>
        <w:ind w:left="1260" w:firstLine="391"/>
        <w:spacing w:after="0" w:line="239" w:lineRule="auto"/>
        <w:tabs>
          <w:tab w:leader="none" w:pos="2065" w:val="left"/>
        </w:tabs>
        <w:numPr>
          <w:ilvl w:val="0"/>
          <w:numId w:val="28"/>
        </w:numPr>
        <w:rPr>
          <w:rFonts w:ascii="Arial" w:cs="Arial" w:eastAsia="Arial" w:hAnsi="Arial"/>
          <w:sz w:val="17"/>
          <w:szCs w:val="17"/>
          <w:color w:val="auto"/>
        </w:rPr>
      </w:pPr>
      <w:r>
        <w:rPr>
          <w:rFonts w:ascii="Arial" w:cs="Arial" w:eastAsia="Arial" w:hAnsi="Arial"/>
          <w:sz w:val="17"/>
          <w:szCs w:val="17"/>
          <w:b w:val="1"/>
          <w:bCs w:val="1"/>
          <w:u w:val="single" w:color="auto"/>
          <w:color w:val="auto"/>
        </w:rPr>
        <w:t>No</w:t>
      </w:r>
      <w:r>
        <w:rPr>
          <w:rFonts w:ascii="Arial" w:cs="Arial" w:eastAsia="Arial" w:hAnsi="Arial"/>
          <w:sz w:val="17"/>
          <w:szCs w:val="17"/>
          <w:b w:val="1"/>
          <w:bCs w:val="1"/>
          <w:color w:val="auto"/>
        </w:rPr>
        <w:t xml:space="preserve"> Cumulative Voting</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There shall be no cumulative voting in the election of directors.</w:t>
      </w:r>
      <w:r>
        <w:rPr>
          <w:rFonts w:ascii="Arial" w:cs="Arial" w:eastAsia="Arial" w:hAnsi="Arial"/>
          <w:sz w:val="17"/>
          <w:szCs w:val="17"/>
          <w:b w:val="1"/>
          <w:bCs w:val="1"/>
          <w:color w:val="auto"/>
        </w:rPr>
        <w:t xml:space="preserve"> </w:t>
      </w:r>
      <w:r>
        <w:rPr>
          <w:rFonts w:ascii="Arial" w:cs="Arial" w:eastAsia="Arial" w:hAnsi="Arial"/>
          <w:sz w:val="17"/>
          <w:szCs w:val="17"/>
          <w:color w:val="auto"/>
          <w:strike w:val="1"/>
        </w:rPr>
        <w:t>At any election of</w:t>
      </w:r>
      <w:r>
        <w:rPr>
          <w:rFonts w:ascii="Arial" w:cs="Arial" w:eastAsia="Arial" w:hAnsi="Arial"/>
          <w:sz w:val="17"/>
          <w:szCs w:val="17"/>
          <w:b w:val="1"/>
          <w:bCs w:val="1"/>
          <w:color w:val="auto"/>
        </w:rPr>
        <w:t xml:space="preserve"> </w:t>
      </w:r>
      <w:r>
        <w:rPr>
          <w:rFonts w:ascii="Arial" w:cs="Arial" w:eastAsia="Arial" w:hAnsi="Arial"/>
          <w:sz w:val="17"/>
          <w:szCs w:val="17"/>
          <w:color w:val="auto"/>
          <w:strike w:val="1"/>
        </w:rPr>
        <w:t>directors of the Corporation, a holder of any class or series of stock then entitled to vote in such election shall be entitled to as many votes as shall equal the number of votes which (except for this Section (D) as to cumulative voting) such holder would be entitled to cast for the election of directors with respect to such holder’s shares of stock multiplied by the number of directors to be elected in the election in which such holder’s class or series of shares is entitled to vote, and such holder may cast all of such votes for a single director or may distribute them among the number to be voted for, or for any two or more of them as such holder may see fit.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Reasons for Amendment</w:t>
      </w:r>
    </w:p>
    <w:p>
      <w:pPr>
        <w:spacing w:after="0" w:line="218" w:lineRule="exact"/>
        <w:rPr>
          <w:sz w:val="20"/>
          <w:szCs w:val="20"/>
          <w:color w:val="auto"/>
        </w:rPr>
      </w:pPr>
    </w:p>
    <w:p>
      <w:pPr>
        <w:ind w:left="440" w:right="60"/>
        <w:spacing w:after="0" w:line="243" w:lineRule="auto"/>
        <w:rPr>
          <w:sz w:val="20"/>
          <w:szCs w:val="20"/>
          <w:color w:val="auto"/>
        </w:rPr>
      </w:pPr>
      <w:r>
        <w:rPr>
          <w:rFonts w:ascii="Arial" w:cs="Arial" w:eastAsia="Arial" w:hAnsi="Arial"/>
          <w:sz w:val="17"/>
          <w:szCs w:val="17"/>
          <w:color w:val="auto"/>
        </w:rPr>
        <w:t>The Board has determined that it is in the best interests of our company and our stockholders to eliminate cumulative voting in all director elections for the following reasons:</w:t>
      </w:r>
    </w:p>
    <w:p>
      <w:pPr>
        <w:sectPr>
          <w:pgSz w:w="11900" w:h="16838" w:orient="portrait"/>
          <w:cols w:equalWidth="0" w:num="1">
            <w:col w:w="10760"/>
          </w:cols>
          <w:pgMar w:left="320" w:top="441" w:right="819" w:bottom="1440" w:gutter="0" w:footer="0" w:header="0"/>
        </w:sectPr>
      </w:pPr>
    </w:p>
    <w:p>
      <w:pPr>
        <w:spacing w:after="0" w:line="221"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200" w:lineRule="exact"/>
        <w:rPr>
          <w:sz w:val="20"/>
          <w:szCs w:val="20"/>
          <w:color w:val="auto"/>
        </w:rPr>
      </w:pPr>
    </w:p>
    <w:p>
      <w:pPr>
        <w:spacing w:after="0" w:line="227"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640"/>
        <w:spacing w:after="0" w:line="297" w:lineRule="auto"/>
        <w:rPr>
          <w:sz w:val="20"/>
          <w:szCs w:val="20"/>
          <w:color w:val="auto"/>
        </w:rPr>
      </w:pPr>
      <w:r>
        <w:rPr>
          <w:rFonts w:ascii="Arial" w:cs="Arial" w:eastAsia="Arial" w:hAnsi="Arial"/>
          <w:sz w:val="16"/>
          <w:szCs w:val="16"/>
          <w:i w:val="1"/>
          <w:iCs w:val="1"/>
          <w:color w:val="auto"/>
        </w:rPr>
        <w:t xml:space="preserve">Annual Elections. </w:t>
      </w:r>
      <w:r>
        <w:rPr>
          <w:rFonts w:ascii="Arial" w:cs="Arial" w:eastAsia="Arial" w:hAnsi="Arial"/>
          <w:sz w:val="16"/>
          <w:szCs w:val="16"/>
          <w:color w:val="auto"/>
        </w:rPr>
        <w:t>Coupled with the annual election of directors, cumulative voting increases the potential for a minority</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to take disruptive actions in opposition to the wishes of the holders of a majority of the shares voting.</w:t>
      </w:r>
    </w:p>
    <w:p>
      <w:pPr>
        <w:spacing w:after="0" w:line="40"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i w:val="1"/>
          <w:iCs w:val="1"/>
          <w:color w:val="auto"/>
        </w:rPr>
        <w:t xml:space="preserve">Majority Voting. </w:t>
      </w:r>
      <w:r>
        <w:rPr>
          <w:rFonts w:ascii="Arial" w:cs="Arial" w:eastAsia="Arial" w:hAnsi="Arial"/>
          <w:sz w:val="17"/>
          <w:szCs w:val="17"/>
          <w:color w:val="auto"/>
        </w:rPr>
        <w:t>Our Board believes that cumulative voting provides an unusual mechanism that is contrary to our majority vote</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 because it allows relatively small stockholders to have a disproportionate influence over the election of directors, resulting in the election of directors who are not supported by a majority of our stockholder base. Our Board believes that each director should represent the interests of all stockholders rather than the special agendas of a small minority who cumulated votes to elect them.</w:t>
      </w:r>
    </w:p>
    <w:p>
      <w:pPr>
        <w:spacing w:after="0" w:line="86" w:lineRule="exact"/>
        <w:rPr>
          <w:sz w:val="20"/>
          <w:szCs w:val="20"/>
          <w:color w:val="auto"/>
        </w:rPr>
      </w:pPr>
    </w:p>
    <w:p>
      <w:pPr>
        <w:spacing w:after="0" w:line="238" w:lineRule="auto"/>
        <w:rPr>
          <w:sz w:val="20"/>
          <w:szCs w:val="20"/>
          <w:color w:val="auto"/>
        </w:rPr>
      </w:pPr>
      <w:r>
        <w:rPr>
          <w:rFonts w:ascii="Arial" w:cs="Arial" w:eastAsia="Arial" w:hAnsi="Arial"/>
          <w:sz w:val="17"/>
          <w:szCs w:val="17"/>
          <w:i w:val="1"/>
          <w:iCs w:val="1"/>
          <w:color w:val="auto"/>
        </w:rPr>
        <w:t xml:space="preserve">Proxy Access. </w:t>
      </w:r>
      <w:r>
        <w:rPr>
          <w:rFonts w:ascii="Arial" w:cs="Arial" w:eastAsia="Arial" w:hAnsi="Arial"/>
          <w:sz w:val="17"/>
          <w:szCs w:val="17"/>
          <w:color w:val="auto"/>
        </w:rPr>
        <w:t>The Board believes that cumulative voting is incompatible with the proxy access right that our stockholders have</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bylaws. Proxy access is intended to give individuals or stockholder groups an ability to influence director elections by including nominees in our proxy materials. When coupled with cumulative voting, minority stockholders with a small economic interest in our company could take advantage of the proxy access right to elect directors who are unsupported by a large percentage of the stockholders. Minority stockholders with special interests inconsistent with those of the majority of stockholders could use the proxy access right coupled with cumulative voting to elect a director aligned with the minority group responsible for his or her election, rather than with the company and all of its stockholders. The election of such directors could result in partisanship and discord on the Board and may impair the ability of the Board to act in the best interests of the company and all of its stockholders.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Prevailing Practice. </w:t>
      </w:r>
      <w:r>
        <w:rPr>
          <w:rFonts w:ascii="Arial" w:cs="Arial" w:eastAsia="Arial" w:hAnsi="Arial"/>
          <w:sz w:val="17"/>
          <w:szCs w:val="17"/>
          <w:color w:val="auto"/>
        </w:rPr>
        <w:t>A system of one vote per share for each nominee is the prevailing election standard among large U.S.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public companies. Very few publicly-traded companies continue to provide for cumulative voting.</w:t>
      </w:r>
    </w:p>
    <w:p>
      <w:pPr>
        <w:spacing w:after="0" w:line="119" w:lineRule="exact"/>
        <w:rPr>
          <w:sz w:val="20"/>
          <w:szCs w:val="20"/>
          <w:color w:val="auto"/>
        </w:rPr>
      </w:pPr>
    </w:p>
    <w:p>
      <w:pPr>
        <w:sectPr>
          <w:pgSz w:w="11900" w:h="16838" w:orient="portrait"/>
          <w:cols w:equalWidth="0" w:num="2">
            <w:col w:w="880" w:space="380"/>
            <w:col w:w="9500"/>
          </w:cols>
          <w:pgMar w:left="320" w:top="441" w:right="819" w:bottom="1440" w:gutter="0" w:footer="0" w:header="0"/>
          <w:type w:val="continuous"/>
        </w:sect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46</w:t>
        <w:tab/>
        <w:t>|</w:t>
        <w:tab/>
        <w:t>2020 Proxy Statement</w:t>
      </w:r>
    </w:p>
    <w:p>
      <w:pPr>
        <w:sectPr>
          <w:pgSz w:w="11900" w:h="16838" w:orient="portrait"/>
          <w:cols w:equalWidth="0" w:num="1">
            <w:col w:w="10760"/>
          </w:cols>
          <w:pgMar w:left="320" w:top="441" w:right="819" w:bottom="1440" w:gutter="0" w:footer="0" w:header="0"/>
          <w:type w:val="continuous"/>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right="840"/>
        <w:spacing w:after="0" w:line="263" w:lineRule="auto"/>
        <w:rPr>
          <w:sz w:val="20"/>
          <w:szCs w:val="20"/>
          <w:color w:val="auto"/>
        </w:rPr>
      </w:pPr>
      <w:r>
        <w:rPr>
          <w:rFonts w:ascii="Arial" w:cs="Arial" w:eastAsia="Arial" w:hAnsi="Arial"/>
          <w:sz w:val="30"/>
          <w:szCs w:val="30"/>
          <w:color w:val="483E65"/>
        </w:rPr>
        <w:t>Proposal 4 — Approval of Amendment to Certificate of Incorporation to Eliminate Cumulative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106680</wp:posOffset>
            </wp:positionV>
            <wp:extent cx="65836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38" w:lineRule="exact"/>
        <w:rPr>
          <w:sz w:val="20"/>
          <w:szCs w:val="20"/>
          <w:color w:val="auto"/>
        </w:rPr>
      </w:pPr>
    </w:p>
    <w:p>
      <w:pPr>
        <w:ind w:left="440" w:right="340"/>
        <w:spacing w:after="0" w:line="237" w:lineRule="auto"/>
        <w:rPr>
          <w:sz w:val="20"/>
          <w:szCs w:val="20"/>
          <w:color w:val="auto"/>
        </w:rPr>
      </w:pPr>
      <w:r>
        <w:rPr>
          <w:rFonts w:ascii="Arial" w:cs="Arial" w:eastAsia="Arial" w:hAnsi="Arial"/>
          <w:sz w:val="17"/>
          <w:szCs w:val="17"/>
          <w:color w:val="auto"/>
        </w:rPr>
        <w:t>Accordingly, the Board views this Proposal 4 as an appropriate balancing measure in light of the annual elections of our directors, the majority voting standard and proxy access provisions included in our certificate of incorporation, bylaws and Corporate Governance Guidelines. On February 14, 2020, the Board adopted a resolution approving and declaring advisable the proposed amendment to the certificate of incorporation and recommending that stockholders also approve the proposed amendment.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Vote Required for Approval</w:t>
      </w:r>
    </w:p>
    <w:p>
      <w:pPr>
        <w:spacing w:after="0" w:line="218" w:lineRule="exact"/>
        <w:rPr>
          <w:sz w:val="20"/>
          <w:szCs w:val="20"/>
          <w:color w:val="auto"/>
        </w:rPr>
      </w:pPr>
    </w:p>
    <w:p>
      <w:pPr>
        <w:ind w:left="440"/>
        <w:spacing w:after="0" w:line="235" w:lineRule="auto"/>
        <w:rPr>
          <w:sz w:val="20"/>
          <w:szCs w:val="20"/>
          <w:color w:val="auto"/>
        </w:rPr>
      </w:pPr>
      <w:r>
        <w:rPr>
          <w:rFonts w:ascii="Arial" w:cs="Arial" w:eastAsia="Arial" w:hAnsi="Arial"/>
          <w:sz w:val="17"/>
          <w:szCs w:val="17"/>
          <w:color w:val="auto"/>
        </w:rPr>
        <w:t>Pursuant to the currently effective standards under our certificate of incorporation, approval of the amendment to the certificate of incorporation to eliminate cumulative voting requires the affirmative vote of not less than two-thirds of the total voting power of all outstanding shares of our common stock. If stockholders approve this Proposal 4, the amendment to the certificate of incorporation will become effective upon the filing of a certificate of amendment with the Delaware Secretary of State, which we anticipate doing as soon as practicable following stockholder approval. We also anticipate filing a restated certificate of incorporation which will include all amendments approved by our stockholders. However, in accordance with Delaware law, even if our stockholders approve the proposed amendment, the Board has the discretion not to implement the proposed amendment. If the Board exercises such discretion, it will publicly disclose that fact and the reason for its determination.</w:t>
      </w:r>
    </w:p>
    <w:p>
      <w:pPr>
        <w:spacing w:after="0" w:line="197" w:lineRule="exact"/>
        <w:rPr>
          <w:sz w:val="20"/>
          <w:szCs w:val="20"/>
          <w:color w:val="auto"/>
        </w:rPr>
      </w:pPr>
    </w:p>
    <w:p>
      <w:pPr>
        <w:ind w:left="440" w:right="300"/>
        <w:spacing w:after="0" w:line="239" w:lineRule="auto"/>
        <w:rPr>
          <w:sz w:val="20"/>
          <w:szCs w:val="20"/>
          <w:color w:val="auto"/>
        </w:rPr>
      </w:pPr>
      <w:r>
        <w:rPr>
          <w:rFonts w:ascii="Arial" w:cs="Arial" w:eastAsia="Arial" w:hAnsi="Arial"/>
          <w:sz w:val="17"/>
          <w:szCs w:val="17"/>
          <w:color w:val="auto"/>
        </w:rPr>
        <w:t>Abstentions and broker “non-votes” have the effect of a vote against the proposal. Shares of common stock represented by properly executed, timely received and unrevoked proxies will be voted as instructed. In the absence of specific instructions, properly executed, timely received and unrevoked proxies will be voted “FOR” the proposal.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Recommendation of the Board of Directors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483E65"/>
        </w:rPr>
        <w:t>The Board of Directors unanimously recommends a vote FOR approval of this proposal.</w:t>
      </w:r>
    </w:p>
    <w:p>
      <w:pPr>
        <w:spacing w:after="0" w:line="139"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47</w:t>
      </w:r>
    </w:p>
    <w:p>
      <w:pPr>
        <w:sectPr>
          <w:pgSz w:w="11900" w:h="16838" w:orient="portrait"/>
          <w:cols w:equalWidth="0" w:num="1">
            <w:col w:w="10800"/>
          </w:cols>
          <w:pgMar w:left="320" w:top="441" w:right="77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right="1040"/>
        <w:spacing w:after="0" w:line="263" w:lineRule="auto"/>
        <w:rPr>
          <w:sz w:val="20"/>
          <w:szCs w:val="20"/>
          <w:color w:val="auto"/>
        </w:rPr>
      </w:pPr>
      <w:r>
        <w:rPr>
          <w:rFonts w:ascii="Arial" w:cs="Arial" w:eastAsia="Arial" w:hAnsi="Arial"/>
          <w:sz w:val="30"/>
          <w:szCs w:val="30"/>
          <w:color w:val="483E65"/>
        </w:rPr>
        <w:t>Proposal 5 — Amendment of Certificate of Incorporation to Eliminate Supermajority Voting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106680</wp:posOffset>
            </wp:positionV>
            <wp:extent cx="65836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38" w:lineRule="exact"/>
        <w:rPr>
          <w:sz w:val="20"/>
          <w:szCs w:val="20"/>
          <w:color w:val="auto"/>
        </w:rPr>
      </w:pPr>
    </w:p>
    <w:p>
      <w:pPr>
        <w:ind w:left="440"/>
        <w:spacing w:after="0" w:line="236" w:lineRule="auto"/>
        <w:rPr>
          <w:sz w:val="20"/>
          <w:szCs w:val="20"/>
          <w:color w:val="auto"/>
        </w:rPr>
      </w:pPr>
      <w:r>
        <w:rPr>
          <w:rFonts w:ascii="Arial" w:cs="Arial" w:eastAsia="Arial" w:hAnsi="Arial"/>
          <w:sz w:val="17"/>
          <w:szCs w:val="17"/>
          <w:color w:val="auto"/>
        </w:rPr>
        <w:t>Our Board of Directors has unanimously adopted a resolution for approval by our stockholders proposing amendments to our amended and restated certificate of incorporation that would eliminate the supermajority voting provisions described herein. Specifically, the proposal seeks stockholder approval to eliminate and replace the supermajority voting requirements in Articles SIXTH, SEVENTH, NINTH and TENTH. The Board has also unanimously adopted a resolution to amend the bylaws to eliminate the supermajority voting requirements in Section 3.05 and Section 7.04 of the bylaws in conformity with the proposed amendments to Article SIXTH and Article SEVENTH of the certificate of incorporation, contingent upon stockholder approval of such amendments.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Reasons for Approval</w:t>
      </w:r>
    </w:p>
    <w:p>
      <w:pPr>
        <w:spacing w:after="0" w:line="218" w:lineRule="exact"/>
        <w:rPr>
          <w:sz w:val="20"/>
          <w:szCs w:val="20"/>
          <w:color w:val="auto"/>
        </w:rPr>
      </w:pPr>
    </w:p>
    <w:p>
      <w:pPr>
        <w:ind w:left="440"/>
        <w:spacing w:after="0" w:line="237" w:lineRule="auto"/>
        <w:rPr>
          <w:sz w:val="20"/>
          <w:szCs w:val="20"/>
          <w:color w:val="auto"/>
        </w:rPr>
      </w:pPr>
      <w:r>
        <w:rPr>
          <w:rFonts w:ascii="Arial" w:cs="Arial" w:eastAsia="Arial" w:hAnsi="Arial"/>
          <w:sz w:val="17"/>
          <w:szCs w:val="17"/>
          <w:color w:val="auto"/>
        </w:rPr>
        <w:t>The Board’s proposal is a result of our ongoing review of our corporate governance principles. After receiving stockholder input, including a non-binding stockholder proposal passed by a significant majority of shares voted at our 2019 Annual Meeting of Stockholders, and with the advice of management and outside advisors, the Board considered the relative weight of the arguments in favor and opposed to supermajority voting requirements.</w:t>
      </w:r>
    </w:p>
    <w:p>
      <w:pPr>
        <w:spacing w:after="0" w:line="194" w:lineRule="exact"/>
        <w:rPr>
          <w:sz w:val="20"/>
          <w:szCs w:val="20"/>
          <w:color w:val="auto"/>
        </w:rPr>
      </w:pPr>
    </w:p>
    <w:p>
      <w:pPr>
        <w:ind w:left="440"/>
        <w:spacing w:after="0" w:line="236" w:lineRule="auto"/>
        <w:rPr>
          <w:sz w:val="20"/>
          <w:szCs w:val="20"/>
          <w:color w:val="auto"/>
        </w:rPr>
      </w:pPr>
      <w:r>
        <w:rPr>
          <w:rFonts w:ascii="Arial" w:cs="Arial" w:eastAsia="Arial" w:hAnsi="Arial"/>
          <w:sz w:val="17"/>
          <w:szCs w:val="17"/>
          <w:color w:val="auto"/>
        </w:rPr>
        <w:t>The Board recognizes that supermajority voting requirements are intended to protect against self-interested action by large stockholders by requiring broad stockholder support for certain types of transactions or governance changes. The Board also recognizes that corporate governance standards have evolved. Some stockholders and commentators argue that supermajority provisions should be eliminated because they could limit the Board’s accountability to stockholders or stockholder participation in corporate governance. The Board notes that while it is important to protect against self-interested action by large stockholders, it is also important for us to be able to respond to stockholder corporate governance concerns.</w:t>
      </w:r>
    </w:p>
    <w:p>
      <w:pPr>
        <w:spacing w:after="0" w:line="194" w:lineRule="exact"/>
        <w:rPr>
          <w:sz w:val="20"/>
          <w:szCs w:val="20"/>
          <w:color w:val="auto"/>
        </w:rPr>
      </w:pPr>
    </w:p>
    <w:p>
      <w:pPr>
        <w:ind w:left="440" w:right="140"/>
        <w:spacing w:after="0" w:line="236" w:lineRule="auto"/>
        <w:rPr>
          <w:sz w:val="20"/>
          <w:szCs w:val="20"/>
          <w:color w:val="auto"/>
        </w:rPr>
      </w:pPr>
      <w:r>
        <w:rPr>
          <w:rFonts w:ascii="Arial" w:cs="Arial" w:eastAsia="Arial" w:hAnsi="Arial"/>
          <w:sz w:val="17"/>
          <w:szCs w:val="17"/>
          <w:color w:val="auto"/>
        </w:rPr>
        <w:t>The Board also considered that even without the supermajority voting requirements in the certificate of incorporation and the corresponding supermajority requirements in Section 3.05 and Section 7.04 of the bylaws, we have defenses that work together to discourage would-be acquirers from proceeding with proposals that undervalue the company and to assist the Board in responding to such proposals. On that basis, the Board has determined that it is in the best interests of the company and our stockholders to eliminate the supermajority voting requirements in our certificate of incorporation and bylaws as more particularly described in the proposed amendments below.</w:t>
      </w:r>
    </w:p>
    <w:p>
      <w:pPr>
        <w:spacing w:after="0" w:line="194" w:lineRule="exact"/>
        <w:rPr>
          <w:sz w:val="20"/>
          <w:szCs w:val="20"/>
          <w:color w:val="auto"/>
        </w:rPr>
      </w:pPr>
    </w:p>
    <w:p>
      <w:pPr>
        <w:jc w:val="both"/>
        <w:ind w:left="440"/>
        <w:spacing w:after="0" w:line="239" w:lineRule="auto"/>
        <w:rPr>
          <w:sz w:val="20"/>
          <w:szCs w:val="20"/>
          <w:color w:val="auto"/>
        </w:rPr>
      </w:pPr>
      <w:r>
        <w:rPr>
          <w:rFonts w:ascii="Arial" w:cs="Arial" w:eastAsia="Arial" w:hAnsi="Arial"/>
          <w:sz w:val="17"/>
          <w:szCs w:val="17"/>
          <w:color w:val="auto"/>
        </w:rPr>
        <w:t>As a result, the Board has considered the foregoing matters, adopted resolutions setting forth the proposed amendments to the certificate of incorporation and bylaws, declared such amendments advisable and unanimously resolved to submit the amendments to the certificate of incorporation to our stockholders for consideration.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Proposed Amendments</w:t>
      </w:r>
    </w:p>
    <w:p>
      <w:pPr>
        <w:spacing w:after="0" w:line="218" w:lineRule="exact"/>
        <w:rPr>
          <w:sz w:val="20"/>
          <w:szCs w:val="20"/>
          <w:color w:val="auto"/>
        </w:rPr>
      </w:pPr>
    </w:p>
    <w:p>
      <w:pPr>
        <w:ind w:left="440" w:right="100"/>
        <w:spacing w:after="0" w:line="237" w:lineRule="auto"/>
        <w:rPr>
          <w:sz w:val="20"/>
          <w:szCs w:val="20"/>
          <w:color w:val="auto"/>
        </w:rPr>
      </w:pPr>
      <w:r>
        <w:rPr>
          <w:rFonts w:ascii="Arial" w:cs="Arial" w:eastAsia="Arial" w:hAnsi="Arial"/>
          <w:sz w:val="17"/>
          <w:szCs w:val="17"/>
          <w:color w:val="auto"/>
        </w:rPr>
        <w:t>Article SIXTH of the certificate of incorporation provides that no section of the bylaws shall be adopted, repealed, altered, amended or rescinded by the stockholders except by the affirmative vote of not less than two-thirds of the total voting power of all outstanding shares of our voting stock. The proposed amendment would reduce the voting standard to a majority of the total voting power of all outstanding shares of our voting stock. If our stockholders approve the amendment, Article SIXTH would be amended and restated as follows (additions are indicated by underlining and deletions are indicated by strikeouts):</w:t>
      </w:r>
    </w:p>
    <w:p>
      <w:pPr>
        <w:spacing w:after="0" w:line="171" w:lineRule="exact"/>
        <w:rPr>
          <w:sz w:val="20"/>
          <w:szCs w:val="20"/>
          <w:color w:val="auto"/>
        </w:rPr>
      </w:pPr>
    </w:p>
    <w:p>
      <w:pPr>
        <w:ind w:left="860" w:right="100"/>
        <w:spacing w:after="0" w:line="245" w:lineRule="auto"/>
        <w:rPr>
          <w:sz w:val="20"/>
          <w:szCs w:val="20"/>
          <w:color w:val="auto"/>
        </w:rPr>
      </w:pPr>
      <w:r>
        <w:rPr>
          <w:rFonts w:ascii="Arial" w:cs="Arial" w:eastAsia="Arial" w:hAnsi="Arial"/>
          <w:sz w:val="17"/>
          <w:szCs w:val="17"/>
          <w:b w:val="1"/>
          <w:bCs w:val="1"/>
          <w:color w:val="auto"/>
        </w:rPr>
        <w:t xml:space="preserve">SIXTH: BYLAWS. </w:t>
      </w:r>
      <w:r>
        <w:rPr>
          <w:rFonts w:ascii="Arial" w:cs="Arial" w:eastAsia="Arial" w:hAnsi="Arial"/>
          <w:sz w:val="17"/>
          <w:szCs w:val="17"/>
          <w:color w:val="auto"/>
        </w:rPr>
        <w:t>In furtherance and not in limitation of the powers conferred by statute, the Board of Directors is expressly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authorized to make, repeal, alter, amend and rescind the Bylaws of the Corporation. No section of the Bylaws shall be adopted, repealed, altered, amended or rescinded by the stockholders of the Corporation except by the vote of the holders of not less than </w:t>
      </w:r>
      <w:r>
        <w:rPr>
          <w:rFonts w:ascii="Arial" w:cs="Arial" w:eastAsia="Arial" w:hAnsi="Arial"/>
          <w:sz w:val="17"/>
          <w:szCs w:val="17"/>
          <w:b w:val="1"/>
          <w:bCs w:val="1"/>
          <w:u w:val="single" w:color="auto"/>
          <w:color w:val="auto"/>
        </w:rPr>
        <w:t>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majority</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two-thirds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total voting power of all outstanding shares of voting stock of the Corporation.</w:t>
      </w:r>
    </w:p>
    <w:p>
      <w:pPr>
        <w:spacing w:after="0" w:line="187" w:lineRule="exact"/>
        <w:rPr>
          <w:sz w:val="20"/>
          <w:szCs w:val="20"/>
          <w:color w:val="auto"/>
        </w:rPr>
      </w:pPr>
    </w:p>
    <w:p>
      <w:pPr>
        <w:jc w:val="both"/>
        <w:ind w:left="440" w:right="140"/>
        <w:spacing w:after="0" w:line="239" w:lineRule="auto"/>
        <w:rPr>
          <w:sz w:val="20"/>
          <w:szCs w:val="20"/>
          <w:color w:val="auto"/>
        </w:rPr>
      </w:pPr>
      <w:r>
        <w:rPr>
          <w:rFonts w:ascii="Arial" w:cs="Arial" w:eastAsia="Arial" w:hAnsi="Arial"/>
          <w:sz w:val="17"/>
          <w:szCs w:val="17"/>
          <w:color w:val="auto"/>
        </w:rPr>
        <w:t>Article SEVENTH, Section (C) of the certificate of incorporation requires the affirmative vote of not less than two-thirds of the total voting power of all outstanding shares then entitled to vote at an election of directors to remove any director or the entire Board with or without cause. The proposed amendment would reduce the voting standard to a majority of the total</w:t>
      </w:r>
    </w:p>
    <w:p>
      <w:pPr>
        <w:spacing w:after="0" w:line="112" w:lineRule="exact"/>
        <w:rPr>
          <w:sz w:val="20"/>
          <w:szCs w:val="20"/>
          <w:color w:val="auto"/>
        </w:r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48</w:t>
        <w:tab/>
        <w:t>|</w:t>
        <w:tab/>
        <w:t>2020 Proxy Statement</w:t>
      </w:r>
    </w:p>
    <w:p>
      <w:pPr>
        <w:sectPr>
          <w:pgSz w:w="11900" w:h="16838" w:orient="portrait"/>
          <w:cols w:equalWidth="0" w:num="1">
            <w:col w:w="10740"/>
          </w:cols>
          <w:pgMar w:left="320" w:top="441" w:right="8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right="1100"/>
        <w:spacing w:after="0" w:line="263" w:lineRule="auto"/>
        <w:rPr>
          <w:sz w:val="20"/>
          <w:szCs w:val="20"/>
          <w:color w:val="auto"/>
        </w:rPr>
      </w:pPr>
      <w:r>
        <w:rPr>
          <w:rFonts w:ascii="Arial" w:cs="Arial" w:eastAsia="Arial" w:hAnsi="Arial"/>
          <w:sz w:val="30"/>
          <w:szCs w:val="30"/>
          <w:color w:val="483E65"/>
        </w:rPr>
        <w:t>Proposal 5 — Amendment of Certificate of Incorporation to Eliminate Supermajority Voting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106680</wp:posOffset>
            </wp:positionV>
            <wp:extent cx="65836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38" w:lineRule="exact"/>
        <w:rPr>
          <w:sz w:val="20"/>
          <w:szCs w:val="20"/>
          <w:color w:val="auto"/>
        </w:rPr>
      </w:pPr>
    </w:p>
    <w:p>
      <w:pPr>
        <w:ind w:left="440" w:right="660"/>
        <w:spacing w:after="0" w:line="273" w:lineRule="auto"/>
        <w:rPr>
          <w:sz w:val="20"/>
          <w:szCs w:val="20"/>
          <w:color w:val="auto"/>
        </w:rPr>
      </w:pPr>
      <w:r>
        <w:rPr>
          <w:rFonts w:ascii="Arial" w:cs="Arial" w:eastAsia="Arial" w:hAnsi="Arial"/>
          <w:sz w:val="16"/>
          <w:szCs w:val="16"/>
          <w:color w:val="auto"/>
        </w:rPr>
        <w:t>voting power of all outstanding shares of our voting stock. If our stockholders approve the amendment, Article SEVENTH, Section (C) would be amended and restated as follows (additions are indicated by underlining and deletions are indicated by strikeouts):</w:t>
      </w:r>
    </w:p>
    <w:p>
      <w:pPr>
        <w:spacing w:after="0" w:line="146" w:lineRule="exact"/>
        <w:rPr>
          <w:sz w:val="20"/>
          <w:szCs w:val="20"/>
          <w:color w:val="auto"/>
        </w:rPr>
      </w:pPr>
    </w:p>
    <w:p>
      <w:pPr>
        <w:ind w:left="860" w:right="100" w:firstLine="393"/>
        <w:spacing w:after="0" w:line="251" w:lineRule="auto"/>
        <w:tabs>
          <w:tab w:leader="none" w:pos="1681"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Removal</w:t>
      </w:r>
      <w:r>
        <w:rPr>
          <w:rFonts w:ascii="Arial" w:cs="Arial" w:eastAsia="Arial" w:hAnsi="Arial"/>
          <w:sz w:val="17"/>
          <w:szCs w:val="17"/>
          <w:b w:val="1"/>
          <w:bCs w:val="1"/>
          <w:color w:val="auto"/>
        </w:rPr>
        <w:t xml:space="preserve">. </w:t>
      </w:r>
      <w:r>
        <w:rPr>
          <w:rFonts w:ascii="Arial" w:cs="Arial" w:eastAsia="Arial" w:hAnsi="Arial"/>
          <w:sz w:val="17"/>
          <w:szCs w:val="17"/>
          <w:color w:val="auto"/>
        </w:rPr>
        <w:t>Unless otherwise restricted by applicable law, any director or the entire Board may be removed with or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cause by the holders of </w:t>
      </w:r>
      <w:r>
        <w:rPr>
          <w:rFonts w:ascii="Arial" w:cs="Arial" w:eastAsia="Arial" w:hAnsi="Arial"/>
          <w:sz w:val="17"/>
          <w:szCs w:val="17"/>
          <w:b w:val="1"/>
          <w:bCs w:val="1"/>
          <w:u w:val="single" w:color="auto"/>
          <w:color w:val="auto"/>
        </w:rPr>
        <w:t>a majority</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two-thirds</w:t>
      </w:r>
      <w:r>
        <w:rPr>
          <w:rFonts w:ascii="Arial" w:cs="Arial" w:eastAsia="Arial" w:hAnsi="Arial"/>
          <w:sz w:val="17"/>
          <w:szCs w:val="17"/>
          <w:color w:val="auto"/>
        </w:rPr>
        <w:t xml:space="preserve"> of the total voting power of all outstanding shares then entitled to vote at an election of directors.</w:t>
      </w:r>
    </w:p>
    <w:p>
      <w:pPr>
        <w:spacing w:after="0" w:line="182" w:lineRule="exact"/>
        <w:rPr>
          <w:sz w:val="20"/>
          <w:szCs w:val="20"/>
          <w:color w:val="auto"/>
        </w:rPr>
      </w:pPr>
    </w:p>
    <w:p>
      <w:pPr>
        <w:ind w:left="440" w:right="100"/>
        <w:spacing w:after="0" w:line="237" w:lineRule="auto"/>
        <w:rPr>
          <w:sz w:val="20"/>
          <w:szCs w:val="20"/>
          <w:color w:val="auto"/>
        </w:rPr>
      </w:pPr>
      <w:r>
        <w:rPr>
          <w:rFonts w:ascii="Arial" w:cs="Arial" w:eastAsia="Arial" w:hAnsi="Arial"/>
          <w:sz w:val="17"/>
          <w:szCs w:val="17"/>
          <w:color w:val="auto"/>
        </w:rPr>
        <w:t>Article NINTH of the certificate of incorporation requires the affirmative vote of not less than two-thirds of the total voting power of all outstanding shares of our voting stock to repeal or amend certain specified provisions in the certificate of incorporation. The proposed amendment would reduce the voting standard to a majority of the total voting power of all outstanding shares of our voting stock, which is the default provision under Delaware law. If our stockholders approve the amendment, Article NINTH would be amended and restated as follows (additions are indicated by underlining and deletions are indicated by strikeouts):</w:t>
      </w:r>
    </w:p>
    <w:p>
      <w:pPr>
        <w:spacing w:after="0" w:line="171" w:lineRule="exact"/>
        <w:rPr>
          <w:sz w:val="20"/>
          <w:szCs w:val="20"/>
          <w:color w:val="auto"/>
        </w:rPr>
      </w:pPr>
    </w:p>
    <w:p>
      <w:pPr>
        <w:jc w:val="both"/>
        <w:ind w:left="860"/>
        <w:spacing w:after="0" w:line="257" w:lineRule="auto"/>
        <w:rPr>
          <w:sz w:val="20"/>
          <w:szCs w:val="20"/>
          <w:color w:val="auto"/>
        </w:rPr>
      </w:pPr>
      <w:r>
        <w:rPr>
          <w:rFonts w:ascii="Arial" w:cs="Arial" w:eastAsia="Arial" w:hAnsi="Arial"/>
          <w:sz w:val="16"/>
          <w:szCs w:val="16"/>
          <w:b w:val="1"/>
          <w:bCs w:val="1"/>
          <w:color w:val="auto"/>
        </w:rPr>
        <w:t xml:space="preserve">NINTH: AMENDMENT. </w:t>
      </w:r>
      <w:r>
        <w:rPr>
          <w:rFonts w:ascii="Arial" w:cs="Arial" w:eastAsia="Arial" w:hAnsi="Arial"/>
          <w:sz w:val="16"/>
          <w:szCs w:val="16"/>
          <w:color w:val="auto"/>
        </w:rPr>
        <w:t>The Corporation reserves the right to amend, alter, change or repeal any provision contained in this Restated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Certificate of Incorporation, in the manner now or hereafter prescribed by statute, and all rights conferred on stockholders herein are granted subject to this reservation. </w:t>
      </w:r>
      <w:r>
        <w:rPr>
          <w:rFonts w:ascii="Arial" w:cs="Arial" w:eastAsia="Arial" w:hAnsi="Arial"/>
          <w:sz w:val="16"/>
          <w:szCs w:val="16"/>
          <w:b w:val="1"/>
          <w:bCs w:val="1"/>
          <w:color w:val="auto"/>
          <w:strike w:val="1"/>
        </w:rPr>
        <w:t>Notwithstanding the foregoing, the provisions set forth in Articles FIFTH, SIXTH,</w:t>
      </w:r>
    </w:p>
    <w:p>
      <w:pPr>
        <w:spacing w:after="0" w:line="1" w:lineRule="exact"/>
        <w:rPr>
          <w:sz w:val="20"/>
          <w:szCs w:val="20"/>
          <w:color w:val="auto"/>
        </w:rPr>
      </w:pPr>
    </w:p>
    <w:p>
      <w:pPr>
        <w:ind w:left="860" w:right="360"/>
        <w:spacing w:after="0" w:line="239" w:lineRule="auto"/>
        <w:rPr>
          <w:sz w:val="20"/>
          <w:szCs w:val="20"/>
          <w:color w:val="auto"/>
        </w:rPr>
      </w:pPr>
      <w:r>
        <w:rPr>
          <w:rFonts w:ascii="Arial" w:cs="Arial" w:eastAsia="Arial" w:hAnsi="Arial"/>
          <w:sz w:val="17"/>
          <w:szCs w:val="17"/>
          <w:b w:val="1"/>
          <w:bCs w:val="1"/>
          <w:color w:val="auto"/>
          <w:strike w:val="1"/>
        </w:rPr>
        <w:t>SEVENTH, EIGHTH and this Article NINTH may not be repealed or amended in any respect unless such repeal or amendment is approved by the affirmative vote of the holders of not less than two-thirds of the total voting power of all outstanding shares of voting stock of the Corporation.</w:t>
      </w:r>
    </w:p>
    <w:p>
      <w:pPr>
        <w:spacing w:after="0" w:line="191" w:lineRule="exact"/>
        <w:rPr>
          <w:sz w:val="20"/>
          <w:szCs w:val="20"/>
          <w:color w:val="auto"/>
        </w:rPr>
      </w:pPr>
    </w:p>
    <w:p>
      <w:pPr>
        <w:ind w:left="440" w:right="40"/>
        <w:spacing w:after="0" w:line="235" w:lineRule="auto"/>
        <w:rPr>
          <w:sz w:val="20"/>
          <w:szCs w:val="20"/>
          <w:color w:val="auto"/>
        </w:rPr>
      </w:pPr>
      <w:r>
        <w:rPr>
          <w:rFonts w:ascii="Arial" w:cs="Arial" w:eastAsia="Arial" w:hAnsi="Arial"/>
          <w:sz w:val="17"/>
          <w:szCs w:val="17"/>
          <w:color w:val="auto"/>
        </w:rPr>
        <w:t>Article TENTH, Section (B), of the certificate of incorporation requires that certain business combination transactions that involve a Related Person (as defined in the certificate of incorporation) be approved by the affirmative vote of the holders of (i) at least 80% of the total voting power of all the outstanding shares of our voting stock and (ii) at least a majority of the total voting power of all the outstanding shares of our voting stock other than shares of voting stock which are beneficially owned by such Related Person, unless the transaction is approved by the Continuing Directors (as defined in the certificate of incorporation) or certain fair price conditions are satisfied. The proposed amendment would remove the 80% voting threshold in clause (i) for stockholder approval of a business combination. The requirement that a business combination be approved by at least a majority of the total voting power of all of the outstanding shares of our voting stock other than shares of voting stock of which such Related Person is the Beneficial Owner would be retained. In addition, any default voting standard that would otherwise apply to such business combination under Delaware law would also apply in lieu of the prior supermajority standard. If our stockholders approve the amendment, Article TENTH, Section (B) would be amended and restated as follows (additions are indicated by underlining and deletions are indicated by strikeouts):</w:t>
      </w:r>
    </w:p>
    <w:p>
      <w:pPr>
        <w:spacing w:after="0" w:line="194" w:lineRule="exact"/>
        <w:rPr>
          <w:sz w:val="20"/>
          <w:szCs w:val="20"/>
          <w:color w:val="auto"/>
        </w:rPr>
      </w:pPr>
    </w:p>
    <w:p>
      <w:pPr>
        <w:ind w:left="860" w:right="80" w:firstLine="393"/>
        <w:spacing w:after="0" w:line="236" w:lineRule="auto"/>
        <w:tabs>
          <w:tab w:leader="none" w:pos="1531"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The approval or authorization of any Business Combination (as herein defined) of the Corporation with any Related Person (as herein defined) shall require the affirmative vote of the holders of </w:t>
      </w:r>
      <w:r>
        <w:rPr>
          <w:rFonts w:ascii="Arial" w:cs="Arial" w:eastAsia="Arial" w:hAnsi="Arial"/>
          <w:sz w:val="17"/>
          <w:szCs w:val="17"/>
          <w:b w:val="1"/>
          <w:bCs w:val="1"/>
          <w:color w:val="auto"/>
          <w:strike w:val="1"/>
        </w:rPr>
        <w:t>(i) at least 80% of the total voting power of all of the</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outstanding shares of voting stock of the Corporation and (ii)</w:t>
      </w:r>
      <w:r>
        <w:rPr>
          <w:rFonts w:ascii="Arial" w:cs="Arial" w:eastAsia="Arial" w:hAnsi="Arial"/>
          <w:sz w:val="17"/>
          <w:szCs w:val="17"/>
          <w:b w:val="1"/>
          <w:bCs w:val="1"/>
          <w:color w:val="auto"/>
        </w:rPr>
        <w:t xml:space="preserve"> at least </w:t>
      </w:r>
      <w:r>
        <w:rPr>
          <w:rFonts w:ascii="Arial" w:cs="Arial" w:eastAsia="Arial" w:hAnsi="Arial"/>
          <w:sz w:val="17"/>
          <w:szCs w:val="17"/>
          <w:color w:val="auto"/>
        </w:rPr>
        <w:t>a majority of the total voting power of all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shares of voting stock of the Corporation other than shares of voting stock of which such Related Person is the Beneficial Owner (as herein defined). Such affirmative vote shall be required notwithstanding the fact that no vote may be required, or that the affirmative vote of a lesser percentage of stockholders may be specified, by law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-384175</wp:posOffset>
            </wp:positionV>
            <wp:extent cx="40068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00685" cy="8255"/>
                    </a:xfrm>
                    <a:prstGeom prst="rect">
                      <a:avLst/>
                    </a:prstGeom>
                    <a:noFill/>
                  </pic:spPr>
                </pic:pic>
              </a:graphicData>
            </a:graphic>
          </wp:anchor>
        </w:drawing>
      </w:r>
    </w:p>
    <w:p>
      <w:pPr>
        <w:spacing w:after="0" w:line="174" w:lineRule="exact"/>
        <w:rPr>
          <w:sz w:val="20"/>
          <w:szCs w:val="20"/>
          <w:color w:val="auto"/>
        </w:rPr>
      </w:pPr>
    </w:p>
    <w:p>
      <w:pPr>
        <w:ind w:left="440"/>
        <w:spacing w:after="0" w:line="236" w:lineRule="auto"/>
        <w:rPr>
          <w:sz w:val="20"/>
          <w:szCs w:val="20"/>
          <w:color w:val="auto"/>
        </w:rPr>
      </w:pPr>
      <w:r>
        <w:rPr>
          <w:rFonts w:ascii="Arial" w:cs="Arial" w:eastAsia="Arial" w:hAnsi="Arial"/>
          <w:sz w:val="17"/>
          <w:szCs w:val="17"/>
          <w:color w:val="auto"/>
        </w:rPr>
        <w:t>Article TENTH, Section (F), of the certificate of incorporation provides that our stockholders will be entitled to statutory appraisal rights to the maximum extent permissible under Section 262 of the DGCL, notwithstanding any exception provided therein, with respect to certain business combinations with a Related Person (as defined in the certificate of incorporation) requiring the approval of stockholders under Article TENTH, Section (B), including the approval of at least 80% of the voting power of all outstanding shares of our voting stock. The proposed amendment would remove the reference to an 80% voting threshold and make this section consistent with the changes to Article TENTH, Section (B) described above. If our stockholders approve the amendment, Article TENTH, Section (F) of the Certificate would be amended and restated as follows (additions are indicated by underlining and deletions are indicated by strikeouts):</w:t>
      </w:r>
    </w:p>
    <w:p>
      <w:pPr>
        <w:spacing w:after="0" w:line="192" w:lineRule="exact"/>
        <w:rPr>
          <w:sz w:val="20"/>
          <w:szCs w:val="20"/>
          <w:color w:val="auto"/>
        </w:rPr>
      </w:pPr>
    </w:p>
    <w:p>
      <w:pPr>
        <w:ind w:left="860" w:right="140" w:firstLine="393"/>
        <w:spacing w:after="0" w:line="243" w:lineRule="auto"/>
        <w:tabs>
          <w:tab w:leader="none" w:pos="1521"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stockholders of the Corporation shall be entitled to statutory appraisal rights to the maximum extent permissible under Section 262 of the General Corporation Law of the State of Delaware, notwithstanding any</w:t>
      </w:r>
    </w:p>
    <w:p>
      <w:pPr>
        <w:spacing w:after="0" w:line="110"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49</w:t>
      </w:r>
    </w:p>
    <w:p>
      <w:pPr>
        <w:sectPr>
          <w:pgSz w:w="11900" w:h="16838" w:orient="portrait"/>
          <w:cols w:equalWidth="0" w:num="1">
            <w:col w:w="10800"/>
          </w:cols>
          <w:pgMar w:left="320" w:top="441" w:right="77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right="1080"/>
        <w:spacing w:after="0" w:line="263" w:lineRule="auto"/>
        <w:rPr>
          <w:sz w:val="20"/>
          <w:szCs w:val="20"/>
          <w:color w:val="auto"/>
        </w:rPr>
      </w:pPr>
      <w:r>
        <w:rPr>
          <w:rFonts w:ascii="Arial" w:cs="Arial" w:eastAsia="Arial" w:hAnsi="Arial"/>
          <w:sz w:val="30"/>
          <w:szCs w:val="30"/>
          <w:color w:val="483E65"/>
        </w:rPr>
        <w:t>Proposal 5 — Amendment of Certificate of Incorporation to Eliminate Supermajority Voting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106680</wp:posOffset>
            </wp:positionV>
            <wp:extent cx="65836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38" w:lineRule="exact"/>
        <w:rPr>
          <w:sz w:val="20"/>
          <w:szCs w:val="20"/>
          <w:color w:val="auto"/>
        </w:rPr>
      </w:pPr>
    </w:p>
    <w:p>
      <w:pPr>
        <w:jc w:val="both"/>
        <w:ind w:left="860"/>
        <w:spacing w:after="0" w:line="239" w:lineRule="auto"/>
        <w:rPr>
          <w:sz w:val="20"/>
          <w:szCs w:val="20"/>
          <w:color w:val="auto"/>
        </w:rPr>
      </w:pPr>
      <w:r>
        <w:rPr>
          <w:rFonts w:ascii="Arial" w:cs="Arial" w:eastAsia="Arial" w:hAnsi="Arial"/>
          <w:sz w:val="17"/>
          <w:szCs w:val="17"/>
          <w:color w:val="auto"/>
        </w:rPr>
        <w:t xml:space="preserve">exception otherwise provided therein, with respect to any Business Combination with a Related Person requiring the affirmative vote </w:t>
      </w:r>
      <w:r>
        <w:rPr>
          <w:rFonts w:ascii="Arial" w:cs="Arial" w:eastAsia="Arial" w:hAnsi="Arial"/>
          <w:sz w:val="17"/>
          <w:szCs w:val="17"/>
          <w:b w:val="1"/>
          <w:bCs w:val="1"/>
          <w:u w:val="single" w:color="auto"/>
          <w:color w:val="auto"/>
        </w:rPr>
        <w:t xml:space="preserve">pursuant to Section B above </w:t>
      </w:r>
      <w:r>
        <w:rPr>
          <w:rFonts w:ascii="Arial" w:cs="Arial" w:eastAsia="Arial" w:hAnsi="Arial"/>
          <w:sz w:val="17"/>
          <w:szCs w:val="17"/>
          <w:b w:val="1"/>
          <w:bCs w:val="1"/>
          <w:color w:val="auto"/>
          <w:strike w:val="1"/>
        </w:rPr>
        <w:t>of the holders of outstanding stock of the Corporation having at least 80% of the voting power</w:t>
      </w:r>
      <w:r>
        <w:rPr>
          <w:rFonts w:ascii="Arial" w:cs="Arial" w:eastAsia="Arial" w:hAnsi="Arial"/>
          <w:sz w:val="17"/>
          <w:szCs w:val="17"/>
          <w:b w:val="1"/>
          <w:bCs w:val="1"/>
          <w:u w:val="single" w:color="auto"/>
          <w:color w:val="auto"/>
        </w:rPr>
        <w:t xml:space="preserve"> </w:t>
      </w:r>
      <w:r>
        <w:rPr>
          <w:rFonts w:ascii="Arial" w:cs="Arial" w:eastAsia="Arial" w:hAnsi="Arial"/>
          <w:sz w:val="17"/>
          <w:szCs w:val="17"/>
          <w:b w:val="1"/>
          <w:bCs w:val="1"/>
          <w:color w:val="auto"/>
          <w:strike w:val="1"/>
        </w:rPr>
        <w:t>of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unless such vote is not required pursuant to Section C.</w:t>
      </w:r>
    </w:p>
    <w:p>
      <w:pPr>
        <w:spacing w:after="0" w:line="191" w:lineRule="exact"/>
        <w:rPr>
          <w:sz w:val="20"/>
          <w:szCs w:val="20"/>
          <w:color w:val="auto"/>
        </w:rPr>
      </w:pPr>
    </w:p>
    <w:p>
      <w:pPr>
        <w:ind w:left="440"/>
        <w:spacing w:after="0" w:line="235" w:lineRule="auto"/>
        <w:rPr>
          <w:sz w:val="20"/>
          <w:szCs w:val="20"/>
          <w:color w:val="auto"/>
        </w:rPr>
      </w:pPr>
      <w:r>
        <w:rPr>
          <w:rFonts w:ascii="Arial" w:cs="Arial" w:eastAsia="Arial" w:hAnsi="Arial"/>
          <w:sz w:val="17"/>
          <w:szCs w:val="17"/>
          <w:color w:val="auto"/>
        </w:rPr>
        <w:t xml:space="preserve">Article TENTH, Section (I), of the certificate of incorporation requires that any action to amend, alter, change or repeal any provisions set forth in such Article TENTH be approved by the affirmative vote of the holders of (i) at least 80% of the total voting power of all outstanding shares of our voting stock and (ii) at least a majority of the total voting power of all outstanding shares of our voting stock other than shares of our voting stock which are beneficially owned by a Related Person which has directly or indirectly proposed such amendment, alteration, change or repeal;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provisions may be amended, altered, changed or repealed upon the affirmative vote of the holders of at least a majority of the total voting power of all outstanding shares of our voting stock if first approved and recommended by a resolution adopted by a majority vote of the Continuing Directors (as defined in the certificate of incorporation) at a meeting at which a Continuing Director Quorum (as defined in the certificate of incorporation) was present. All of the proposed amendments to Article TENTH were approved and recommended by a resolution adopted by a majority vote of the Continuing Directors at a meeting at which a Continuing Director Quorum was present. The proposed amendment would reduce the 80% voting threshold under clause (i) to a majority of the total voting power of all outstanding shares of our voting stock, which is the default provision under Delaware law and consistent with Article NINTH. If our stockholders approve the amendment, Article TENTH, Section (I) would be amended and restated as follows (additions are indicated by underlining and deletions are indicated by strikeouts):</w:t>
      </w:r>
    </w:p>
    <w:p>
      <w:pPr>
        <w:spacing w:after="0" w:line="193" w:lineRule="exact"/>
        <w:rPr>
          <w:sz w:val="20"/>
          <w:szCs w:val="20"/>
          <w:color w:val="auto"/>
        </w:rPr>
      </w:pPr>
    </w:p>
    <w:p>
      <w:pPr>
        <w:ind w:left="860" w:firstLine="393"/>
        <w:spacing w:after="0" w:line="235" w:lineRule="auto"/>
        <w:tabs>
          <w:tab w:leader="none" w:pos="1465"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The provisions set forth in this Article TENTH may not be amended, altered, changed or repealed nor may any provision inconsistent with such provisions be added to the Restated Certificate of Incorporation of the Corporation except upon the affirmative vote of the holders of </w:t>
      </w:r>
      <w:r>
        <w:rPr>
          <w:rFonts w:ascii="Arial" w:cs="Arial" w:eastAsia="Arial" w:hAnsi="Arial"/>
          <w:sz w:val="17"/>
          <w:szCs w:val="17"/>
          <w:b w:val="1"/>
          <w:bCs w:val="1"/>
          <w:color w:val="auto"/>
          <w:strike w:val="1"/>
        </w:rPr>
        <w:t>(i) at least 80% of the total voting power of all outstanding shares of voting stock of the Corporation</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and (ii)</w:t>
      </w:r>
      <w:r>
        <w:rPr>
          <w:rFonts w:ascii="Arial" w:cs="Arial" w:eastAsia="Arial" w:hAnsi="Arial"/>
          <w:sz w:val="17"/>
          <w:szCs w:val="17"/>
          <w:b w:val="1"/>
          <w:bCs w:val="1"/>
          <w:color w:val="auto"/>
        </w:rPr>
        <w:t xml:space="preserve"> at least </w:t>
      </w:r>
      <w:r>
        <w:rPr>
          <w:rFonts w:ascii="Arial" w:cs="Arial" w:eastAsia="Arial" w:hAnsi="Arial"/>
          <w:sz w:val="17"/>
          <w:szCs w:val="17"/>
          <w:color w:val="auto"/>
        </w:rPr>
        <w:t>a majority of the total voting power of all of the outstanding shares of voting stock of the Corporation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voting stock which are Beneficially Owned by a Related Person which has directly or indirectly proposed such amendment, alteration, change or repeal; provided, however, that any or all of such provisions may be amended, altered, changed or repealed, and any such new provisions may be added, upon the affirmative vote of the holders of not less than a majority of the total voting power of all outstanding voting securities of the Corporation, if such amendment, change, alteration or repeal or additional provision shall first have been approved and recommended by a resolution adopted by a majority vote of the Continuing Directors at a meeting at which a Continuing Director Quorum was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894715</wp:posOffset>
            </wp:positionH>
            <wp:positionV relativeFrom="paragraph">
              <wp:posOffset>-746125</wp:posOffset>
            </wp:positionV>
            <wp:extent cx="40068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00685" cy="8255"/>
                    </a:xfrm>
                    <a:prstGeom prst="rect">
                      <a:avLst/>
                    </a:prstGeom>
                    <a:noFill/>
                  </pic:spPr>
                </pic:pic>
              </a:graphicData>
            </a:graphic>
          </wp:anchor>
        </w:drawing>
      </w:r>
    </w:p>
    <w:p>
      <w:pPr>
        <w:spacing w:after="0" w:line="175" w:lineRule="exact"/>
        <w:rPr>
          <w:sz w:val="20"/>
          <w:szCs w:val="20"/>
          <w:color w:val="auto"/>
        </w:rPr>
      </w:pPr>
    </w:p>
    <w:p>
      <w:pPr>
        <w:ind w:left="440" w:right="60"/>
        <w:spacing w:after="0" w:line="237" w:lineRule="auto"/>
        <w:rPr>
          <w:sz w:val="20"/>
          <w:szCs w:val="20"/>
          <w:color w:val="auto"/>
        </w:rPr>
      </w:pPr>
      <w:r>
        <w:rPr>
          <w:rFonts w:ascii="Arial" w:cs="Arial" w:eastAsia="Arial" w:hAnsi="Arial"/>
          <w:sz w:val="17"/>
          <w:szCs w:val="17"/>
          <w:color w:val="auto"/>
        </w:rPr>
        <w:t>In addition, the Board has voted to amend Section 3.05 of the bylaws to conform to the voting standard proposed under Article SEVENTH of the certificate of incorporation, contingent upon stockholder approval of the amendment of such Article SEVENTH. If our stockholders approve the amendment to Article SEVENTH of the certificate of incorporation, Section 3.05 of the bylaws would be amended and restated as follows (additions are indicated by underlining and deletions are indicated by strikeouts):</w:t>
      </w:r>
    </w:p>
    <w:p>
      <w:pPr>
        <w:spacing w:after="0" w:line="174" w:lineRule="exact"/>
        <w:rPr>
          <w:sz w:val="20"/>
          <w:szCs w:val="20"/>
          <w:color w:val="auto"/>
        </w:rPr>
      </w:pPr>
    </w:p>
    <w:p>
      <w:pPr>
        <w:ind w:left="860" w:right="260"/>
        <w:spacing w:after="0" w:line="251"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b w:val="1"/>
          <w:bCs w:val="1"/>
          <w:color w:val="auto"/>
        </w:rPr>
        <w:t>Removal.</w:t>
      </w:r>
      <w:r>
        <w:rPr>
          <w:rFonts w:ascii="Arial" w:cs="Arial" w:eastAsia="Arial" w:hAnsi="Arial"/>
          <w:sz w:val="17"/>
          <w:szCs w:val="17"/>
          <w:color w:val="auto"/>
        </w:rPr>
        <w:t xml:space="preserve"> Unless otherwise restricted by statute, the Certificate of Incorporation or these Bylaws, any director or the entire Board may be removed with or without cause by the holders of </w:t>
      </w:r>
      <w:r>
        <w:rPr>
          <w:rFonts w:ascii="Arial" w:cs="Arial" w:eastAsia="Arial" w:hAnsi="Arial"/>
          <w:sz w:val="17"/>
          <w:szCs w:val="17"/>
          <w:b w:val="1"/>
          <w:bCs w:val="1"/>
          <w:u w:val="single" w:color="auto"/>
          <w:color w:val="auto"/>
        </w:rPr>
        <w:t>a majority</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two-thirds</w:t>
      </w:r>
      <w:r>
        <w:rPr>
          <w:rFonts w:ascii="Arial" w:cs="Arial" w:eastAsia="Arial" w:hAnsi="Arial"/>
          <w:sz w:val="17"/>
          <w:szCs w:val="17"/>
          <w:color w:val="auto"/>
        </w:rPr>
        <w:t xml:space="preserve"> of the total voting power of all outstanding shares then entitled to vote at an election of directors.</w:t>
      </w:r>
    </w:p>
    <w:p>
      <w:pPr>
        <w:spacing w:after="0" w:line="182" w:lineRule="exact"/>
        <w:rPr>
          <w:sz w:val="20"/>
          <w:szCs w:val="20"/>
          <w:color w:val="auto"/>
        </w:rPr>
      </w:pPr>
    </w:p>
    <w:p>
      <w:pPr>
        <w:ind w:left="440"/>
        <w:spacing w:after="0" w:line="237" w:lineRule="auto"/>
        <w:rPr>
          <w:sz w:val="20"/>
          <w:szCs w:val="20"/>
          <w:color w:val="auto"/>
        </w:rPr>
      </w:pPr>
      <w:r>
        <w:rPr>
          <w:rFonts w:ascii="Arial" w:cs="Arial" w:eastAsia="Arial" w:hAnsi="Arial"/>
          <w:sz w:val="17"/>
          <w:szCs w:val="17"/>
          <w:color w:val="auto"/>
        </w:rPr>
        <w:t>The Board has also voted to amend Section 7.04 of the bylaws to conform to the voting standard proposed under Article SIXTH of the certificate of incorporation, contingent upon stockholder approval of the amendment of such Article SIXTH. If our stockholders approve the amendment to Article SIXTH of the certificate of incorporation, Section 7.04 of the bylaws would be amended and restated as follows (additions are indicated by underlining and deletions are indicated by strikeouts):</w:t>
      </w:r>
    </w:p>
    <w:p>
      <w:pPr>
        <w:spacing w:after="0" w:line="174" w:lineRule="exact"/>
        <w:rPr>
          <w:sz w:val="20"/>
          <w:szCs w:val="20"/>
          <w:color w:val="auto"/>
        </w:rPr>
      </w:pPr>
    </w:p>
    <w:p>
      <w:pPr>
        <w:ind w:left="860"/>
        <w:spacing w:after="0" w:line="242"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b w:val="1"/>
          <w:bCs w:val="1"/>
          <w:color w:val="auto"/>
        </w:rPr>
        <w:t>Amendments</w:t>
      </w:r>
      <w:r>
        <w:rPr>
          <w:rFonts w:ascii="Arial" w:cs="Arial" w:eastAsia="Arial" w:hAnsi="Arial"/>
          <w:sz w:val="17"/>
          <w:szCs w:val="17"/>
          <w:color w:val="auto"/>
        </w:rPr>
        <w:t xml:space="preserve">. These Bylaws, or any of them, may be altered, amended or repealed, and new Bylaws may be made by the Board, by vote of a majority of the number of directors then in office as directors, acting at any meeting of the Board. No section of the Bylaws shall be adopted, repealed, altered, amended or rescinded by the stockholders of the Corporation except by the vote of the holders of not less than </w:t>
      </w:r>
      <w:r>
        <w:rPr>
          <w:rFonts w:ascii="Arial" w:cs="Arial" w:eastAsia="Arial" w:hAnsi="Arial"/>
          <w:sz w:val="17"/>
          <w:szCs w:val="17"/>
          <w:b w:val="1"/>
          <w:bCs w:val="1"/>
          <w:u w:val="single" w:color="auto"/>
          <w:color w:val="auto"/>
        </w:rPr>
        <w:t>a majority</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two-thirds</w:t>
      </w:r>
      <w:r>
        <w:rPr>
          <w:rFonts w:ascii="Arial" w:cs="Arial" w:eastAsia="Arial" w:hAnsi="Arial"/>
          <w:sz w:val="17"/>
          <w:szCs w:val="17"/>
          <w:color w:val="auto"/>
        </w:rPr>
        <w:t xml:space="preserve"> of the total voting power of all outstanding shares of voting stock of the Corporation.</w:t>
      </w:r>
    </w:p>
    <w:p>
      <w:pPr>
        <w:spacing w:after="0" w:line="112" w:lineRule="exact"/>
        <w:rPr>
          <w:sz w:val="20"/>
          <w:szCs w:val="20"/>
          <w:color w:val="auto"/>
        </w:r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50</w:t>
        <w:tab/>
        <w:t>|</w:t>
        <w:tab/>
        <w:t>2020 Proxy Statement</w:t>
      </w:r>
    </w:p>
    <w:p>
      <w:pPr>
        <w:sectPr>
          <w:pgSz w:w="11900" w:h="16838" w:orient="portrait"/>
          <w:cols w:equalWidth="0" w:num="1">
            <w:col w:w="10780"/>
          </w:cols>
          <w:pgMar w:left="320" w:top="441" w:right="79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right="1100"/>
        <w:spacing w:after="0" w:line="263" w:lineRule="auto"/>
        <w:rPr>
          <w:sz w:val="20"/>
          <w:szCs w:val="20"/>
          <w:color w:val="auto"/>
        </w:rPr>
      </w:pPr>
      <w:r>
        <w:rPr>
          <w:rFonts w:ascii="Arial" w:cs="Arial" w:eastAsia="Arial" w:hAnsi="Arial"/>
          <w:sz w:val="30"/>
          <w:szCs w:val="30"/>
          <w:color w:val="483E65"/>
        </w:rPr>
        <w:t>Proposal 5 — Amendment of Certificate of Incorporation to Eliminate Supermajority Voting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106680</wp:posOffset>
            </wp:positionV>
            <wp:extent cx="65836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1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Votes Required for Approval</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Pursuant to the currently effective standards under our certificate of incorporation, the approval of the holders of:</w:t>
      </w:r>
    </w:p>
    <w:p>
      <w:pPr>
        <w:sectPr>
          <w:pgSz w:w="11900" w:h="16838" w:orient="portrait"/>
          <w:cols w:equalWidth="0" w:num="1">
            <w:col w:w="10800"/>
          </w:cols>
          <w:pgMar w:left="320" w:top="441" w:right="779" w:bottom="1440" w:gutter="0" w:footer="0" w:header="0"/>
        </w:sectPr>
      </w:pPr>
    </w:p>
    <w:p>
      <w:pPr>
        <w:spacing w:after="0" w:line="116"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not less than two-thirds of the total voting power of all outstanding shares of our voting stock is required to approve the proposed amendments to Articles SIXTH, SEVENTH and NINTH of the certificate of incorporation; and</w:t>
      </w:r>
    </w:p>
    <w:p>
      <w:pPr>
        <w:spacing w:after="0" w:line="100" w:lineRule="exact"/>
        <w:rPr>
          <w:sz w:val="20"/>
          <w:szCs w:val="20"/>
          <w:color w:val="auto"/>
        </w:rPr>
      </w:pPr>
    </w:p>
    <w:p>
      <w:pPr>
        <w:sectPr>
          <w:pgSz w:w="11900" w:h="16838" w:orient="portrait"/>
          <w:cols w:equalWidth="0" w:num="2">
            <w:col w:w="680" w:space="360"/>
            <w:col w:w="9760"/>
          </w:cols>
          <w:pgMar w:left="320" w:top="441" w:right="779" w:bottom="1440" w:gutter="0" w:footer="0" w:header="0"/>
          <w:type w:val="continuous"/>
        </w:sectPr>
      </w:pPr>
    </w:p>
    <w:p>
      <w:pPr>
        <w:spacing w:after="0" w:line="6"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ind w:right="300"/>
        <w:spacing w:after="0" w:line="239" w:lineRule="auto"/>
        <w:rPr>
          <w:sz w:val="20"/>
          <w:szCs w:val="20"/>
          <w:color w:val="auto"/>
        </w:rPr>
      </w:pPr>
      <w:r>
        <w:rPr>
          <w:rFonts w:ascii="Arial" w:cs="Arial" w:eastAsia="Arial" w:hAnsi="Arial"/>
          <w:sz w:val="17"/>
          <w:szCs w:val="17"/>
          <w:color w:val="auto"/>
        </w:rPr>
        <w:t>not less than a majority of the total voting power of all our outstanding voting securities is required to approve the proposed amendments to Article TENTH, Sections (B), (F) and (I) of the certificate of incorporation (the Board having determined that all directors on the Board are “Continuing Directors” as defined in the certificate of incorporation).</w:t>
      </w:r>
    </w:p>
    <w:p>
      <w:pPr>
        <w:spacing w:after="0" w:line="191" w:lineRule="exact"/>
        <w:rPr>
          <w:sz w:val="20"/>
          <w:szCs w:val="20"/>
          <w:color w:val="auto"/>
        </w:rPr>
      </w:pPr>
    </w:p>
    <w:p>
      <w:pPr>
        <w:sectPr>
          <w:pgSz w:w="11900" w:h="16838" w:orient="portrait"/>
          <w:cols w:equalWidth="0" w:num="2">
            <w:col w:w="680" w:space="360"/>
            <w:col w:w="9760"/>
          </w:cols>
          <w:pgMar w:left="320" w:top="441" w:right="779" w:bottom="1440" w:gutter="0" w:footer="0" w:header="0"/>
          <w:type w:val="continuous"/>
        </w:sectPr>
      </w:pPr>
    </w:p>
    <w:p>
      <w:pPr>
        <w:ind w:left="440" w:right="180"/>
        <w:spacing w:after="0" w:line="237" w:lineRule="auto"/>
        <w:rPr>
          <w:sz w:val="20"/>
          <w:szCs w:val="20"/>
          <w:color w:val="auto"/>
        </w:rPr>
      </w:pPr>
      <w:r>
        <w:rPr>
          <w:rFonts w:ascii="Arial" w:cs="Arial" w:eastAsia="Arial" w:hAnsi="Arial"/>
          <w:sz w:val="17"/>
          <w:szCs w:val="17"/>
          <w:color w:val="auto"/>
        </w:rPr>
        <w:t>Notwithstanding the foregoing, the Board has determined that if the proposed amendments to Articles SIXTH, SEVENTH and NINTH of the certificate of incorporation are not approved by the stockholders, then the Board will use its discretion not to implement the proposed amendments to Article TENTH, Sections (B), (F) and (I) of the certificate of incorporation. Accordingly, approval of Proposal 5 (including the proposed amendments to Article TENTH) requires the affirmative vote of not less than two-thirds of the total voting power of all outstanding shares of our common stock.</w:t>
      </w:r>
    </w:p>
    <w:p>
      <w:pPr>
        <w:spacing w:after="0" w:line="191" w:lineRule="exact"/>
        <w:rPr>
          <w:sz w:val="20"/>
          <w:szCs w:val="20"/>
          <w:color w:val="auto"/>
        </w:rPr>
      </w:pPr>
    </w:p>
    <w:p>
      <w:pPr>
        <w:ind w:left="440" w:right="60"/>
        <w:spacing w:after="0" w:line="236" w:lineRule="auto"/>
        <w:rPr>
          <w:sz w:val="20"/>
          <w:szCs w:val="20"/>
          <w:color w:val="auto"/>
        </w:rPr>
      </w:pPr>
      <w:r>
        <w:rPr>
          <w:rFonts w:ascii="Arial" w:cs="Arial" w:eastAsia="Arial" w:hAnsi="Arial"/>
          <w:sz w:val="17"/>
          <w:szCs w:val="17"/>
          <w:color w:val="auto"/>
        </w:rPr>
        <w:t>If any of the proposed amendments are approved by the stockholders, they will become effective only upon the filing of a certificate of amendment to the certificate of incorporation with the Delaware Secretary of State, which we anticipate doing as soon as practicable following stockholder approval. We also anticipate filing a restated certificate of incorporation which will include all amendments approved by our stockholders. However, in accordance with Delaware law, even if our stockholders approve the proposed amendments, the Board has the discretion not to implement the proposed amendments. If the Board exercises such discretion, it will publicly disclose that fact and the reason for its determination.</w:t>
      </w:r>
    </w:p>
    <w:p>
      <w:pPr>
        <w:spacing w:after="0" w:line="194" w:lineRule="exact"/>
        <w:rPr>
          <w:sz w:val="20"/>
          <w:szCs w:val="20"/>
          <w:color w:val="auto"/>
        </w:rPr>
      </w:pPr>
    </w:p>
    <w:p>
      <w:pPr>
        <w:ind w:left="440" w:right="300"/>
        <w:spacing w:after="0" w:line="239" w:lineRule="auto"/>
        <w:rPr>
          <w:sz w:val="20"/>
          <w:szCs w:val="20"/>
          <w:color w:val="auto"/>
        </w:rPr>
      </w:pPr>
      <w:r>
        <w:rPr>
          <w:rFonts w:ascii="Arial" w:cs="Arial" w:eastAsia="Arial" w:hAnsi="Arial"/>
          <w:sz w:val="17"/>
          <w:szCs w:val="17"/>
          <w:color w:val="auto"/>
        </w:rPr>
        <w:t>Abstentions and broker “non-votes” have the effect of a vote against the proposal. Shares of common stock represented by properly executed, timely received and unrevoked proxies will be voted as instructed. In the absence of specific instructions, properly executed, timely received and unrevoked proxies will be voted “FOR” the proposal.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Recommendation of the Board of Directors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483E65"/>
        </w:rPr>
        <w:t>The Board of Directors unanimously recommends stockholders vote FOR this proposal.</w:t>
      </w:r>
    </w:p>
    <w:p>
      <w:pPr>
        <w:spacing w:after="0" w:line="139"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51</w:t>
      </w:r>
    </w:p>
    <w:p>
      <w:pPr>
        <w:sectPr>
          <w:pgSz w:w="11900" w:h="16838" w:orient="portrait"/>
          <w:cols w:equalWidth="0" w:num="1">
            <w:col w:w="10800"/>
          </w:cols>
          <w:pgMar w:left="320" w:top="441" w:right="779" w:bottom="1440" w:gutter="0" w:footer="0" w:header="0"/>
          <w:type w:val="continuous"/>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Proposal 6 — Stockholder Proposal to Amend the Proxy Access Bylaw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93" w:lineRule="exact"/>
        <w:rPr>
          <w:sz w:val="20"/>
          <w:szCs w:val="20"/>
          <w:color w:val="auto"/>
        </w:rPr>
      </w:pPr>
    </w:p>
    <w:p>
      <w:pPr>
        <w:jc w:val="both"/>
        <w:ind w:left="440" w:right="160"/>
        <w:spacing w:after="0" w:line="257" w:lineRule="auto"/>
        <w:rPr>
          <w:sz w:val="20"/>
          <w:szCs w:val="20"/>
          <w:color w:val="auto"/>
        </w:rPr>
      </w:pPr>
      <w:r>
        <w:rPr>
          <w:rFonts w:ascii="Arial" w:cs="Arial" w:eastAsia="Arial" w:hAnsi="Arial"/>
          <w:sz w:val="16"/>
          <w:szCs w:val="16"/>
          <w:color w:val="auto"/>
        </w:rPr>
        <w:t>Mr. Kenneth Steiner, 14 Stoner Ave., 2M, Great Neck, NY 11021 has notified Leidos that he intends to present the following proposal for consideration at the 2020 stockholders’ meeting. In accordance with SEC rules, the proposal, along with the supporting statement of the stockholder proponent, is set forth below. Leidos is not responsible for the content of the proposal or supporting statement. Our Board of Directors opposes and unanimously recommends that you vote “AGAINST” the proposal for the reasons stated after the proposal.</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Stockholder Proposal</w:t>
      </w:r>
    </w:p>
    <w:p>
      <w:pPr>
        <w:spacing w:after="0" w:line="198" w:lineRule="exact"/>
        <w:rPr>
          <w:sz w:val="20"/>
          <w:szCs w:val="20"/>
          <w:color w:val="auto"/>
        </w:rPr>
      </w:pPr>
    </w:p>
    <w:p>
      <w:pPr>
        <w:ind w:left="3120"/>
        <w:spacing w:after="0"/>
        <w:rPr>
          <w:sz w:val="20"/>
          <w:szCs w:val="20"/>
          <w:color w:val="auto"/>
        </w:rPr>
      </w:pPr>
      <w:r>
        <w:rPr>
          <w:rFonts w:ascii="Arial" w:cs="Arial" w:eastAsia="Arial" w:hAnsi="Arial"/>
          <w:sz w:val="17"/>
          <w:szCs w:val="17"/>
          <w:b w:val="1"/>
          <w:bCs w:val="1"/>
          <w:color w:val="auto"/>
        </w:rPr>
        <w:t>Proposal 6 - Make Shareholder Proxy Access More Accessible</w:t>
      </w:r>
    </w:p>
    <w:p>
      <w:pPr>
        <w:spacing w:after="0" w:line="218" w:lineRule="exact"/>
        <w:rPr>
          <w:sz w:val="20"/>
          <w:szCs w:val="20"/>
          <w:color w:val="auto"/>
        </w:rPr>
      </w:pPr>
    </w:p>
    <w:p>
      <w:pPr>
        <w:ind w:left="440" w:right="720"/>
        <w:spacing w:after="0" w:line="243" w:lineRule="auto"/>
        <w:rPr>
          <w:sz w:val="20"/>
          <w:szCs w:val="20"/>
          <w:color w:val="auto"/>
        </w:rPr>
      </w:pPr>
      <w:r>
        <w:rPr>
          <w:rFonts w:ascii="Arial" w:cs="Arial" w:eastAsia="Arial" w:hAnsi="Arial"/>
          <w:sz w:val="17"/>
          <w:szCs w:val="17"/>
          <w:color w:val="auto"/>
        </w:rPr>
        <w:t>Shareholders request that our board of directors take the steps necessary to enable as many shareholders as may be needed to aggregate their shares to equal 3% of our stock owned continuously for 3-years in order to enable shareholder proxy access.</w:t>
      </w:r>
    </w:p>
    <w:p>
      <w:pPr>
        <w:spacing w:after="0" w:line="189" w:lineRule="exact"/>
        <w:rPr>
          <w:sz w:val="20"/>
          <w:szCs w:val="20"/>
          <w:color w:val="auto"/>
        </w:rPr>
      </w:pPr>
    </w:p>
    <w:p>
      <w:pPr>
        <w:jc w:val="both"/>
        <w:ind w:left="440" w:right="380"/>
        <w:spacing w:after="0" w:line="239" w:lineRule="auto"/>
        <w:rPr>
          <w:sz w:val="20"/>
          <w:szCs w:val="20"/>
          <w:color w:val="auto"/>
        </w:rPr>
      </w:pPr>
      <w:r>
        <w:rPr>
          <w:rFonts w:ascii="Arial" w:cs="Arial" w:eastAsia="Arial" w:hAnsi="Arial"/>
          <w:sz w:val="17"/>
          <w:szCs w:val="17"/>
          <w:color w:val="auto"/>
        </w:rPr>
        <w:t>Proxy access for shareholders enables shareholders to put their own director candidates on the company ballot to see if they can be elected. A competitive election is good for everyone. This proposal can help ensure that our management will nominate directors with outstanding qualifications in order to avoid giving shareholders a reason to exercise their right to use proxy access.</w:t>
      </w:r>
    </w:p>
    <w:p>
      <w:pPr>
        <w:spacing w:after="0" w:line="191" w:lineRule="exact"/>
        <w:rPr>
          <w:sz w:val="20"/>
          <w:szCs w:val="20"/>
          <w:color w:val="auto"/>
        </w:rPr>
      </w:pPr>
    </w:p>
    <w:p>
      <w:pPr>
        <w:ind w:left="440" w:right="40"/>
        <w:spacing w:after="0" w:line="243" w:lineRule="auto"/>
        <w:rPr>
          <w:sz w:val="20"/>
          <w:szCs w:val="20"/>
          <w:color w:val="auto"/>
        </w:rPr>
      </w:pPr>
      <w:r>
        <w:rPr>
          <w:rFonts w:ascii="Arial" w:cs="Arial" w:eastAsia="Arial" w:hAnsi="Arial"/>
          <w:sz w:val="17"/>
          <w:szCs w:val="17"/>
          <w:color w:val="auto"/>
        </w:rPr>
        <w:t>As a practical matter any group attempting proxy access at Leidos Holdings should plan on the participation of 6% in stock to be prepared for Leidos Holdings challenging stock ownership by exploiting technical rules in regard to proof of stock ownership.</w:t>
      </w:r>
    </w:p>
    <w:p>
      <w:pPr>
        <w:spacing w:after="0" w:line="189" w:lineRule="exact"/>
        <w:rPr>
          <w:sz w:val="20"/>
          <w:szCs w:val="20"/>
          <w:color w:val="auto"/>
        </w:rPr>
      </w:pPr>
    </w:p>
    <w:p>
      <w:pPr>
        <w:ind w:left="440" w:right="200"/>
        <w:spacing w:after="0" w:line="237" w:lineRule="auto"/>
        <w:rPr>
          <w:sz w:val="20"/>
          <w:szCs w:val="20"/>
          <w:color w:val="auto"/>
        </w:rPr>
      </w:pPr>
      <w:r>
        <w:rPr>
          <w:rFonts w:ascii="Arial" w:cs="Arial" w:eastAsia="Arial" w:hAnsi="Arial"/>
          <w:sz w:val="17"/>
          <w:szCs w:val="17"/>
          <w:color w:val="auto"/>
        </w:rPr>
        <w:t>It is also good to increase the number of potential proxy access participants because the Leidos Holdings version of proxy access has a needless restriction that requires a candidate to obtain a 25% vote the first time he or she is on the ballot. This could disqualify a worthy candidate because shareholders might like the candidate but feel that the timing is not right. A year later shareholders could give a majority vote to such a candidate because they are then convinced that the timing is right.</w:t>
      </w:r>
    </w:p>
    <w:p>
      <w:pPr>
        <w:spacing w:after="0" w:line="194" w:lineRule="exact"/>
        <w:rPr>
          <w:sz w:val="20"/>
          <w:szCs w:val="20"/>
          <w:color w:val="auto"/>
        </w:rPr>
      </w:pPr>
    </w:p>
    <w:p>
      <w:pPr>
        <w:ind w:left="440"/>
        <w:spacing w:after="0" w:line="237" w:lineRule="auto"/>
        <w:rPr>
          <w:sz w:val="20"/>
          <w:szCs w:val="20"/>
          <w:color w:val="auto"/>
        </w:rPr>
      </w:pPr>
      <w:r>
        <w:rPr>
          <w:rFonts w:ascii="Arial" w:cs="Arial" w:eastAsia="Arial" w:hAnsi="Arial"/>
          <w:sz w:val="17"/>
          <w:szCs w:val="17"/>
          <w:color w:val="auto"/>
        </w:rPr>
        <w:t>Under this proposal it is likely that the number of shareholders who participate in the aggregation process would still be a modest number due to the administrative burden on shareholders to qualify as one of the aggregation participants. Plus it is easy for management to reject potential aggregating shareholders. The administrative burden on shareholders leads to a number of potential technical errors by shareholders that management can easily detect.</w:t>
      </w:r>
    </w:p>
    <w:p>
      <w:pPr>
        <w:spacing w:after="0" w:line="194" w:lineRule="exact"/>
        <w:rPr>
          <w:sz w:val="20"/>
          <w:szCs w:val="20"/>
          <w:color w:val="auto"/>
        </w:rPr>
      </w:pPr>
    </w:p>
    <w:p>
      <w:pPr>
        <w:ind w:left="440" w:right="580"/>
        <w:spacing w:after="0" w:line="243" w:lineRule="auto"/>
        <w:rPr>
          <w:sz w:val="20"/>
          <w:szCs w:val="20"/>
          <w:color w:val="auto"/>
        </w:rPr>
      </w:pPr>
      <w:r>
        <w:rPr>
          <w:rFonts w:ascii="Arial" w:cs="Arial" w:eastAsia="Arial" w:hAnsi="Arial"/>
          <w:sz w:val="17"/>
          <w:szCs w:val="17"/>
          <w:color w:val="auto"/>
        </w:rPr>
        <w:t>One objective of this proposal is to make the corporate governance of Leidos Holdings more competitive like the 2019 shareholder proposal that was supported by 92% of shares.</w:t>
      </w:r>
    </w:p>
    <w:p>
      <w:pPr>
        <w:spacing w:after="0" w:line="169"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Please vote yes:</w:t>
      </w:r>
    </w:p>
    <w:p>
      <w:pPr>
        <w:spacing w:after="0" w:line="198" w:lineRule="exact"/>
        <w:rPr>
          <w:sz w:val="20"/>
          <w:szCs w:val="20"/>
          <w:color w:val="auto"/>
        </w:rPr>
      </w:pPr>
    </w:p>
    <w:p>
      <w:pPr>
        <w:ind w:left="3120"/>
        <w:spacing w:after="0"/>
        <w:rPr>
          <w:sz w:val="20"/>
          <w:szCs w:val="20"/>
          <w:color w:val="auto"/>
        </w:rPr>
      </w:pPr>
      <w:r>
        <w:rPr>
          <w:rFonts w:ascii="Arial" w:cs="Arial" w:eastAsia="Arial" w:hAnsi="Arial"/>
          <w:sz w:val="17"/>
          <w:szCs w:val="17"/>
          <w:b w:val="1"/>
          <w:bCs w:val="1"/>
          <w:color w:val="auto"/>
        </w:rPr>
        <w:t>Make Shareholder Proxy Access More Accessible - Proposal 6</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Board of Directors’ Statement Against the Stockholder Proposal</w:t>
      </w:r>
    </w:p>
    <w:p>
      <w:pPr>
        <w:spacing w:after="0" w:line="218" w:lineRule="exact"/>
        <w:rPr>
          <w:sz w:val="20"/>
          <w:szCs w:val="20"/>
          <w:color w:val="auto"/>
        </w:rPr>
      </w:pPr>
    </w:p>
    <w:p>
      <w:pPr>
        <w:ind w:left="440" w:right="180"/>
        <w:spacing w:after="0" w:line="243" w:lineRule="auto"/>
        <w:rPr>
          <w:sz w:val="20"/>
          <w:szCs w:val="20"/>
          <w:color w:val="auto"/>
        </w:rPr>
      </w:pPr>
      <w:r>
        <w:rPr>
          <w:rFonts w:ascii="Arial" w:cs="Arial" w:eastAsia="Arial" w:hAnsi="Arial"/>
          <w:sz w:val="17"/>
          <w:szCs w:val="17"/>
          <w:color w:val="auto"/>
        </w:rPr>
        <w:t>The Board has carefully considered this proposal and believes it is not in the best interests of our stockholders. The Board recommends that you vote AGAINST this proposal for the following reasons:</w:t>
      </w:r>
    </w:p>
    <w:p>
      <w:pPr>
        <w:sectPr>
          <w:pgSz w:w="11900" w:h="16838" w:orient="portrait"/>
          <w:cols w:equalWidth="0" w:num="1">
            <w:col w:w="10780"/>
          </w:cols>
          <w:pgMar w:left="320" w:top="441" w:right="799" w:bottom="1440" w:gutter="0" w:footer="0" w:header="0"/>
        </w:sectPr>
      </w:pPr>
    </w:p>
    <w:p>
      <w:pPr>
        <w:spacing w:after="0" w:line="106"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existing proxy access bylaw is aligned with current best practices and strikes an appropriate balance of providing our stockholders with a useful proxy access process while balancing the interests of all of our stockholders. Our proxy access bylaw provision permits an eligible stockholder or a group of up to 20 stockholders who together have owned at least 3% of our outstanding common stock continuously for at least three years, to nominate for election by the stockholders up to the greater of two directors or 20% of the number of directors then in office. The feature of our proxy access provision that enables a group of up to 20 stockholders to aggregate their shares to reach the 3% ownership requirement is designed to make proxy access available to stockholders who do not individually meet the 3% threshold by allowing them to form groups (with a group of funds under common management and investment control treated as a single stockholder). The 20-stockholder limit on groups is intended to ensure that the proxy</w:t>
      </w:r>
    </w:p>
    <w:p>
      <w:pPr>
        <w:spacing w:after="0" w:line="117" w:lineRule="exact"/>
        <w:rPr>
          <w:sz w:val="20"/>
          <w:szCs w:val="20"/>
          <w:color w:val="auto"/>
        </w:rPr>
      </w:pPr>
    </w:p>
    <w:p>
      <w:pPr>
        <w:sectPr>
          <w:pgSz w:w="11900" w:h="16838" w:orient="portrait"/>
          <w:cols w:equalWidth="0" w:num="2">
            <w:col w:w="680" w:space="360"/>
            <w:col w:w="9740"/>
          </w:cols>
          <w:pgMar w:left="320" w:top="441" w:right="799" w:bottom="1440" w:gutter="0" w:footer="0" w:header="0"/>
          <w:type w:val="continuous"/>
        </w:sect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52</w:t>
        <w:tab/>
        <w:t>|</w:t>
        <w:tab/>
        <w:t>2020 Proxy Statement</w:t>
      </w:r>
    </w:p>
    <w:p>
      <w:pPr>
        <w:sectPr>
          <w:pgSz w:w="11900" w:h="16838" w:orient="portrait"/>
          <w:cols w:equalWidth="0" w:num="1">
            <w:col w:w="10780"/>
          </w:cols>
          <w:pgMar w:left="320" w:top="441" w:right="799" w:bottom="1440" w:gutter="0" w:footer="0" w:header="0"/>
          <w:type w:val="continuous"/>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Proposal 6 — Stockholder Proposal to Amend the Proxy Access Bylaw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ectPr>
          <w:pgSz w:w="11900" w:h="16838" w:orient="portrait"/>
          <w:cols w:equalWidth="0" w:num="1">
            <w:col w:w="10800"/>
          </w:cols>
          <w:pgMar w:left="320" w:top="441"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right="400"/>
        <w:spacing w:after="0" w:line="239" w:lineRule="auto"/>
        <w:rPr>
          <w:sz w:val="20"/>
          <w:szCs w:val="20"/>
          <w:color w:val="auto"/>
        </w:rPr>
      </w:pPr>
      <w:r>
        <w:rPr>
          <w:rFonts w:ascii="Arial" w:cs="Arial" w:eastAsia="Arial" w:hAnsi="Arial"/>
          <w:sz w:val="17"/>
          <w:szCs w:val="17"/>
          <w:color w:val="auto"/>
        </w:rPr>
        <w:t>access provision is available to stockholders that wish to form a group representing a reasonably sufficient economic stake in Leidos, and balances the rights of stockholders against the need to protect the proxy access process from becoming unduly burdensome and expensive to administer.</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Permitting an unlimited number of stockholders to aggregate their shares to meet the 3% stockholder ownership threshold would risk imposing a significant administrative burden on the company to review and verify eligibility information for an unlimited number of stockholders, without a commensurate increase in availability of proxy access to our stockholders.</w:t>
      </w:r>
    </w:p>
    <w:p>
      <w:pPr>
        <w:spacing w:after="0" w:line="102"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Our proxy access bylaw and aggregation limit are consistent with current best practices and the proxy access provisions commonly adopted by companies with proxy access bylaws. We believe that the existing limitation of 20 stockholders strikes an appropriate balance between the various considerations involved in providing proxy access rights, including making proxy access accessible to our stockholders, assuring that such access is administratively workable for both the company and our stockholders and reserving the ability to utilize proxy access to stockholders with a significant economic stake in the company.</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addition to making a meaningful proxy access right available to our stockholders, we have adopted an array of other strong corporate governance practices, detailed throughout our proxy statement, which assure that our stockholders have a voice in the nomination and election of our Board. All of our Board members are elected annually, and the Board expects an incumbent director to tender his or her resignation if such director receives a greater number of votes “against” his or her election than were voted “for” his or her election in an uncontested election. Further, all directors are subject to a mandatory retirement age. Stockholders may also recommend director nominees directly to our Corporate Governance and Ethics Committee or may utilize the advance notice provisions of our bylaws to nominate their own candidates outside of our proxy statement. Finally, we believe that stockholder engagement is an essential element of strong corporate governance and we actively engage with our investors to understand their perspectives on our company, including in respect of corporate governance matters. Accordingly, the Board believes the requested change to the company’s proxy access bylaw is both unnecessary and unwarranted.</w:t>
      </w:r>
    </w:p>
    <w:p>
      <w:pPr>
        <w:spacing w:after="0" w:line="175" w:lineRule="exact"/>
        <w:rPr>
          <w:sz w:val="20"/>
          <w:szCs w:val="20"/>
          <w:color w:val="auto"/>
        </w:rPr>
      </w:pPr>
    </w:p>
    <w:p>
      <w:pPr>
        <w:sectPr>
          <w:pgSz w:w="11900" w:h="16838" w:orient="portrait"/>
          <w:cols w:equalWidth="0" w:num="2">
            <w:col w:w="680" w:space="360"/>
            <w:col w:w="9760"/>
          </w:cols>
          <w:pgMar w:left="320" w:top="441" w:right="779" w:bottom="1440" w:gutter="0" w:footer="0" w:header="0"/>
          <w:type w:val="continuous"/>
        </w:sectPr>
      </w:pPr>
    </w:p>
    <w:p>
      <w:pPr>
        <w:ind w:left="440"/>
        <w:spacing w:after="0"/>
        <w:rPr>
          <w:sz w:val="20"/>
          <w:szCs w:val="20"/>
          <w:color w:val="auto"/>
        </w:rPr>
      </w:pPr>
      <w:r>
        <w:rPr>
          <w:rFonts w:ascii="Arial" w:cs="Arial" w:eastAsia="Arial" w:hAnsi="Arial"/>
          <w:sz w:val="17"/>
          <w:szCs w:val="17"/>
          <w:b w:val="1"/>
          <w:bCs w:val="1"/>
          <w:color w:val="483E65"/>
        </w:rPr>
        <w:t>Vote Required for Approval</w:t>
      </w:r>
    </w:p>
    <w:p>
      <w:pPr>
        <w:spacing w:after="0" w:line="218" w:lineRule="exact"/>
        <w:rPr>
          <w:sz w:val="20"/>
          <w:szCs w:val="20"/>
          <w:color w:val="auto"/>
        </w:rPr>
      </w:pPr>
    </w:p>
    <w:p>
      <w:pPr>
        <w:ind w:left="440"/>
        <w:spacing w:after="0" w:line="254" w:lineRule="auto"/>
        <w:rPr>
          <w:sz w:val="20"/>
          <w:szCs w:val="20"/>
          <w:color w:val="auto"/>
        </w:rPr>
      </w:pPr>
      <w:r>
        <w:rPr>
          <w:rFonts w:ascii="Arial" w:cs="Arial" w:eastAsia="Arial" w:hAnsi="Arial"/>
          <w:sz w:val="16"/>
          <w:szCs w:val="16"/>
          <w:color w:val="auto"/>
        </w:rPr>
        <w:t>The affirmative vote of the holders of a majority of the voting power of common stock, present or represented and entitled to vote at the annual meeting is required to approve the proposal. Abstentions have the effect of a vote against the proposal, and broker “non-votes” have no effect on the outcome of the proposal. Shares of common stock represented by properly executed, timely received and unrevoked proxies will be voted in accordance with the instructions indicated thereon. In the absence of specific instructions, properly executed, timely received and unrevoked proxies will be voted “AGAINST” the proposal. The proposal is not binding on the Board or the company.</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Board Recommendation</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483E65"/>
        </w:rPr>
        <w:t>The Board of Directors unanimously recommends a vote AGAINST this proposal.</w:t>
      </w:r>
    </w:p>
    <w:p>
      <w:pPr>
        <w:spacing w:after="0" w:line="139"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53</w:t>
      </w:r>
    </w:p>
    <w:p>
      <w:pPr>
        <w:sectPr>
          <w:pgSz w:w="11900" w:h="16838" w:orient="portrait"/>
          <w:cols w:equalWidth="0" w:num="1">
            <w:col w:w="10800"/>
          </w:cols>
          <w:pgMar w:left="320" w:top="441" w:right="779" w:bottom="1440" w:gutter="0" w:footer="0" w:header="0"/>
          <w:type w:val="continuous"/>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Stock Ownership of Certain Beneficial Owners</w:t>
      </w:r>
    </w:p>
    <w:p>
      <w:pPr>
        <w:spacing w:after="0" w:line="218" w:lineRule="exact"/>
        <w:rPr>
          <w:sz w:val="20"/>
          <w:szCs w:val="20"/>
          <w:color w:val="auto"/>
        </w:rPr>
      </w:pPr>
    </w:p>
    <w:p>
      <w:pPr>
        <w:ind w:left="440" w:right="60"/>
        <w:spacing w:after="0" w:line="243" w:lineRule="auto"/>
        <w:rPr>
          <w:sz w:val="20"/>
          <w:szCs w:val="20"/>
          <w:color w:val="auto"/>
        </w:rPr>
      </w:pPr>
      <w:r>
        <w:rPr>
          <w:rFonts w:ascii="Arial" w:cs="Arial" w:eastAsia="Arial" w:hAnsi="Arial"/>
          <w:sz w:val="17"/>
          <w:szCs w:val="17"/>
          <w:color w:val="auto"/>
        </w:rPr>
        <w:t>The following table provides information regarding the beneficial ownership of each person known by us to beneficially own more than five percent of Leidos common stock.</w:t>
      </w:r>
    </w:p>
    <w:p>
      <w:pPr>
        <w:spacing w:after="0" w:line="209"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6680" w:type="dxa"/>
            <w:vAlign w:val="bottom"/>
          </w:tcPr>
          <w:p>
            <w:pPr>
              <w:spacing w:after="0"/>
              <w:rPr>
                <w:sz w:val="16"/>
                <w:szCs w:val="16"/>
                <w:color w:val="auto"/>
              </w:rPr>
            </w:pPr>
          </w:p>
        </w:tc>
        <w:tc>
          <w:tcPr>
            <w:tcW w:w="2260" w:type="dxa"/>
            <w:vAlign w:val="bottom"/>
          </w:tcPr>
          <w:p>
            <w:pPr>
              <w:jc w:val="right"/>
              <w:ind w:right="135"/>
              <w:spacing w:after="0"/>
              <w:rPr>
                <w:sz w:val="20"/>
                <w:szCs w:val="20"/>
                <w:color w:val="auto"/>
              </w:rPr>
            </w:pPr>
            <w:r>
              <w:rPr>
                <w:rFonts w:ascii="Arial" w:cs="Arial" w:eastAsia="Arial" w:hAnsi="Arial"/>
                <w:sz w:val="17"/>
                <w:szCs w:val="17"/>
                <w:color w:val="483E65"/>
              </w:rPr>
              <w:t>Amount and nature of</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100"/>
              <w:spacing w:after="0"/>
              <w:rPr>
                <w:sz w:val="20"/>
                <w:szCs w:val="20"/>
                <w:color w:val="auto"/>
              </w:rPr>
            </w:pPr>
            <w:r>
              <w:rPr>
                <w:rFonts w:ascii="Arial" w:cs="Arial" w:eastAsia="Arial" w:hAnsi="Arial"/>
                <w:sz w:val="17"/>
                <w:szCs w:val="17"/>
                <w:color w:val="483E65"/>
              </w:rPr>
              <w:t>Name and address of beneficial owner</w:t>
            </w:r>
          </w:p>
        </w:tc>
        <w:tc>
          <w:tcPr>
            <w:tcW w:w="2260" w:type="dxa"/>
            <w:vAlign w:val="bottom"/>
          </w:tcPr>
          <w:p>
            <w:pPr>
              <w:jc w:val="right"/>
              <w:ind w:right="195"/>
              <w:spacing w:after="0"/>
              <w:rPr>
                <w:sz w:val="20"/>
                <w:szCs w:val="20"/>
                <w:color w:val="auto"/>
              </w:rPr>
            </w:pPr>
            <w:r>
              <w:rPr>
                <w:rFonts w:ascii="Arial" w:cs="Arial" w:eastAsia="Arial" w:hAnsi="Arial"/>
                <w:sz w:val="17"/>
                <w:szCs w:val="17"/>
                <w:color w:val="483E65"/>
              </w:rPr>
              <w:t>beneficial ownership</w:t>
            </w:r>
          </w:p>
        </w:tc>
        <w:tc>
          <w:tcPr>
            <w:tcW w:w="1440" w:type="dxa"/>
            <w:vAlign w:val="bottom"/>
          </w:tcPr>
          <w:p>
            <w:pPr>
              <w:ind w:left="220"/>
              <w:spacing w:after="0"/>
              <w:rPr>
                <w:sz w:val="20"/>
                <w:szCs w:val="20"/>
                <w:color w:val="auto"/>
              </w:rPr>
            </w:pPr>
            <w:r>
              <w:rPr>
                <w:rFonts w:ascii="Arial" w:cs="Arial" w:eastAsia="Arial" w:hAnsi="Arial"/>
                <w:sz w:val="17"/>
                <w:szCs w:val="17"/>
                <w:color w:val="483E65"/>
                <w:w w:val="99"/>
              </w:rPr>
              <w:t>Percent of class</w:t>
            </w:r>
          </w:p>
        </w:tc>
        <w:tc>
          <w:tcPr>
            <w:tcW w:w="0" w:type="dxa"/>
            <w:vAlign w:val="bottom"/>
          </w:tcPr>
          <w:p>
            <w:pPr>
              <w:spacing w:after="0"/>
              <w:rPr>
                <w:sz w:val="1"/>
                <w:szCs w:val="1"/>
                <w:color w:val="auto"/>
              </w:rPr>
            </w:pPr>
          </w:p>
        </w:tc>
      </w:tr>
      <w:tr>
        <w:trPr>
          <w:trHeight w:val="39"/>
        </w:trPr>
        <w:tc>
          <w:tcPr>
            <w:tcW w:w="6680" w:type="dxa"/>
            <w:vAlign w:val="bottom"/>
            <w:tcBorders>
              <w:bottom w:val="single" w:sz="8" w:color="483E65"/>
            </w:tcBorders>
          </w:tcPr>
          <w:p>
            <w:pPr>
              <w:spacing w:after="0"/>
              <w:rPr>
                <w:sz w:val="3"/>
                <w:szCs w:val="3"/>
                <w:color w:val="auto"/>
              </w:rPr>
            </w:pPr>
          </w:p>
        </w:tc>
        <w:tc>
          <w:tcPr>
            <w:tcW w:w="2260" w:type="dxa"/>
            <w:vAlign w:val="bottom"/>
            <w:tcBorders>
              <w:bottom w:val="single" w:sz="8" w:color="483E65"/>
            </w:tcBorders>
          </w:tcPr>
          <w:p>
            <w:pPr>
              <w:spacing w:after="0"/>
              <w:rPr>
                <w:sz w:val="3"/>
                <w:szCs w:val="3"/>
                <w:color w:val="auto"/>
              </w:rPr>
            </w:pPr>
          </w:p>
        </w:tc>
        <w:tc>
          <w:tcPr>
            <w:tcW w:w="1440" w:type="dxa"/>
            <w:vAlign w:val="bottom"/>
            <w:tcBorders>
              <w:bottom w:val="single" w:sz="8" w:color="483E65"/>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680" w:type="dxa"/>
            <w:vAlign w:val="bottom"/>
          </w:tcPr>
          <w:p>
            <w:pPr>
              <w:ind w:left="40"/>
              <w:spacing w:after="0" w:line="183" w:lineRule="exact"/>
              <w:rPr>
                <w:sz w:val="20"/>
                <w:szCs w:val="20"/>
                <w:color w:val="auto"/>
              </w:rPr>
            </w:pPr>
            <w:r>
              <w:rPr>
                <w:rFonts w:ascii="Arial" w:cs="Arial" w:eastAsia="Arial" w:hAnsi="Arial"/>
                <w:sz w:val="17"/>
                <w:szCs w:val="17"/>
                <w:color w:val="auto"/>
              </w:rPr>
              <w:t>The Vanguard Group</w:t>
            </w:r>
          </w:p>
        </w:tc>
        <w:tc>
          <w:tcPr>
            <w:tcW w:w="2260" w:type="dxa"/>
            <w:vAlign w:val="bottom"/>
            <w:vMerge w:val="restart"/>
          </w:tcPr>
          <w:p>
            <w:pPr>
              <w:jc w:val="right"/>
              <w:ind w:right="135"/>
              <w:spacing w:after="0"/>
              <w:rPr>
                <w:sz w:val="20"/>
                <w:szCs w:val="20"/>
                <w:color w:val="auto"/>
              </w:rPr>
            </w:pPr>
            <w:r>
              <w:rPr>
                <w:rFonts w:ascii="Arial" w:cs="Arial" w:eastAsia="Arial" w:hAnsi="Arial"/>
                <w:sz w:val="17"/>
                <w:szCs w:val="17"/>
                <w:color w:val="auto"/>
              </w:rPr>
              <w:t>15,832,912 shares</w:t>
            </w:r>
            <w:r>
              <w:rPr>
                <w:rFonts w:ascii="Arial" w:cs="Arial" w:eastAsia="Arial" w:hAnsi="Arial"/>
                <w:sz w:val="14"/>
                <w:szCs w:val="14"/>
                <w:color w:val="auto"/>
              </w:rPr>
              <w:t>(1)</w:t>
            </w:r>
          </w:p>
        </w:tc>
        <w:tc>
          <w:tcPr>
            <w:tcW w:w="1440" w:type="dxa"/>
            <w:vAlign w:val="bottom"/>
            <w:vMerge w:val="restart"/>
          </w:tcPr>
          <w:p>
            <w:pPr>
              <w:jc w:val="center"/>
              <w:ind w:left="135"/>
              <w:spacing w:after="0"/>
              <w:rPr>
                <w:sz w:val="20"/>
                <w:szCs w:val="20"/>
                <w:color w:val="auto"/>
              </w:rPr>
            </w:pPr>
            <w:r>
              <w:rPr>
                <w:rFonts w:ascii="Arial" w:cs="Arial" w:eastAsia="Arial" w:hAnsi="Arial"/>
                <w:sz w:val="17"/>
                <w:szCs w:val="17"/>
                <w:color w:val="auto"/>
              </w:rPr>
              <w:t>11.18%</w:t>
            </w:r>
          </w:p>
        </w:tc>
        <w:tc>
          <w:tcPr>
            <w:tcW w:w="0" w:type="dxa"/>
            <w:vAlign w:val="bottom"/>
          </w:tcPr>
          <w:p>
            <w:pPr>
              <w:spacing w:after="0"/>
              <w:rPr>
                <w:sz w:val="1"/>
                <w:szCs w:val="1"/>
                <w:color w:val="auto"/>
              </w:rPr>
            </w:pPr>
          </w:p>
        </w:tc>
      </w:tr>
      <w:tr>
        <w:trPr>
          <w:trHeight w:val="127"/>
        </w:trPr>
        <w:tc>
          <w:tcPr>
            <w:tcW w:w="6680" w:type="dxa"/>
            <w:vAlign w:val="bottom"/>
            <w:vMerge w:val="restart"/>
          </w:tcPr>
          <w:p>
            <w:pPr>
              <w:ind w:left="40"/>
              <w:spacing w:after="0"/>
              <w:rPr>
                <w:sz w:val="20"/>
                <w:szCs w:val="20"/>
                <w:color w:val="auto"/>
              </w:rPr>
            </w:pPr>
            <w:r>
              <w:rPr>
                <w:rFonts w:ascii="Arial" w:cs="Arial" w:eastAsia="Arial" w:hAnsi="Arial"/>
                <w:sz w:val="17"/>
                <w:szCs w:val="17"/>
                <w:color w:val="auto"/>
              </w:rPr>
              <w:t>100 Vanguard Boulevard, Malvern, PA 19355</w:t>
            </w:r>
          </w:p>
        </w:tc>
        <w:tc>
          <w:tcPr>
            <w:tcW w:w="22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6680" w:type="dxa"/>
            <w:vAlign w:val="bottom"/>
            <w:vMerge w:val="continue"/>
          </w:tcPr>
          <w:p>
            <w:pPr>
              <w:spacing w:after="0"/>
              <w:rPr>
                <w:sz w:val="6"/>
                <w:szCs w:val="6"/>
                <w:color w:val="auto"/>
              </w:rPr>
            </w:pPr>
          </w:p>
        </w:tc>
        <w:tc>
          <w:tcPr>
            <w:tcW w:w="2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ACABA7"/>
          </w:tcPr>
          <w:p>
            <w:pPr>
              <w:ind w:left="40"/>
              <w:spacing w:after="0"/>
              <w:rPr>
                <w:sz w:val="20"/>
                <w:szCs w:val="20"/>
                <w:color w:val="auto"/>
              </w:rPr>
            </w:pPr>
            <w:r>
              <w:rPr>
                <w:rFonts w:ascii="Arial" w:cs="Arial" w:eastAsia="Arial" w:hAnsi="Arial"/>
                <w:sz w:val="17"/>
                <w:szCs w:val="17"/>
                <w:color w:val="auto"/>
              </w:rPr>
              <w:t>BlackRock, Inc.</w:t>
            </w:r>
          </w:p>
        </w:tc>
        <w:tc>
          <w:tcPr>
            <w:tcW w:w="2260" w:type="dxa"/>
            <w:vAlign w:val="bottom"/>
            <w:vMerge w:val="restart"/>
            <w:shd w:val="clear" w:color="auto" w:fill="ACABA7"/>
          </w:tcPr>
          <w:p>
            <w:pPr>
              <w:jc w:val="right"/>
              <w:ind w:right="135"/>
              <w:spacing w:after="0"/>
              <w:rPr>
                <w:sz w:val="20"/>
                <w:szCs w:val="20"/>
                <w:color w:val="auto"/>
              </w:rPr>
            </w:pPr>
            <w:r>
              <w:rPr>
                <w:rFonts w:ascii="Arial" w:cs="Arial" w:eastAsia="Arial" w:hAnsi="Arial"/>
                <w:sz w:val="17"/>
                <w:szCs w:val="17"/>
                <w:color w:val="auto"/>
              </w:rPr>
              <w:t>9,147,757 shares</w:t>
            </w:r>
            <w:r>
              <w:rPr>
                <w:rFonts w:ascii="Arial" w:cs="Arial" w:eastAsia="Arial" w:hAnsi="Arial"/>
                <w:sz w:val="14"/>
                <w:szCs w:val="14"/>
                <w:color w:val="auto"/>
              </w:rPr>
              <w:t>(2)</w:t>
            </w:r>
          </w:p>
        </w:tc>
        <w:tc>
          <w:tcPr>
            <w:tcW w:w="1440" w:type="dxa"/>
            <w:vAlign w:val="bottom"/>
            <w:vMerge w:val="restart"/>
            <w:shd w:val="clear" w:color="auto" w:fill="ACABA7"/>
          </w:tcPr>
          <w:p>
            <w:pPr>
              <w:jc w:val="center"/>
              <w:ind w:left="115"/>
              <w:spacing w:after="0"/>
              <w:rPr>
                <w:sz w:val="20"/>
                <w:szCs w:val="20"/>
                <w:color w:val="auto"/>
              </w:rPr>
            </w:pPr>
            <w:r>
              <w:rPr>
                <w:rFonts w:ascii="Arial" w:cs="Arial" w:eastAsia="Arial" w:hAnsi="Arial"/>
                <w:sz w:val="17"/>
                <w:szCs w:val="17"/>
                <w:color w:val="auto"/>
                <w:w w:val="99"/>
              </w:rPr>
              <w:t>6.50%</w:t>
            </w:r>
          </w:p>
        </w:tc>
        <w:tc>
          <w:tcPr>
            <w:tcW w:w="0" w:type="dxa"/>
            <w:vAlign w:val="bottom"/>
          </w:tcPr>
          <w:p>
            <w:pPr>
              <w:spacing w:after="0"/>
              <w:rPr>
                <w:sz w:val="1"/>
                <w:szCs w:val="1"/>
                <w:color w:val="auto"/>
              </w:rPr>
            </w:pPr>
          </w:p>
        </w:tc>
      </w:tr>
      <w:tr>
        <w:trPr>
          <w:trHeight w:val="127"/>
        </w:trPr>
        <w:tc>
          <w:tcPr>
            <w:tcW w:w="6680" w:type="dxa"/>
            <w:vAlign w:val="bottom"/>
            <w:vMerge w:val="restart"/>
            <w:shd w:val="clear" w:color="auto" w:fill="ACABA7"/>
          </w:tcPr>
          <w:p>
            <w:pPr>
              <w:ind w:left="40"/>
              <w:spacing w:after="0"/>
              <w:rPr>
                <w:sz w:val="20"/>
                <w:szCs w:val="20"/>
                <w:color w:val="auto"/>
              </w:rPr>
            </w:pPr>
            <w:r>
              <w:rPr>
                <w:rFonts w:ascii="Arial" w:cs="Arial" w:eastAsia="Arial" w:hAnsi="Arial"/>
                <w:sz w:val="17"/>
                <w:szCs w:val="17"/>
                <w:color w:val="auto"/>
              </w:rPr>
              <w:t>55 East 52nd Street, New York, NY 10055</w:t>
            </w:r>
          </w:p>
        </w:tc>
        <w:tc>
          <w:tcPr>
            <w:tcW w:w="2260" w:type="dxa"/>
            <w:vAlign w:val="bottom"/>
            <w:vMerge w:val="continue"/>
            <w:shd w:val="clear" w:color="auto" w:fill="ACABA7"/>
          </w:tcPr>
          <w:p>
            <w:pPr>
              <w:spacing w:after="0"/>
              <w:rPr>
                <w:sz w:val="11"/>
                <w:szCs w:val="11"/>
                <w:color w:val="auto"/>
              </w:rPr>
            </w:pPr>
          </w:p>
        </w:tc>
        <w:tc>
          <w:tcPr>
            <w:tcW w:w="1440" w:type="dxa"/>
            <w:vAlign w:val="bottom"/>
            <w:vMerge w:val="continue"/>
            <w:shd w:val="clear" w:color="auto" w:fill="ACABA7"/>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6680" w:type="dxa"/>
            <w:vAlign w:val="bottom"/>
            <w:vMerge w:val="continue"/>
            <w:shd w:val="clear" w:color="auto" w:fill="ACABA7"/>
          </w:tcPr>
          <w:p>
            <w:pPr>
              <w:spacing w:after="0"/>
              <w:rPr>
                <w:sz w:val="6"/>
                <w:szCs w:val="6"/>
                <w:color w:val="auto"/>
              </w:rPr>
            </w:pPr>
          </w:p>
        </w:tc>
        <w:tc>
          <w:tcPr>
            <w:tcW w:w="2260" w:type="dxa"/>
            <w:vAlign w:val="bottom"/>
            <w:shd w:val="clear" w:color="auto" w:fill="ACABA7"/>
          </w:tcPr>
          <w:p>
            <w:pPr>
              <w:spacing w:after="0"/>
              <w:rPr>
                <w:sz w:val="6"/>
                <w:szCs w:val="6"/>
                <w:color w:val="auto"/>
              </w:rPr>
            </w:pPr>
          </w:p>
        </w:tc>
        <w:tc>
          <w:tcPr>
            <w:tcW w:w="1440" w:type="dxa"/>
            <w:vAlign w:val="bottom"/>
            <w:shd w:val="clear" w:color="auto" w:fill="ACABA7"/>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6680" w:type="dxa"/>
            <w:vAlign w:val="bottom"/>
          </w:tcPr>
          <w:p>
            <w:pPr>
              <w:ind w:left="40"/>
              <w:spacing w:after="0"/>
              <w:rPr>
                <w:sz w:val="20"/>
                <w:szCs w:val="20"/>
                <w:color w:val="auto"/>
              </w:rPr>
            </w:pPr>
            <w:r>
              <w:rPr>
                <w:rFonts w:ascii="Arial" w:cs="Arial" w:eastAsia="Arial" w:hAnsi="Arial"/>
                <w:sz w:val="17"/>
                <w:szCs w:val="17"/>
                <w:color w:val="auto"/>
              </w:rPr>
              <w:t>Vanguard Fiduciary Trust Company</w:t>
            </w:r>
          </w:p>
        </w:tc>
        <w:tc>
          <w:tcPr>
            <w:tcW w:w="2260" w:type="dxa"/>
            <w:vAlign w:val="bottom"/>
            <w:vMerge w:val="restart"/>
          </w:tcPr>
          <w:p>
            <w:pPr>
              <w:jc w:val="right"/>
              <w:ind w:right="135"/>
              <w:spacing w:after="0"/>
              <w:rPr>
                <w:sz w:val="20"/>
                <w:szCs w:val="20"/>
                <w:color w:val="auto"/>
              </w:rPr>
            </w:pPr>
            <w:r>
              <w:rPr>
                <w:rFonts w:ascii="Arial" w:cs="Arial" w:eastAsia="Arial" w:hAnsi="Arial"/>
                <w:sz w:val="17"/>
                <w:szCs w:val="17"/>
                <w:color w:val="auto"/>
              </w:rPr>
              <w:t>7,469,275 shares</w:t>
            </w:r>
            <w:r>
              <w:rPr>
                <w:rFonts w:ascii="Arial" w:cs="Arial" w:eastAsia="Arial" w:hAnsi="Arial"/>
                <w:sz w:val="14"/>
                <w:szCs w:val="14"/>
                <w:color w:val="auto"/>
              </w:rPr>
              <w:t>(3)</w:t>
            </w:r>
          </w:p>
        </w:tc>
        <w:tc>
          <w:tcPr>
            <w:tcW w:w="1440" w:type="dxa"/>
            <w:vAlign w:val="bottom"/>
            <w:vMerge w:val="restart"/>
          </w:tcPr>
          <w:p>
            <w:pPr>
              <w:jc w:val="center"/>
              <w:ind w:left="115"/>
              <w:spacing w:after="0"/>
              <w:rPr>
                <w:sz w:val="20"/>
                <w:szCs w:val="20"/>
                <w:color w:val="auto"/>
              </w:rPr>
            </w:pPr>
            <w:r>
              <w:rPr>
                <w:rFonts w:ascii="Arial" w:cs="Arial" w:eastAsia="Arial" w:hAnsi="Arial"/>
                <w:sz w:val="17"/>
                <w:szCs w:val="17"/>
                <w:color w:val="auto"/>
                <w:w w:val="99"/>
              </w:rPr>
              <w:t>5.28%</w:t>
            </w:r>
          </w:p>
        </w:tc>
        <w:tc>
          <w:tcPr>
            <w:tcW w:w="0" w:type="dxa"/>
            <w:vAlign w:val="bottom"/>
          </w:tcPr>
          <w:p>
            <w:pPr>
              <w:spacing w:after="0"/>
              <w:rPr>
                <w:sz w:val="1"/>
                <w:szCs w:val="1"/>
                <w:color w:val="auto"/>
              </w:rPr>
            </w:pPr>
          </w:p>
        </w:tc>
      </w:tr>
      <w:tr>
        <w:trPr>
          <w:trHeight w:val="127"/>
        </w:trPr>
        <w:tc>
          <w:tcPr>
            <w:tcW w:w="6680" w:type="dxa"/>
            <w:vAlign w:val="bottom"/>
            <w:vMerge w:val="restart"/>
          </w:tcPr>
          <w:p>
            <w:pPr>
              <w:ind w:left="40"/>
              <w:spacing w:after="0"/>
              <w:rPr>
                <w:sz w:val="20"/>
                <w:szCs w:val="20"/>
                <w:color w:val="auto"/>
              </w:rPr>
            </w:pPr>
            <w:r>
              <w:rPr>
                <w:rFonts w:ascii="Arial" w:cs="Arial" w:eastAsia="Arial" w:hAnsi="Arial"/>
                <w:sz w:val="17"/>
                <w:szCs w:val="17"/>
                <w:color w:val="auto"/>
              </w:rPr>
              <w:t>500 Admiral Nelson Boulevard, Malvern, PA 19355</w:t>
            </w:r>
          </w:p>
        </w:tc>
        <w:tc>
          <w:tcPr>
            <w:tcW w:w="22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6680" w:type="dxa"/>
            <w:vAlign w:val="bottom"/>
            <w:vMerge w:val="continue"/>
          </w:tcPr>
          <w:p>
            <w:pPr>
              <w:spacing w:after="0"/>
              <w:rPr>
                <w:sz w:val="6"/>
                <w:szCs w:val="6"/>
                <w:color w:val="auto"/>
              </w:rPr>
            </w:pPr>
          </w:p>
        </w:tc>
        <w:tc>
          <w:tcPr>
            <w:tcW w:w="2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ACABA7"/>
          </w:tcPr>
          <w:p>
            <w:pPr>
              <w:ind w:left="40"/>
              <w:spacing w:after="0"/>
              <w:rPr>
                <w:sz w:val="20"/>
                <w:szCs w:val="20"/>
                <w:color w:val="auto"/>
              </w:rPr>
            </w:pPr>
            <w:r>
              <w:rPr>
                <w:rFonts w:ascii="Arial" w:cs="Arial" w:eastAsia="Arial" w:hAnsi="Arial"/>
                <w:sz w:val="17"/>
                <w:szCs w:val="17"/>
                <w:color w:val="auto"/>
              </w:rPr>
              <w:t>JP Morgan Chase &amp; Co.</w:t>
            </w:r>
          </w:p>
        </w:tc>
        <w:tc>
          <w:tcPr>
            <w:tcW w:w="2260" w:type="dxa"/>
            <w:vAlign w:val="bottom"/>
            <w:vMerge w:val="restart"/>
            <w:shd w:val="clear" w:color="auto" w:fill="ACABA7"/>
          </w:tcPr>
          <w:p>
            <w:pPr>
              <w:jc w:val="right"/>
              <w:ind w:right="135"/>
              <w:spacing w:after="0"/>
              <w:rPr>
                <w:sz w:val="20"/>
                <w:szCs w:val="20"/>
                <w:color w:val="auto"/>
              </w:rPr>
            </w:pPr>
            <w:r>
              <w:rPr>
                <w:rFonts w:ascii="Arial" w:cs="Arial" w:eastAsia="Arial" w:hAnsi="Arial"/>
                <w:sz w:val="17"/>
                <w:szCs w:val="17"/>
                <w:color w:val="auto"/>
              </w:rPr>
              <w:t>7,404,490 shares</w:t>
            </w:r>
            <w:r>
              <w:rPr>
                <w:rFonts w:ascii="Arial" w:cs="Arial" w:eastAsia="Arial" w:hAnsi="Arial"/>
                <w:sz w:val="14"/>
                <w:szCs w:val="14"/>
                <w:color w:val="auto"/>
              </w:rPr>
              <w:t>(4)</w:t>
            </w:r>
          </w:p>
        </w:tc>
        <w:tc>
          <w:tcPr>
            <w:tcW w:w="1440" w:type="dxa"/>
            <w:vAlign w:val="bottom"/>
            <w:vMerge w:val="restart"/>
            <w:shd w:val="clear" w:color="auto" w:fill="ACABA7"/>
          </w:tcPr>
          <w:p>
            <w:pPr>
              <w:jc w:val="center"/>
              <w:ind w:left="115"/>
              <w:spacing w:after="0"/>
              <w:rPr>
                <w:sz w:val="20"/>
                <w:szCs w:val="20"/>
                <w:color w:val="auto"/>
              </w:rPr>
            </w:pPr>
            <w:r>
              <w:rPr>
                <w:rFonts w:ascii="Arial" w:cs="Arial" w:eastAsia="Arial" w:hAnsi="Arial"/>
                <w:sz w:val="17"/>
                <w:szCs w:val="17"/>
                <w:color w:val="auto"/>
                <w:w w:val="99"/>
              </w:rPr>
              <w:t>5.20%</w:t>
            </w:r>
          </w:p>
        </w:tc>
        <w:tc>
          <w:tcPr>
            <w:tcW w:w="0" w:type="dxa"/>
            <w:vAlign w:val="bottom"/>
          </w:tcPr>
          <w:p>
            <w:pPr>
              <w:spacing w:after="0"/>
              <w:rPr>
                <w:sz w:val="1"/>
                <w:szCs w:val="1"/>
                <w:color w:val="auto"/>
              </w:rPr>
            </w:pPr>
          </w:p>
        </w:tc>
      </w:tr>
      <w:tr>
        <w:trPr>
          <w:trHeight w:val="127"/>
        </w:trPr>
        <w:tc>
          <w:tcPr>
            <w:tcW w:w="6680" w:type="dxa"/>
            <w:vAlign w:val="bottom"/>
            <w:vMerge w:val="restart"/>
            <w:shd w:val="clear" w:color="auto" w:fill="ACABA7"/>
          </w:tcPr>
          <w:p>
            <w:pPr>
              <w:ind w:left="40"/>
              <w:spacing w:after="0"/>
              <w:rPr>
                <w:sz w:val="20"/>
                <w:szCs w:val="20"/>
                <w:color w:val="auto"/>
              </w:rPr>
            </w:pPr>
            <w:r>
              <w:rPr>
                <w:rFonts w:ascii="Arial" w:cs="Arial" w:eastAsia="Arial" w:hAnsi="Arial"/>
                <w:sz w:val="17"/>
                <w:szCs w:val="17"/>
                <w:color w:val="auto"/>
              </w:rPr>
              <w:t>383 Madison Avenue, New York, NY 10179</w:t>
            </w:r>
          </w:p>
        </w:tc>
        <w:tc>
          <w:tcPr>
            <w:tcW w:w="2260" w:type="dxa"/>
            <w:vAlign w:val="bottom"/>
            <w:vMerge w:val="continue"/>
            <w:shd w:val="clear" w:color="auto" w:fill="ACABA7"/>
          </w:tcPr>
          <w:p>
            <w:pPr>
              <w:spacing w:after="0"/>
              <w:rPr>
                <w:sz w:val="11"/>
                <w:szCs w:val="11"/>
                <w:color w:val="auto"/>
              </w:rPr>
            </w:pPr>
          </w:p>
        </w:tc>
        <w:tc>
          <w:tcPr>
            <w:tcW w:w="1440" w:type="dxa"/>
            <w:vAlign w:val="bottom"/>
            <w:vMerge w:val="continue"/>
            <w:shd w:val="clear" w:color="auto" w:fill="ACABA7"/>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6680" w:type="dxa"/>
            <w:vAlign w:val="bottom"/>
            <w:vMerge w:val="continue"/>
            <w:shd w:val="clear" w:color="auto" w:fill="ACABA7"/>
          </w:tcPr>
          <w:p>
            <w:pPr>
              <w:spacing w:after="0"/>
              <w:rPr>
                <w:sz w:val="6"/>
                <w:szCs w:val="6"/>
                <w:color w:val="auto"/>
              </w:rPr>
            </w:pPr>
          </w:p>
        </w:tc>
        <w:tc>
          <w:tcPr>
            <w:tcW w:w="2260" w:type="dxa"/>
            <w:vAlign w:val="bottom"/>
            <w:shd w:val="clear" w:color="auto" w:fill="ACABA7"/>
          </w:tcPr>
          <w:p>
            <w:pPr>
              <w:spacing w:after="0"/>
              <w:rPr>
                <w:sz w:val="6"/>
                <w:szCs w:val="6"/>
                <w:color w:val="auto"/>
              </w:rPr>
            </w:pPr>
          </w:p>
        </w:tc>
        <w:tc>
          <w:tcPr>
            <w:tcW w:w="1440" w:type="dxa"/>
            <w:vAlign w:val="bottom"/>
            <w:shd w:val="clear" w:color="auto" w:fill="ACABA7"/>
          </w:tcPr>
          <w:p>
            <w:pPr>
              <w:spacing w:after="0"/>
              <w:rPr>
                <w:sz w:val="6"/>
                <w:szCs w:val="6"/>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940" w:right="200" w:hanging="500"/>
        <w:spacing w:after="0" w:line="237" w:lineRule="auto"/>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Information shown is based on information reported by the filer on a Schedule 13G/A filed with the SEC on February 12, 2020 in which The Vanguard Group, an investment adviser filing on behalf of itself and two wholly owned subsidiaries, reported that it has sole voting power over 195,211 shares, shared voting power over 49,325 shares, sole dispositive power over 15,597,618 shares and shared dispositive power over 235,294 shares.</w:t>
      </w:r>
    </w:p>
    <w:p>
      <w:pPr>
        <w:spacing w:after="0" w:line="104" w:lineRule="exact"/>
        <w:rPr>
          <w:rFonts w:ascii="Arial" w:cs="Arial" w:eastAsia="Arial" w:hAnsi="Arial"/>
          <w:sz w:val="17"/>
          <w:szCs w:val="17"/>
          <w:color w:val="auto"/>
        </w:rPr>
      </w:pPr>
    </w:p>
    <w:p>
      <w:pPr>
        <w:ind w:left="940" w:right="260" w:hanging="500"/>
        <w:spacing w:after="0" w:line="239" w:lineRule="auto"/>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Information shown is based on information reported by the filer on a Schedule 13G/A filed with the SEC on February 5, 2020 in which BlackRock, Inc., a holding company filing on behalf of itself and various subsidiaries, reported that it has sole voting power over 8,039,068 shares and sole dispositive power over 9,147,757 shares.</w:t>
      </w:r>
    </w:p>
    <w:p>
      <w:pPr>
        <w:spacing w:after="0" w:line="102" w:lineRule="exact"/>
        <w:rPr>
          <w:rFonts w:ascii="Arial" w:cs="Arial" w:eastAsia="Arial" w:hAnsi="Arial"/>
          <w:sz w:val="17"/>
          <w:szCs w:val="17"/>
          <w:color w:val="auto"/>
        </w:rPr>
      </w:pPr>
    </w:p>
    <w:p>
      <w:pPr>
        <w:ind w:left="940" w:right="20" w:hanging="500"/>
        <w:spacing w:after="0" w:line="237" w:lineRule="auto"/>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According to a Schedule 13G/A filed with the SEC by Vanguard on February 11, 2020, these shares are held by Vanguard Fiduciary Trust Company as trustee of the Leidos Retirement Plan and as of December 31, 2019, all such shares have been allocated to plan participants. Subject to ERISA, Vanguard votes these shares as directed by the plan participants. Accordingly, Vanguard has shared voting and dispositive power with respect to these shares. Shares held by Vanguard are also included in the amounts held by individuals and the group set forth in the table below.</w:t>
      </w:r>
    </w:p>
    <w:p>
      <w:pPr>
        <w:spacing w:after="0" w:line="102" w:lineRule="exact"/>
        <w:rPr>
          <w:rFonts w:ascii="Arial" w:cs="Arial" w:eastAsia="Arial" w:hAnsi="Arial"/>
          <w:sz w:val="17"/>
          <w:szCs w:val="17"/>
          <w:color w:val="auto"/>
        </w:rPr>
      </w:pPr>
    </w:p>
    <w:p>
      <w:pPr>
        <w:ind w:left="940" w:right="60" w:hanging="500"/>
        <w:spacing w:after="0" w:line="237" w:lineRule="auto"/>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Information shown is based on information reported by the filer on a Schedule 13G filed with the SEC on January 24, 2020 in which JP Morgan Chase &amp; Co., a holding company filing on behalf of itself and various subsidiaries, reported that it has sole voting power over 6,587,260 shares, shared voting power over 78,468 shares, sole dispositive power over 7,347,936 shares and shared dispositive power over 54,261 shares.</w:t>
      </w:r>
    </w:p>
    <w:p>
      <w:pPr>
        <w:spacing w:after="0" w:line="115" w:lineRule="exact"/>
        <w:rPr>
          <w:sz w:val="20"/>
          <w:szCs w:val="20"/>
          <w:color w:val="auto"/>
        </w:r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54</w:t>
        <w:tab/>
        <w:t>|</w:t>
        <w:tab/>
        <w:t>2020 Proxy Statement</w:t>
      </w:r>
    </w:p>
    <w:p>
      <w:pPr>
        <w:sectPr>
          <w:pgSz w:w="11900" w:h="16838" w:orient="portrait"/>
          <w:cols w:equalWidth="0" w:num="1">
            <w:col w:w="10820"/>
          </w:cols>
          <w:pgMar w:left="320" w:top="441" w:right="75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Stock Ownership of Directors and Officers</w:t>
      </w:r>
    </w:p>
    <w:p>
      <w:pPr>
        <w:spacing w:after="0" w:line="218" w:lineRule="exact"/>
        <w:rPr>
          <w:sz w:val="20"/>
          <w:szCs w:val="20"/>
          <w:color w:val="auto"/>
        </w:rPr>
      </w:pPr>
    </w:p>
    <w:p>
      <w:pPr>
        <w:ind w:left="440" w:right="20"/>
        <w:spacing w:after="0" w:line="236" w:lineRule="auto"/>
        <w:rPr>
          <w:sz w:val="20"/>
          <w:szCs w:val="20"/>
          <w:color w:val="auto"/>
        </w:rPr>
      </w:pPr>
      <w:r>
        <w:rPr>
          <w:rFonts w:ascii="Arial" w:cs="Arial" w:eastAsia="Arial" w:hAnsi="Arial"/>
          <w:sz w:val="17"/>
          <w:szCs w:val="17"/>
          <w:color w:val="auto"/>
        </w:rPr>
        <w:t>The following table sets forth, as of February 28, 2020, the beneficial ownership of our common stock by our directors and the named executive officers, and all of our directors and executive officers as a group. None of these individuals beneficially owns more than one percent of our common stock. As a group, our directors and executive officers beneficially own approximately 1.48% of our common stock. The percentage of beneficial ownership is based on 141,514,165 shares of our common stock outstanding as of February 28, 2020. Unless otherwise indicated, each individual has sole investment power and sole voting power with respect to the shares beneficially owned by such person, except for such power that may be shared with a spouse. No shares have been pledged.</w:t>
      </w:r>
    </w:p>
    <w:p>
      <w:pPr>
        <w:spacing w:after="0" w:line="214"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6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483E65"/>
                <w:w w:val="99"/>
              </w:rPr>
              <w:t>Option</w:t>
            </w:r>
          </w:p>
        </w:tc>
        <w:tc>
          <w:tcPr>
            <w:tcW w:w="1100" w:type="dxa"/>
            <w:vAlign w:val="bottom"/>
          </w:tcPr>
          <w:p>
            <w:pPr>
              <w:jc w:val="center"/>
              <w:spacing w:after="0"/>
              <w:rPr>
                <w:sz w:val="20"/>
                <w:szCs w:val="20"/>
                <w:color w:val="auto"/>
              </w:rPr>
            </w:pPr>
            <w:r>
              <w:rPr>
                <w:rFonts w:ascii="Arial" w:cs="Arial" w:eastAsia="Arial" w:hAnsi="Arial"/>
                <w:sz w:val="17"/>
                <w:szCs w:val="17"/>
                <w:color w:val="483E65"/>
                <w:w w:val="98"/>
              </w:rPr>
              <w:t>Total shares</w:t>
            </w:r>
          </w:p>
        </w:tc>
      </w:tr>
      <w:tr>
        <w:trPr>
          <w:trHeight w:val="188"/>
        </w:trPr>
        <w:tc>
          <w:tcPr>
            <w:tcW w:w="6240" w:type="dxa"/>
            <w:vAlign w:val="bottom"/>
          </w:tcPr>
          <w:p>
            <w:pPr>
              <w:spacing w:after="0"/>
              <w:rPr>
                <w:sz w:val="16"/>
                <w:szCs w:val="16"/>
                <w:color w:val="auto"/>
              </w:rPr>
            </w:pP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color w:val="483E65"/>
              </w:rPr>
              <w:t>Common</w:t>
            </w:r>
          </w:p>
        </w:tc>
        <w:tc>
          <w:tcPr>
            <w:tcW w:w="900" w:type="dxa"/>
            <w:vAlign w:val="bottom"/>
          </w:tcPr>
          <w:p>
            <w:pPr>
              <w:jc w:val="right"/>
              <w:ind w:right="155"/>
              <w:spacing w:after="0" w:line="189" w:lineRule="exact"/>
              <w:rPr>
                <w:sz w:val="20"/>
                <w:szCs w:val="20"/>
                <w:color w:val="auto"/>
              </w:rPr>
            </w:pPr>
            <w:r>
              <w:rPr>
                <w:rFonts w:ascii="Arial" w:cs="Arial" w:eastAsia="Arial" w:hAnsi="Arial"/>
                <w:sz w:val="17"/>
                <w:szCs w:val="17"/>
                <w:color w:val="483E65"/>
              </w:rPr>
              <w:t>Stock</w:t>
            </w:r>
          </w:p>
        </w:tc>
        <w:tc>
          <w:tcPr>
            <w:tcW w:w="1100" w:type="dxa"/>
            <w:vAlign w:val="bottom"/>
          </w:tcPr>
          <w:p>
            <w:pPr>
              <w:jc w:val="center"/>
              <w:spacing w:after="0" w:line="189" w:lineRule="exact"/>
              <w:rPr>
                <w:sz w:val="20"/>
                <w:szCs w:val="20"/>
                <w:color w:val="auto"/>
              </w:rPr>
            </w:pPr>
            <w:r>
              <w:rPr>
                <w:rFonts w:ascii="Arial" w:cs="Arial" w:eastAsia="Arial" w:hAnsi="Arial"/>
                <w:sz w:val="17"/>
                <w:szCs w:val="17"/>
                <w:color w:val="483E65"/>
                <w:w w:val="97"/>
              </w:rPr>
              <w:t>shares and</w:t>
            </w:r>
          </w:p>
        </w:tc>
        <w:tc>
          <w:tcPr>
            <w:tcW w:w="1100" w:type="dxa"/>
            <w:vAlign w:val="bottom"/>
          </w:tcPr>
          <w:p>
            <w:pPr>
              <w:jc w:val="center"/>
              <w:spacing w:after="0" w:line="189" w:lineRule="exact"/>
              <w:rPr>
                <w:sz w:val="20"/>
                <w:szCs w:val="20"/>
                <w:color w:val="auto"/>
              </w:rPr>
            </w:pPr>
            <w:r>
              <w:rPr>
                <w:rFonts w:ascii="Arial" w:cs="Arial" w:eastAsia="Arial" w:hAnsi="Arial"/>
                <w:sz w:val="17"/>
                <w:szCs w:val="17"/>
                <w:color w:val="483E65"/>
                <w:w w:val="99"/>
              </w:rPr>
              <w:t>beneficially</w:t>
            </w:r>
          </w:p>
        </w:tc>
      </w:tr>
      <w:tr>
        <w:trPr>
          <w:trHeight w:val="207"/>
        </w:trPr>
        <w:tc>
          <w:tcPr>
            <w:tcW w:w="6240" w:type="dxa"/>
            <w:vAlign w:val="bottom"/>
            <w:tcBorders>
              <w:bottom w:val="single" w:sz="8" w:color="483E65"/>
            </w:tcBorders>
          </w:tcPr>
          <w:p>
            <w:pPr>
              <w:ind w:left="100"/>
              <w:spacing w:after="0"/>
              <w:rPr>
                <w:sz w:val="20"/>
                <w:szCs w:val="20"/>
                <w:color w:val="auto"/>
              </w:rPr>
            </w:pPr>
            <w:r>
              <w:rPr>
                <w:rFonts w:ascii="Arial" w:cs="Arial" w:eastAsia="Arial" w:hAnsi="Arial"/>
                <w:sz w:val="17"/>
                <w:szCs w:val="17"/>
                <w:color w:val="483E65"/>
              </w:rPr>
              <w:t>Beneficial Owner</w:t>
            </w:r>
          </w:p>
        </w:tc>
        <w:tc>
          <w:tcPr>
            <w:tcW w:w="1040" w:type="dxa"/>
            <w:vAlign w:val="bottom"/>
            <w:tcBorders>
              <w:bottom w:val="single" w:sz="8" w:color="483E65"/>
            </w:tcBorders>
          </w:tcPr>
          <w:p>
            <w:pPr>
              <w:jc w:val="right"/>
              <w:ind w:right="215"/>
              <w:spacing w:after="0"/>
              <w:rPr>
                <w:sz w:val="20"/>
                <w:szCs w:val="20"/>
                <w:color w:val="auto"/>
              </w:rPr>
            </w:pPr>
            <w:r>
              <w:rPr>
                <w:rFonts w:ascii="Arial" w:cs="Arial" w:eastAsia="Arial" w:hAnsi="Arial"/>
                <w:sz w:val="17"/>
                <w:szCs w:val="17"/>
                <w:color w:val="483E65"/>
              </w:rPr>
              <w:t>stock</w:t>
            </w:r>
          </w:p>
        </w:tc>
        <w:tc>
          <w:tcPr>
            <w:tcW w:w="900" w:type="dxa"/>
            <w:vAlign w:val="bottom"/>
            <w:tcBorders>
              <w:bottom w:val="single" w:sz="8" w:color="483E65"/>
            </w:tcBorders>
          </w:tcPr>
          <w:p>
            <w:pPr>
              <w:jc w:val="right"/>
              <w:ind w:right="115"/>
              <w:spacing w:after="0"/>
              <w:rPr>
                <w:sz w:val="20"/>
                <w:szCs w:val="20"/>
                <w:color w:val="auto"/>
              </w:rPr>
            </w:pPr>
            <w:r>
              <w:rPr>
                <w:rFonts w:ascii="Arial" w:cs="Arial" w:eastAsia="Arial" w:hAnsi="Arial"/>
                <w:sz w:val="17"/>
                <w:szCs w:val="17"/>
                <w:color w:val="483E65"/>
              </w:rPr>
              <w:t>units</w:t>
            </w:r>
            <w:r>
              <w:rPr>
                <w:rFonts w:ascii="Arial" w:cs="Arial" w:eastAsia="Arial" w:hAnsi="Arial"/>
                <w:sz w:val="14"/>
                <w:szCs w:val="14"/>
                <w:color w:val="483E65"/>
              </w:rPr>
              <w:t>(1)</w:t>
            </w:r>
          </w:p>
        </w:tc>
        <w:tc>
          <w:tcPr>
            <w:tcW w:w="1100" w:type="dxa"/>
            <w:vAlign w:val="bottom"/>
            <w:tcBorders>
              <w:bottom w:val="single" w:sz="8" w:color="483E65"/>
            </w:tcBorders>
          </w:tcPr>
          <w:p>
            <w:pPr>
              <w:jc w:val="center"/>
              <w:spacing w:after="0"/>
              <w:rPr>
                <w:sz w:val="20"/>
                <w:szCs w:val="20"/>
                <w:color w:val="auto"/>
              </w:rPr>
            </w:pPr>
            <w:r>
              <w:rPr>
                <w:rFonts w:ascii="Arial" w:cs="Arial" w:eastAsia="Arial" w:hAnsi="Arial"/>
                <w:sz w:val="17"/>
                <w:szCs w:val="17"/>
                <w:color w:val="483E65"/>
              </w:rPr>
              <w:t>RSUs</w:t>
            </w:r>
            <w:r>
              <w:rPr>
                <w:rFonts w:ascii="Arial" w:cs="Arial" w:eastAsia="Arial" w:hAnsi="Arial"/>
                <w:sz w:val="14"/>
                <w:szCs w:val="14"/>
                <w:color w:val="483E65"/>
              </w:rPr>
              <w:t>(2)</w:t>
            </w:r>
          </w:p>
        </w:tc>
        <w:tc>
          <w:tcPr>
            <w:tcW w:w="1100" w:type="dxa"/>
            <w:vAlign w:val="bottom"/>
            <w:tcBorders>
              <w:bottom w:val="single" w:sz="8" w:color="483E65"/>
            </w:tcBorders>
          </w:tcPr>
          <w:p>
            <w:pPr>
              <w:jc w:val="center"/>
              <w:spacing w:after="0"/>
              <w:rPr>
                <w:sz w:val="20"/>
                <w:szCs w:val="20"/>
                <w:color w:val="auto"/>
              </w:rPr>
            </w:pPr>
            <w:r>
              <w:rPr>
                <w:rFonts w:ascii="Arial" w:cs="Arial" w:eastAsia="Arial" w:hAnsi="Arial"/>
                <w:sz w:val="17"/>
                <w:szCs w:val="17"/>
                <w:color w:val="483E65"/>
                <w:w w:val="95"/>
              </w:rPr>
              <w:t>owned</w:t>
            </w:r>
          </w:p>
        </w:tc>
      </w:tr>
      <w:tr>
        <w:trPr>
          <w:trHeight w:val="195"/>
        </w:trPr>
        <w:tc>
          <w:tcPr>
            <w:tcW w:w="6240" w:type="dxa"/>
            <w:vAlign w:val="bottom"/>
          </w:tcPr>
          <w:p>
            <w:pPr>
              <w:ind w:left="100"/>
              <w:spacing w:after="0"/>
              <w:rPr>
                <w:sz w:val="20"/>
                <w:szCs w:val="20"/>
                <w:color w:val="auto"/>
              </w:rPr>
            </w:pPr>
            <w:r>
              <w:rPr>
                <w:rFonts w:ascii="Arial" w:cs="Arial" w:eastAsia="Arial" w:hAnsi="Arial"/>
                <w:sz w:val="17"/>
                <w:szCs w:val="17"/>
                <w:color w:val="483E65"/>
              </w:rPr>
              <w:t>Directors</w:t>
            </w:r>
          </w:p>
        </w:tc>
        <w:tc>
          <w:tcPr>
            <w:tcW w:w="1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6240" w:type="dxa"/>
            <w:vAlign w:val="bottom"/>
          </w:tcPr>
          <w:p>
            <w:pPr>
              <w:ind w:left="260"/>
              <w:spacing w:after="0" w:line="191" w:lineRule="exact"/>
              <w:rPr>
                <w:sz w:val="20"/>
                <w:szCs w:val="20"/>
                <w:color w:val="auto"/>
              </w:rPr>
            </w:pPr>
            <w:r>
              <w:rPr>
                <w:rFonts w:ascii="Arial" w:cs="Arial" w:eastAsia="Arial" w:hAnsi="Arial"/>
                <w:sz w:val="17"/>
                <w:szCs w:val="17"/>
                <w:color w:val="auto"/>
              </w:rPr>
              <w:t>Gregory R. Dahlberg</w:t>
            </w:r>
          </w:p>
        </w:tc>
        <w:tc>
          <w:tcPr>
            <w:tcW w:w="1040" w:type="dxa"/>
            <w:vAlign w:val="bottom"/>
          </w:tcPr>
          <w:p>
            <w:pPr>
              <w:jc w:val="right"/>
              <w:ind w:right="75"/>
              <w:spacing w:after="0" w:line="191" w:lineRule="exact"/>
              <w:rPr>
                <w:sz w:val="20"/>
                <w:szCs w:val="20"/>
                <w:color w:val="auto"/>
              </w:rPr>
            </w:pPr>
            <w:r>
              <w:rPr>
                <w:rFonts w:ascii="Arial" w:cs="Arial" w:eastAsia="Arial" w:hAnsi="Arial"/>
                <w:sz w:val="17"/>
                <w:szCs w:val="17"/>
                <w:color w:val="auto"/>
              </w:rPr>
              <w:t>6,003</w:t>
            </w:r>
          </w:p>
        </w:tc>
        <w:tc>
          <w:tcPr>
            <w:tcW w:w="900" w:type="dxa"/>
            <w:vAlign w:val="bottom"/>
          </w:tcPr>
          <w:p>
            <w:pPr>
              <w:jc w:val="right"/>
              <w:ind w:right="35"/>
              <w:spacing w:after="0" w:line="191" w:lineRule="exact"/>
              <w:rPr>
                <w:sz w:val="20"/>
                <w:szCs w:val="20"/>
                <w:color w:val="auto"/>
              </w:rPr>
            </w:pPr>
            <w:r>
              <w:rPr>
                <w:rFonts w:ascii="Arial" w:cs="Arial" w:eastAsia="Arial" w:hAnsi="Arial"/>
                <w:sz w:val="17"/>
                <w:szCs w:val="17"/>
                <w:color w:val="auto"/>
              </w:rPr>
              <w:t>—</w:t>
            </w:r>
          </w:p>
        </w:tc>
        <w:tc>
          <w:tcPr>
            <w:tcW w:w="1100" w:type="dxa"/>
            <w:vAlign w:val="bottom"/>
          </w:tcPr>
          <w:p>
            <w:pPr>
              <w:jc w:val="right"/>
              <w:ind w:right="55"/>
              <w:spacing w:after="0" w:line="191" w:lineRule="exact"/>
              <w:rPr>
                <w:sz w:val="20"/>
                <w:szCs w:val="20"/>
                <w:color w:val="auto"/>
              </w:rPr>
            </w:pPr>
            <w:r>
              <w:rPr>
                <w:rFonts w:ascii="Arial" w:cs="Arial" w:eastAsia="Arial" w:hAnsi="Arial"/>
                <w:sz w:val="17"/>
                <w:szCs w:val="17"/>
                <w:color w:val="auto"/>
              </w:rPr>
              <w:t>14,051</w:t>
            </w:r>
          </w:p>
        </w:tc>
        <w:tc>
          <w:tcPr>
            <w:tcW w:w="1100" w:type="dxa"/>
            <w:vAlign w:val="bottom"/>
          </w:tcPr>
          <w:p>
            <w:pPr>
              <w:jc w:val="right"/>
              <w:spacing w:after="0" w:line="191" w:lineRule="exact"/>
              <w:rPr>
                <w:sz w:val="20"/>
                <w:szCs w:val="20"/>
                <w:color w:val="auto"/>
              </w:rPr>
            </w:pPr>
            <w:r>
              <w:rPr>
                <w:rFonts w:ascii="Arial" w:cs="Arial" w:eastAsia="Arial" w:hAnsi="Arial"/>
                <w:sz w:val="17"/>
                <w:szCs w:val="17"/>
                <w:color w:val="auto"/>
              </w:rPr>
              <w:t>20,054</w:t>
            </w:r>
          </w:p>
        </w:tc>
      </w:tr>
      <w:tr>
        <w:trPr>
          <w:trHeight w:val="203"/>
        </w:trPr>
        <w:tc>
          <w:tcPr>
            <w:tcW w:w="6240" w:type="dxa"/>
            <w:vAlign w:val="bottom"/>
            <w:shd w:val="clear" w:color="auto" w:fill="ACABA7"/>
          </w:tcPr>
          <w:p>
            <w:pPr>
              <w:ind w:left="260"/>
              <w:spacing w:after="0"/>
              <w:rPr>
                <w:sz w:val="20"/>
                <w:szCs w:val="20"/>
                <w:color w:val="auto"/>
              </w:rPr>
            </w:pPr>
            <w:r>
              <w:rPr>
                <w:rFonts w:ascii="Arial" w:cs="Arial" w:eastAsia="Arial" w:hAnsi="Arial"/>
                <w:sz w:val="17"/>
                <w:szCs w:val="17"/>
                <w:color w:val="auto"/>
              </w:rPr>
              <w:t>David G. Fubini</w:t>
            </w:r>
          </w:p>
        </w:tc>
        <w:tc>
          <w:tcPr>
            <w:tcW w:w="1040" w:type="dxa"/>
            <w:vAlign w:val="bottom"/>
            <w:shd w:val="clear" w:color="auto" w:fill="ACABA7"/>
          </w:tcPr>
          <w:p>
            <w:pPr>
              <w:jc w:val="right"/>
              <w:ind w:right="75"/>
              <w:spacing w:after="0"/>
              <w:rPr>
                <w:sz w:val="20"/>
                <w:szCs w:val="20"/>
                <w:color w:val="auto"/>
              </w:rPr>
            </w:pPr>
            <w:r>
              <w:rPr>
                <w:rFonts w:ascii="Arial" w:cs="Arial" w:eastAsia="Arial" w:hAnsi="Arial"/>
                <w:sz w:val="17"/>
                <w:szCs w:val="17"/>
                <w:color w:val="auto"/>
              </w:rPr>
              <w:t>13,388</w:t>
            </w:r>
          </w:p>
        </w:tc>
        <w:tc>
          <w:tcPr>
            <w:tcW w:w="900" w:type="dxa"/>
            <w:vAlign w:val="bottom"/>
            <w:shd w:val="clear" w:color="auto" w:fill="ACABA7"/>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ACABA7"/>
          </w:tcPr>
          <w:p>
            <w:pPr>
              <w:jc w:val="right"/>
              <w:ind w:right="55"/>
              <w:spacing w:after="0"/>
              <w:rPr>
                <w:sz w:val="20"/>
                <w:szCs w:val="20"/>
                <w:color w:val="auto"/>
              </w:rPr>
            </w:pPr>
            <w:r>
              <w:rPr>
                <w:rFonts w:ascii="Arial" w:cs="Arial" w:eastAsia="Arial" w:hAnsi="Arial"/>
                <w:sz w:val="17"/>
                <w:szCs w:val="17"/>
                <w:color w:val="auto"/>
              </w:rPr>
              <w:t>46,403</w:t>
            </w:r>
          </w:p>
        </w:tc>
        <w:tc>
          <w:tcPr>
            <w:tcW w:w="1100" w:type="dxa"/>
            <w:vAlign w:val="bottom"/>
            <w:shd w:val="clear" w:color="auto" w:fill="ACABA7"/>
          </w:tcPr>
          <w:p>
            <w:pPr>
              <w:jc w:val="right"/>
              <w:spacing w:after="0"/>
              <w:rPr>
                <w:sz w:val="20"/>
                <w:szCs w:val="20"/>
                <w:color w:val="auto"/>
              </w:rPr>
            </w:pPr>
            <w:r>
              <w:rPr>
                <w:rFonts w:ascii="Arial" w:cs="Arial" w:eastAsia="Arial" w:hAnsi="Arial"/>
                <w:sz w:val="17"/>
                <w:szCs w:val="17"/>
                <w:color w:val="auto"/>
              </w:rPr>
              <w:t>59,791</w:t>
            </w:r>
          </w:p>
        </w:tc>
      </w:tr>
      <w:tr>
        <w:trPr>
          <w:trHeight w:val="203"/>
        </w:trPr>
        <w:tc>
          <w:tcPr>
            <w:tcW w:w="6240" w:type="dxa"/>
            <w:vAlign w:val="bottom"/>
          </w:tcPr>
          <w:p>
            <w:pPr>
              <w:ind w:left="260"/>
              <w:spacing w:after="0"/>
              <w:rPr>
                <w:sz w:val="20"/>
                <w:szCs w:val="20"/>
                <w:color w:val="auto"/>
              </w:rPr>
            </w:pPr>
            <w:r>
              <w:rPr>
                <w:rFonts w:ascii="Arial" w:cs="Arial" w:eastAsia="Arial" w:hAnsi="Arial"/>
                <w:sz w:val="17"/>
                <w:szCs w:val="17"/>
                <w:color w:val="auto"/>
              </w:rPr>
              <w:t>Miriam E. John</w:t>
            </w: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17,457</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67,359</w:t>
            </w: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44,510</w:t>
            </w:r>
          </w:p>
        </w:tc>
        <w:tc>
          <w:tcPr>
            <w:tcW w:w="1100" w:type="dxa"/>
            <w:vAlign w:val="bottom"/>
          </w:tcPr>
          <w:p>
            <w:pPr>
              <w:jc w:val="right"/>
              <w:spacing w:after="0"/>
              <w:rPr>
                <w:sz w:val="20"/>
                <w:szCs w:val="20"/>
                <w:color w:val="auto"/>
              </w:rPr>
            </w:pPr>
            <w:r>
              <w:rPr>
                <w:rFonts w:ascii="Arial" w:cs="Arial" w:eastAsia="Arial" w:hAnsi="Arial"/>
                <w:sz w:val="17"/>
                <w:szCs w:val="17"/>
                <w:color w:val="auto"/>
              </w:rPr>
              <w:t>129,326</w:t>
            </w:r>
          </w:p>
        </w:tc>
      </w:tr>
      <w:tr>
        <w:trPr>
          <w:trHeight w:val="203"/>
        </w:trPr>
        <w:tc>
          <w:tcPr>
            <w:tcW w:w="6240" w:type="dxa"/>
            <w:vAlign w:val="bottom"/>
            <w:shd w:val="clear" w:color="auto" w:fill="ACABA7"/>
          </w:tcPr>
          <w:p>
            <w:pPr>
              <w:ind w:left="260"/>
              <w:spacing w:after="0"/>
              <w:rPr>
                <w:sz w:val="20"/>
                <w:szCs w:val="20"/>
                <w:color w:val="auto"/>
              </w:rPr>
            </w:pPr>
            <w:r>
              <w:rPr>
                <w:rFonts w:ascii="Arial" w:cs="Arial" w:eastAsia="Arial" w:hAnsi="Arial"/>
                <w:sz w:val="17"/>
                <w:szCs w:val="17"/>
                <w:color w:val="auto"/>
              </w:rPr>
              <w:t>Frank Kendall III</w:t>
            </w:r>
          </w:p>
        </w:tc>
        <w:tc>
          <w:tcPr>
            <w:tcW w:w="1040" w:type="dxa"/>
            <w:vAlign w:val="bottom"/>
            <w:shd w:val="clear" w:color="auto" w:fill="ACABA7"/>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shd w:val="clear" w:color="auto" w:fill="ACABA7"/>
          </w:tcPr>
          <w:p>
            <w:pPr>
              <w:jc w:val="right"/>
              <w:ind w:right="35"/>
              <w:spacing w:after="0"/>
              <w:rPr>
                <w:sz w:val="20"/>
                <w:szCs w:val="20"/>
                <w:color w:val="auto"/>
              </w:rPr>
            </w:pPr>
            <w:r>
              <w:rPr>
                <w:rFonts w:ascii="Arial" w:cs="Arial" w:eastAsia="Arial" w:hAnsi="Arial"/>
                <w:sz w:val="17"/>
                <w:szCs w:val="17"/>
                <w:color w:val="auto"/>
              </w:rPr>
              <w:t>3,493</w:t>
            </w:r>
          </w:p>
        </w:tc>
        <w:tc>
          <w:tcPr>
            <w:tcW w:w="1100" w:type="dxa"/>
            <w:vAlign w:val="bottom"/>
            <w:shd w:val="clear" w:color="auto" w:fill="ACABA7"/>
          </w:tcPr>
          <w:p>
            <w:pPr>
              <w:jc w:val="right"/>
              <w:ind w:right="55"/>
              <w:spacing w:after="0"/>
              <w:rPr>
                <w:sz w:val="20"/>
                <w:szCs w:val="20"/>
                <w:color w:val="auto"/>
              </w:rPr>
            </w:pPr>
            <w:r>
              <w:rPr>
                <w:rFonts w:ascii="Arial" w:cs="Arial" w:eastAsia="Arial" w:hAnsi="Arial"/>
                <w:sz w:val="17"/>
                <w:szCs w:val="17"/>
                <w:color w:val="auto"/>
              </w:rPr>
              <w:t>8,739</w:t>
            </w:r>
          </w:p>
        </w:tc>
        <w:tc>
          <w:tcPr>
            <w:tcW w:w="1100" w:type="dxa"/>
            <w:vAlign w:val="bottom"/>
            <w:shd w:val="clear" w:color="auto" w:fill="ACABA7"/>
          </w:tcPr>
          <w:p>
            <w:pPr>
              <w:jc w:val="right"/>
              <w:spacing w:after="0"/>
              <w:rPr>
                <w:sz w:val="20"/>
                <w:szCs w:val="20"/>
                <w:color w:val="auto"/>
              </w:rPr>
            </w:pPr>
            <w:r>
              <w:rPr>
                <w:rFonts w:ascii="Arial" w:cs="Arial" w:eastAsia="Arial" w:hAnsi="Arial"/>
                <w:sz w:val="17"/>
                <w:szCs w:val="17"/>
                <w:color w:val="auto"/>
              </w:rPr>
              <w:t>12,232</w:t>
            </w:r>
          </w:p>
        </w:tc>
      </w:tr>
      <w:tr>
        <w:trPr>
          <w:trHeight w:val="203"/>
        </w:trPr>
        <w:tc>
          <w:tcPr>
            <w:tcW w:w="6240" w:type="dxa"/>
            <w:vAlign w:val="bottom"/>
          </w:tcPr>
          <w:p>
            <w:pPr>
              <w:ind w:left="260"/>
              <w:spacing w:after="0"/>
              <w:rPr>
                <w:sz w:val="20"/>
                <w:szCs w:val="20"/>
                <w:color w:val="auto"/>
              </w:rPr>
            </w:pPr>
            <w:r>
              <w:rPr>
                <w:rFonts w:ascii="Arial" w:cs="Arial" w:eastAsia="Arial" w:hAnsi="Arial"/>
                <w:sz w:val="17"/>
                <w:szCs w:val="17"/>
                <w:color w:val="auto"/>
              </w:rPr>
              <w:t>Robert C. Kovarik, Jr.</w:t>
            </w: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1,416</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3,879</w:t>
            </w:r>
          </w:p>
        </w:tc>
        <w:tc>
          <w:tcPr>
            <w:tcW w:w="1100" w:type="dxa"/>
            <w:vAlign w:val="bottom"/>
          </w:tcPr>
          <w:p>
            <w:pPr>
              <w:jc w:val="right"/>
              <w:spacing w:after="0"/>
              <w:rPr>
                <w:sz w:val="20"/>
                <w:szCs w:val="20"/>
                <w:color w:val="auto"/>
              </w:rPr>
            </w:pPr>
            <w:r>
              <w:rPr>
                <w:rFonts w:ascii="Arial" w:cs="Arial" w:eastAsia="Arial" w:hAnsi="Arial"/>
                <w:sz w:val="17"/>
                <w:szCs w:val="17"/>
                <w:color w:val="auto"/>
              </w:rPr>
              <w:t>5,295</w:t>
            </w:r>
          </w:p>
        </w:tc>
      </w:tr>
      <w:tr>
        <w:trPr>
          <w:trHeight w:val="203"/>
        </w:trPr>
        <w:tc>
          <w:tcPr>
            <w:tcW w:w="6240" w:type="dxa"/>
            <w:vAlign w:val="bottom"/>
            <w:shd w:val="clear" w:color="auto" w:fill="ACABA7"/>
          </w:tcPr>
          <w:p>
            <w:pPr>
              <w:ind w:left="260"/>
              <w:spacing w:after="0"/>
              <w:rPr>
                <w:sz w:val="20"/>
                <w:szCs w:val="20"/>
                <w:color w:val="auto"/>
              </w:rPr>
            </w:pPr>
            <w:r>
              <w:rPr>
                <w:rFonts w:ascii="Arial" w:cs="Arial" w:eastAsia="Arial" w:hAnsi="Arial"/>
                <w:sz w:val="17"/>
                <w:szCs w:val="17"/>
                <w:color w:val="auto"/>
              </w:rPr>
              <w:t>Harry M. J. Kraemer, Jr.</w:t>
            </w:r>
          </w:p>
        </w:tc>
        <w:tc>
          <w:tcPr>
            <w:tcW w:w="1040" w:type="dxa"/>
            <w:vAlign w:val="bottom"/>
            <w:shd w:val="clear" w:color="auto" w:fill="ACABA7"/>
          </w:tcPr>
          <w:p>
            <w:pPr>
              <w:jc w:val="right"/>
              <w:ind w:right="75"/>
              <w:spacing w:after="0"/>
              <w:rPr>
                <w:sz w:val="20"/>
                <w:szCs w:val="20"/>
                <w:color w:val="auto"/>
              </w:rPr>
            </w:pPr>
            <w:r>
              <w:rPr>
                <w:rFonts w:ascii="Arial" w:cs="Arial" w:eastAsia="Arial" w:hAnsi="Arial"/>
                <w:sz w:val="17"/>
                <w:szCs w:val="17"/>
                <w:color w:val="auto"/>
              </w:rPr>
              <w:t>67,441</w:t>
            </w:r>
          </w:p>
        </w:tc>
        <w:tc>
          <w:tcPr>
            <w:tcW w:w="900" w:type="dxa"/>
            <w:vAlign w:val="bottom"/>
            <w:shd w:val="clear" w:color="auto" w:fill="ACABA7"/>
          </w:tcPr>
          <w:p>
            <w:pPr>
              <w:jc w:val="right"/>
              <w:ind w:right="35"/>
              <w:spacing w:after="0"/>
              <w:rPr>
                <w:sz w:val="20"/>
                <w:szCs w:val="20"/>
                <w:color w:val="auto"/>
              </w:rPr>
            </w:pPr>
            <w:r>
              <w:rPr>
                <w:rFonts w:ascii="Arial" w:cs="Arial" w:eastAsia="Arial" w:hAnsi="Arial"/>
                <w:sz w:val="17"/>
                <w:szCs w:val="17"/>
                <w:color w:val="auto"/>
              </w:rPr>
              <w:t>112,678</w:t>
            </w:r>
          </w:p>
        </w:tc>
        <w:tc>
          <w:tcPr>
            <w:tcW w:w="1100" w:type="dxa"/>
            <w:vAlign w:val="bottom"/>
            <w:shd w:val="clear" w:color="auto" w:fill="ACABA7"/>
          </w:tcPr>
          <w:p>
            <w:pPr>
              <w:jc w:val="right"/>
              <w:ind w:right="55"/>
              <w:spacing w:after="0"/>
              <w:rPr>
                <w:sz w:val="20"/>
                <w:szCs w:val="20"/>
                <w:color w:val="auto"/>
              </w:rPr>
            </w:pPr>
            <w:r>
              <w:rPr>
                <w:rFonts w:ascii="Arial" w:cs="Arial" w:eastAsia="Arial" w:hAnsi="Arial"/>
                <w:sz w:val="17"/>
                <w:szCs w:val="17"/>
                <w:color w:val="auto"/>
              </w:rPr>
              <w:t>44,510</w:t>
            </w:r>
          </w:p>
        </w:tc>
        <w:tc>
          <w:tcPr>
            <w:tcW w:w="1100" w:type="dxa"/>
            <w:vAlign w:val="bottom"/>
            <w:shd w:val="clear" w:color="auto" w:fill="ACABA7"/>
          </w:tcPr>
          <w:p>
            <w:pPr>
              <w:jc w:val="right"/>
              <w:spacing w:after="0"/>
              <w:rPr>
                <w:sz w:val="20"/>
                <w:szCs w:val="20"/>
                <w:color w:val="auto"/>
              </w:rPr>
            </w:pPr>
            <w:r>
              <w:rPr>
                <w:rFonts w:ascii="Arial" w:cs="Arial" w:eastAsia="Arial" w:hAnsi="Arial"/>
                <w:sz w:val="17"/>
                <w:szCs w:val="17"/>
                <w:color w:val="auto"/>
              </w:rPr>
              <w:t>224,629</w:t>
            </w:r>
          </w:p>
        </w:tc>
      </w:tr>
      <w:tr>
        <w:trPr>
          <w:trHeight w:val="203"/>
        </w:trPr>
        <w:tc>
          <w:tcPr>
            <w:tcW w:w="6240" w:type="dxa"/>
            <w:vAlign w:val="bottom"/>
          </w:tcPr>
          <w:p>
            <w:pPr>
              <w:ind w:left="260"/>
              <w:spacing w:after="0"/>
              <w:rPr>
                <w:sz w:val="20"/>
                <w:szCs w:val="20"/>
                <w:color w:val="auto"/>
              </w:rPr>
            </w:pPr>
            <w:r>
              <w:rPr>
                <w:rFonts w:ascii="Arial" w:cs="Arial" w:eastAsia="Arial" w:hAnsi="Arial"/>
                <w:sz w:val="17"/>
                <w:szCs w:val="17"/>
                <w:color w:val="auto"/>
              </w:rPr>
              <w:t>Gary S. May</w:t>
            </w: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7,766</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28,204</w:t>
            </w:r>
          </w:p>
        </w:tc>
        <w:tc>
          <w:tcPr>
            <w:tcW w:w="1100" w:type="dxa"/>
            <w:vAlign w:val="bottom"/>
          </w:tcPr>
          <w:p>
            <w:pPr>
              <w:jc w:val="right"/>
              <w:spacing w:after="0"/>
              <w:rPr>
                <w:sz w:val="20"/>
                <w:szCs w:val="20"/>
                <w:color w:val="auto"/>
              </w:rPr>
            </w:pPr>
            <w:r>
              <w:rPr>
                <w:rFonts w:ascii="Arial" w:cs="Arial" w:eastAsia="Arial" w:hAnsi="Arial"/>
                <w:sz w:val="17"/>
                <w:szCs w:val="17"/>
                <w:color w:val="auto"/>
              </w:rPr>
              <w:t>35,970</w:t>
            </w:r>
          </w:p>
        </w:tc>
      </w:tr>
      <w:tr>
        <w:trPr>
          <w:trHeight w:val="203"/>
        </w:trPr>
        <w:tc>
          <w:tcPr>
            <w:tcW w:w="6240" w:type="dxa"/>
            <w:vAlign w:val="bottom"/>
            <w:shd w:val="clear" w:color="auto" w:fill="ACABA7"/>
          </w:tcPr>
          <w:p>
            <w:pPr>
              <w:ind w:left="260"/>
              <w:spacing w:after="0"/>
              <w:rPr>
                <w:sz w:val="20"/>
                <w:szCs w:val="20"/>
                <w:color w:val="auto"/>
              </w:rPr>
            </w:pPr>
            <w:r>
              <w:rPr>
                <w:rFonts w:ascii="Arial" w:cs="Arial" w:eastAsia="Arial" w:hAnsi="Arial"/>
                <w:sz w:val="17"/>
                <w:szCs w:val="17"/>
                <w:color w:val="auto"/>
              </w:rPr>
              <w:t>Surya N. Mohapatra</w:t>
            </w:r>
          </w:p>
        </w:tc>
        <w:tc>
          <w:tcPr>
            <w:tcW w:w="1040" w:type="dxa"/>
            <w:vAlign w:val="bottom"/>
            <w:shd w:val="clear" w:color="auto" w:fill="ACABA7"/>
          </w:tcPr>
          <w:p>
            <w:pPr>
              <w:jc w:val="right"/>
              <w:ind w:right="75"/>
              <w:spacing w:after="0"/>
              <w:rPr>
                <w:sz w:val="20"/>
                <w:szCs w:val="20"/>
                <w:color w:val="auto"/>
              </w:rPr>
            </w:pPr>
            <w:r>
              <w:rPr>
                <w:rFonts w:ascii="Arial" w:cs="Arial" w:eastAsia="Arial" w:hAnsi="Arial"/>
                <w:sz w:val="17"/>
                <w:szCs w:val="17"/>
                <w:color w:val="auto"/>
              </w:rPr>
              <w:t>12,903</w:t>
            </w:r>
          </w:p>
        </w:tc>
        <w:tc>
          <w:tcPr>
            <w:tcW w:w="900" w:type="dxa"/>
            <w:vAlign w:val="bottom"/>
            <w:shd w:val="clear" w:color="auto" w:fill="ACABA7"/>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ACABA7"/>
          </w:tcPr>
          <w:p>
            <w:pPr>
              <w:jc w:val="right"/>
              <w:ind w:right="55"/>
              <w:spacing w:after="0"/>
              <w:rPr>
                <w:sz w:val="20"/>
                <w:szCs w:val="20"/>
                <w:color w:val="auto"/>
              </w:rPr>
            </w:pPr>
            <w:r>
              <w:rPr>
                <w:rFonts w:ascii="Arial" w:cs="Arial" w:eastAsia="Arial" w:hAnsi="Arial"/>
                <w:sz w:val="17"/>
                <w:szCs w:val="17"/>
                <w:color w:val="auto"/>
              </w:rPr>
              <w:t>14,051</w:t>
            </w:r>
          </w:p>
        </w:tc>
        <w:tc>
          <w:tcPr>
            <w:tcW w:w="1100" w:type="dxa"/>
            <w:vAlign w:val="bottom"/>
            <w:shd w:val="clear" w:color="auto" w:fill="ACABA7"/>
          </w:tcPr>
          <w:p>
            <w:pPr>
              <w:jc w:val="right"/>
              <w:spacing w:after="0"/>
              <w:rPr>
                <w:sz w:val="20"/>
                <w:szCs w:val="20"/>
                <w:color w:val="auto"/>
              </w:rPr>
            </w:pPr>
            <w:r>
              <w:rPr>
                <w:rFonts w:ascii="Arial" w:cs="Arial" w:eastAsia="Arial" w:hAnsi="Arial"/>
                <w:sz w:val="17"/>
                <w:szCs w:val="17"/>
                <w:color w:val="auto"/>
              </w:rPr>
              <w:t>26,954</w:t>
            </w:r>
          </w:p>
        </w:tc>
      </w:tr>
      <w:tr>
        <w:trPr>
          <w:trHeight w:val="203"/>
        </w:trPr>
        <w:tc>
          <w:tcPr>
            <w:tcW w:w="6240" w:type="dxa"/>
            <w:vAlign w:val="bottom"/>
          </w:tcPr>
          <w:p>
            <w:pPr>
              <w:ind w:left="260"/>
              <w:spacing w:after="0"/>
              <w:rPr>
                <w:sz w:val="20"/>
                <w:szCs w:val="20"/>
                <w:color w:val="auto"/>
              </w:rPr>
            </w:pPr>
            <w:r>
              <w:rPr>
                <w:rFonts w:ascii="Arial" w:cs="Arial" w:eastAsia="Arial" w:hAnsi="Arial"/>
                <w:sz w:val="17"/>
                <w:szCs w:val="17"/>
                <w:color w:val="auto"/>
              </w:rPr>
              <w:t>Lawrence C. Nussdorf</w:t>
            </w: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42,442</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44,510</w:t>
            </w:r>
          </w:p>
        </w:tc>
        <w:tc>
          <w:tcPr>
            <w:tcW w:w="1100" w:type="dxa"/>
            <w:vAlign w:val="bottom"/>
          </w:tcPr>
          <w:p>
            <w:pPr>
              <w:jc w:val="right"/>
              <w:spacing w:after="0"/>
              <w:rPr>
                <w:sz w:val="20"/>
                <w:szCs w:val="20"/>
                <w:color w:val="auto"/>
              </w:rPr>
            </w:pPr>
            <w:r>
              <w:rPr>
                <w:rFonts w:ascii="Arial" w:cs="Arial" w:eastAsia="Arial" w:hAnsi="Arial"/>
                <w:sz w:val="17"/>
                <w:szCs w:val="17"/>
                <w:color w:val="auto"/>
              </w:rPr>
              <w:t>86,952</w:t>
            </w:r>
          </w:p>
        </w:tc>
      </w:tr>
      <w:tr>
        <w:trPr>
          <w:trHeight w:val="203"/>
        </w:trPr>
        <w:tc>
          <w:tcPr>
            <w:tcW w:w="6240" w:type="dxa"/>
            <w:vAlign w:val="bottom"/>
            <w:shd w:val="clear" w:color="auto" w:fill="ACABA7"/>
          </w:tcPr>
          <w:p>
            <w:pPr>
              <w:ind w:left="260"/>
              <w:spacing w:after="0"/>
              <w:rPr>
                <w:sz w:val="20"/>
                <w:szCs w:val="20"/>
                <w:color w:val="auto"/>
              </w:rPr>
            </w:pPr>
            <w:r>
              <w:rPr>
                <w:rFonts w:ascii="Arial" w:cs="Arial" w:eastAsia="Arial" w:hAnsi="Arial"/>
                <w:sz w:val="17"/>
                <w:szCs w:val="17"/>
                <w:color w:val="auto"/>
              </w:rPr>
              <w:t>Robert S. Shapard</w:t>
            </w:r>
          </w:p>
        </w:tc>
        <w:tc>
          <w:tcPr>
            <w:tcW w:w="1040" w:type="dxa"/>
            <w:vAlign w:val="bottom"/>
            <w:shd w:val="clear" w:color="auto" w:fill="ACABA7"/>
          </w:tcPr>
          <w:p>
            <w:pPr>
              <w:jc w:val="right"/>
              <w:ind w:right="75"/>
              <w:spacing w:after="0"/>
              <w:rPr>
                <w:sz w:val="20"/>
                <w:szCs w:val="20"/>
                <w:color w:val="auto"/>
              </w:rPr>
            </w:pPr>
            <w:r>
              <w:rPr>
                <w:rFonts w:ascii="Arial" w:cs="Arial" w:eastAsia="Arial" w:hAnsi="Arial"/>
                <w:sz w:val="17"/>
                <w:szCs w:val="17"/>
                <w:color w:val="auto"/>
              </w:rPr>
              <w:t>17,388</w:t>
            </w:r>
          </w:p>
        </w:tc>
        <w:tc>
          <w:tcPr>
            <w:tcW w:w="900" w:type="dxa"/>
            <w:vAlign w:val="bottom"/>
            <w:shd w:val="clear" w:color="auto" w:fill="ACABA7"/>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ACABA7"/>
          </w:tcPr>
          <w:p>
            <w:pPr>
              <w:jc w:val="right"/>
              <w:ind w:right="55"/>
              <w:spacing w:after="0"/>
              <w:rPr>
                <w:sz w:val="20"/>
                <w:szCs w:val="20"/>
                <w:color w:val="auto"/>
              </w:rPr>
            </w:pPr>
            <w:r>
              <w:rPr>
                <w:rFonts w:ascii="Arial" w:cs="Arial" w:eastAsia="Arial" w:hAnsi="Arial"/>
                <w:sz w:val="17"/>
                <w:szCs w:val="17"/>
                <w:color w:val="auto"/>
              </w:rPr>
              <w:t>46,403</w:t>
            </w:r>
          </w:p>
        </w:tc>
        <w:tc>
          <w:tcPr>
            <w:tcW w:w="1100" w:type="dxa"/>
            <w:vAlign w:val="bottom"/>
            <w:shd w:val="clear" w:color="auto" w:fill="ACABA7"/>
          </w:tcPr>
          <w:p>
            <w:pPr>
              <w:jc w:val="right"/>
              <w:spacing w:after="0"/>
              <w:rPr>
                <w:sz w:val="20"/>
                <w:szCs w:val="20"/>
                <w:color w:val="auto"/>
              </w:rPr>
            </w:pPr>
            <w:r>
              <w:rPr>
                <w:rFonts w:ascii="Arial" w:cs="Arial" w:eastAsia="Arial" w:hAnsi="Arial"/>
                <w:sz w:val="17"/>
                <w:szCs w:val="17"/>
                <w:color w:val="auto"/>
              </w:rPr>
              <w:t>63,791</w:t>
            </w:r>
          </w:p>
        </w:tc>
      </w:tr>
      <w:tr>
        <w:trPr>
          <w:trHeight w:val="203"/>
        </w:trPr>
        <w:tc>
          <w:tcPr>
            <w:tcW w:w="6240" w:type="dxa"/>
            <w:vAlign w:val="bottom"/>
          </w:tcPr>
          <w:p>
            <w:pPr>
              <w:ind w:left="260"/>
              <w:spacing w:after="0"/>
              <w:rPr>
                <w:sz w:val="20"/>
                <w:szCs w:val="20"/>
                <w:color w:val="auto"/>
              </w:rPr>
            </w:pPr>
            <w:r>
              <w:rPr>
                <w:rFonts w:ascii="Arial" w:cs="Arial" w:eastAsia="Arial" w:hAnsi="Arial"/>
                <w:sz w:val="17"/>
                <w:szCs w:val="17"/>
                <w:color w:val="auto"/>
              </w:rPr>
              <w:t>Susan M. Stalnecker</w:t>
            </w: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6,003</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14,051</w:t>
            </w:r>
          </w:p>
        </w:tc>
        <w:tc>
          <w:tcPr>
            <w:tcW w:w="1100" w:type="dxa"/>
            <w:vAlign w:val="bottom"/>
          </w:tcPr>
          <w:p>
            <w:pPr>
              <w:jc w:val="right"/>
              <w:spacing w:after="0"/>
              <w:rPr>
                <w:sz w:val="20"/>
                <w:szCs w:val="20"/>
                <w:color w:val="auto"/>
              </w:rPr>
            </w:pPr>
            <w:r>
              <w:rPr>
                <w:rFonts w:ascii="Arial" w:cs="Arial" w:eastAsia="Arial" w:hAnsi="Arial"/>
                <w:sz w:val="17"/>
                <w:szCs w:val="17"/>
                <w:color w:val="auto"/>
              </w:rPr>
              <w:t>20,054</w:t>
            </w:r>
          </w:p>
        </w:tc>
      </w:tr>
      <w:tr>
        <w:trPr>
          <w:trHeight w:val="203"/>
        </w:trPr>
        <w:tc>
          <w:tcPr>
            <w:tcW w:w="6240" w:type="dxa"/>
            <w:vAlign w:val="bottom"/>
            <w:shd w:val="clear" w:color="auto" w:fill="ACABA7"/>
          </w:tcPr>
          <w:p>
            <w:pPr>
              <w:ind w:left="260"/>
              <w:spacing w:after="0"/>
              <w:rPr>
                <w:sz w:val="20"/>
                <w:szCs w:val="20"/>
                <w:color w:val="auto"/>
              </w:rPr>
            </w:pPr>
            <w:r>
              <w:rPr>
                <w:rFonts w:ascii="Arial" w:cs="Arial" w:eastAsia="Arial" w:hAnsi="Arial"/>
                <w:sz w:val="17"/>
                <w:szCs w:val="17"/>
                <w:color w:val="auto"/>
              </w:rPr>
              <w:t>Noel B. Williams</w:t>
            </w:r>
          </w:p>
        </w:tc>
        <w:tc>
          <w:tcPr>
            <w:tcW w:w="1040" w:type="dxa"/>
            <w:vAlign w:val="bottom"/>
            <w:shd w:val="clear" w:color="auto" w:fill="ACABA7"/>
          </w:tcPr>
          <w:p>
            <w:pPr>
              <w:jc w:val="right"/>
              <w:ind w:right="75"/>
              <w:spacing w:after="0"/>
              <w:rPr>
                <w:sz w:val="20"/>
                <w:szCs w:val="20"/>
                <w:color w:val="auto"/>
              </w:rPr>
            </w:pPr>
            <w:r>
              <w:rPr>
                <w:rFonts w:ascii="Arial" w:cs="Arial" w:eastAsia="Arial" w:hAnsi="Arial"/>
                <w:sz w:val="17"/>
                <w:szCs w:val="17"/>
                <w:color w:val="auto"/>
              </w:rPr>
              <w:t>13,388</w:t>
            </w:r>
          </w:p>
        </w:tc>
        <w:tc>
          <w:tcPr>
            <w:tcW w:w="900" w:type="dxa"/>
            <w:vAlign w:val="bottom"/>
            <w:shd w:val="clear" w:color="auto" w:fill="ACABA7"/>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ACABA7"/>
          </w:tcPr>
          <w:p>
            <w:pPr>
              <w:jc w:val="right"/>
              <w:ind w:right="55"/>
              <w:spacing w:after="0"/>
              <w:rPr>
                <w:sz w:val="20"/>
                <w:szCs w:val="20"/>
                <w:color w:val="auto"/>
              </w:rPr>
            </w:pPr>
            <w:r>
              <w:rPr>
                <w:rFonts w:ascii="Arial" w:cs="Arial" w:eastAsia="Arial" w:hAnsi="Arial"/>
                <w:sz w:val="17"/>
                <w:szCs w:val="17"/>
                <w:color w:val="auto"/>
              </w:rPr>
              <w:t>46,403</w:t>
            </w:r>
          </w:p>
        </w:tc>
        <w:tc>
          <w:tcPr>
            <w:tcW w:w="1100" w:type="dxa"/>
            <w:vAlign w:val="bottom"/>
            <w:shd w:val="clear" w:color="auto" w:fill="ACABA7"/>
          </w:tcPr>
          <w:p>
            <w:pPr>
              <w:jc w:val="right"/>
              <w:spacing w:after="0"/>
              <w:rPr>
                <w:sz w:val="20"/>
                <w:szCs w:val="20"/>
                <w:color w:val="auto"/>
              </w:rPr>
            </w:pPr>
            <w:r>
              <w:rPr>
                <w:rFonts w:ascii="Arial" w:cs="Arial" w:eastAsia="Arial" w:hAnsi="Arial"/>
                <w:sz w:val="17"/>
                <w:szCs w:val="17"/>
                <w:color w:val="auto"/>
              </w:rPr>
              <w:t>59,791</w:t>
            </w:r>
          </w:p>
        </w:tc>
      </w:tr>
      <w:tr>
        <w:trPr>
          <w:trHeight w:val="203"/>
        </w:trPr>
        <w:tc>
          <w:tcPr>
            <w:tcW w:w="6240" w:type="dxa"/>
            <w:vAlign w:val="bottom"/>
          </w:tcPr>
          <w:p>
            <w:pPr>
              <w:ind w:left="100"/>
              <w:spacing w:after="0"/>
              <w:rPr>
                <w:sz w:val="20"/>
                <w:szCs w:val="20"/>
                <w:color w:val="auto"/>
              </w:rPr>
            </w:pPr>
            <w:r>
              <w:rPr>
                <w:rFonts w:ascii="Arial" w:cs="Arial" w:eastAsia="Arial" w:hAnsi="Arial"/>
                <w:sz w:val="17"/>
                <w:szCs w:val="17"/>
                <w:color w:val="483E65"/>
              </w:rPr>
              <w:t>Named Executive Officers</w:t>
            </w: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240" w:type="dxa"/>
            <w:vAlign w:val="bottom"/>
            <w:shd w:val="clear" w:color="auto" w:fill="ACABA7"/>
          </w:tcPr>
          <w:p>
            <w:pPr>
              <w:ind w:left="260"/>
              <w:spacing w:after="0"/>
              <w:rPr>
                <w:sz w:val="20"/>
                <w:szCs w:val="20"/>
                <w:color w:val="auto"/>
              </w:rPr>
            </w:pPr>
            <w:r>
              <w:rPr>
                <w:rFonts w:ascii="Arial" w:cs="Arial" w:eastAsia="Arial" w:hAnsi="Arial"/>
                <w:sz w:val="17"/>
                <w:szCs w:val="17"/>
                <w:color w:val="auto"/>
              </w:rPr>
              <w:t>Roger A. Krone</w:t>
            </w:r>
          </w:p>
        </w:tc>
        <w:tc>
          <w:tcPr>
            <w:tcW w:w="1040" w:type="dxa"/>
            <w:vAlign w:val="bottom"/>
            <w:shd w:val="clear" w:color="auto" w:fill="ACABA7"/>
          </w:tcPr>
          <w:p>
            <w:pPr>
              <w:jc w:val="right"/>
              <w:ind w:right="75"/>
              <w:spacing w:after="0"/>
              <w:rPr>
                <w:sz w:val="20"/>
                <w:szCs w:val="20"/>
                <w:color w:val="auto"/>
              </w:rPr>
            </w:pPr>
            <w:r>
              <w:rPr>
                <w:rFonts w:ascii="Arial" w:cs="Arial" w:eastAsia="Arial" w:hAnsi="Arial"/>
                <w:sz w:val="17"/>
                <w:szCs w:val="17"/>
                <w:color w:val="auto"/>
              </w:rPr>
              <w:t>141,632</w:t>
            </w:r>
          </w:p>
        </w:tc>
        <w:tc>
          <w:tcPr>
            <w:tcW w:w="900" w:type="dxa"/>
            <w:vAlign w:val="bottom"/>
            <w:shd w:val="clear" w:color="auto" w:fill="ACABA7"/>
          </w:tcPr>
          <w:p>
            <w:pPr>
              <w:jc w:val="right"/>
              <w:ind w:right="35"/>
              <w:spacing w:after="0"/>
              <w:rPr>
                <w:sz w:val="20"/>
                <w:szCs w:val="20"/>
                <w:color w:val="auto"/>
              </w:rPr>
            </w:pPr>
            <w:r>
              <w:rPr>
                <w:rFonts w:ascii="Arial" w:cs="Arial" w:eastAsia="Arial" w:hAnsi="Arial"/>
                <w:sz w:val="17"/>
                <w:szCs w:val="17"/>
                <w:color w:val="auto"/>
              </w:rPr>
              <w:t>94,297</w:t>
            </w:r>
          </w:p>
        </w:tc>
        <w:tc>
          <w:tcPr>
            <w:tcW w:w="1100" w:type="dxa"/>
            <w:vAlign w:val="bottom"/>
            <w:shd w:val="clear" w:color="auto" w:fill="ACABA7"/>
          </w:tcPr>
          <w:p>
            <w:pPr>
              <w:jc w:val="right"/>
              <w:ind w:right="55"/>
              <w:spacing w:after="0"/>
              <w:rPr>
                <w:sz w:val="20"/>
                <w:szCs w:val="20"/>
                <w:color w:val="auto"/>
              </w:rPr>
            </w:pPr>
            <w:r>
              <w:rPr>
                <w:rFonts w:ascii="Arial" w:cs="Arial" w:eastAsia="Arial" w:hAnsi="Arial"/>
                <w:sz w:val="17"/>
                <w:szCs w:val="17"/>
                <w:color w:val="auto"/>
              </w:rPr>
              <w:t>569,287</w:t>
            </w:r>
          </w:p>
        </w:tc>
        <w:tc>
          <w:tcPr>
            <w:tcW w:w="1100" w:type="dxa"/>
            <w:vAlign w:val="bottom"/>
            <w:shd w:val="clear" w:color="auto" w:fill="ACABA7"/>
          </w:tcPr>
          <w:p>
            <w:pPr>
              <w:jc w:val="right"/>
              <w:spacing w:after="0"/>
              <w:rPr>
                <w:sz w:val="20"/>
                <w:szCs w:val="20"/>
                <w:color w:val="auto"/>
              </w:rPr>
            </w:pPr>
            <w:r>
              <w:rPr>
                <w:rFonts w:ascii="Arial" w:cs="Arial" w:eastAsia="Arial" w:hAnsi="Arial"/>
                <w:sz w:val="17"/>
                <w:szCs w:val="17"/>
                <w:color w:val="auto"/>
              </w:rPr>
              <w:t>805,216</w:t>
            </w:r>
          </w:p>
        </w:tc>
      </w:tr>
      <w:tr>
        <w:trPr>
          <w:trHeight w:val="203"/>
        </w:trPr>
        <w:tc>
          <w:tcPr>
            <w:tcW w:w="6240" w:type="dxa"/>
            <w:vAlign w:val="bottom"/>
          </w:tcPr>
          <w:p>
            <w:pPr>
              <w:ind w:left="260"/>
              <w:spacing w:after="0"/>
              <w:rPr>
                <w:sz w:val="20"/>
                <w:szCs w:val="20"/>
                <w:color w:val="auto"/>
              </w:rPr>
            </w:pPr>
            <w:r>
              <w:rPr>
                <w:rFonts w:ascii="Arial" w:cs="Arial" w:eastAsia="Arial" w:hAnsi="Arial"/>
                <w:sz w:val="17"/>
                <w:szCs w:val="17"/>
                <w:color w:val="auto"/>
              </w:rPr>
              <w:t>James C. Reagan</w:t>
            </w: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18,521</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73,228</w:t>
            </w: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135,858</w:t>
            </w:r>
          </w:p>
        </w:tc>
        <w:tc>
          <w:tcPr>
            <w:tcW w:w="1100" w:type="dxa"/>
            <w:vAlign w:val="bottom"/>
          </w:tcPr>
          <w:p>
            <w:pPr>
              <w:jc w:val="right"/>
              <w:spacing w:after="0"/>
              <w:rPr>
                <w:sz w:val="20"/>
                <w:szCs w:val="20"/>
                <w:color w:val="auto"/>
              </w:rPr>
            </w:pPr>
            <w:r>
              <w:rPr>
                <w:rFonts w:ascii="Arial" w:cs="Arial" w:eastAsia="Arial" w:hAnsi="Arial"/>
                <w:sz w:val="17"/>
                <w:szCs w:val="17"/>
                <w:color w:val="auto"/>
              </w:rPr>
              <w:t>227,607</w:t>
            </w:r>
          </w:p>
        </w:tc>
      </w:tr>
      <w:tr>
        <w:trPr>
          <w:trHeight w:val="203"/>
        </w:trPr>
        <w:tc>
          <w:tcPr>
            <w:tcW w:w="6240" w:type="dxa"/>
            <w:vAlign w:val="bottom"/>
            <w:shd w:val="clear" w:color="auto" w:fill="ACABA7"/>
          </w:tcPr>
          <w:p>
            <w:pPr>
              <w:ind w:left="260"/>
              <w:spacing w:after="0"/>
              <w:rPr>
                <w:sz w:val="20"/>
                <w:szCs w:val="20"/>
                <w:color w:val="auto"/>
              </w:rPr>
            </w:pPr>
            <w:r>
              <w:rPr>
                <w:rFonts w:ascii="Arial" w:cs="Arial" w:eastAsia="Arial" w:hAnsi="Arial"/>
                <w:sz w:val="17"/>
                <w:szCs w:val="17"/>
                <w:color w:val="auto"/>
              </w:rPr>
              <w:t>Jonathan W. Scholl</w:t>
            </w:r>
          </w:p>
        </w:tc>
        <w:tc>
          <w:tcPr>
            <w:tcW w:w="1040" w:type="dxa"/>
            <w:vAlign w:val="bottom"/>
            <w:shd w:val="clear" w:color="auto" w:fill="ACABA7"/>
          </w:tcPr>
          <w:p>
            <w:pPr>
              <w:jc w:val="right"/>
              <w:ind w:right="75"/>
              <w:spacing w:after="0"/>
              <w:rPr>
                <w:sz w:val="20"/>
                <w:szCs w:val="20"/>
                <w:color w:val="auto"/>
              </w:rPr>
            </w:pPr>
            <w:r>
              <w:rPr>
                <w:rFonts w:ascii="Arial" w:cs="Arial" w:eastAsia="Arial" w:hAnsi="Arial"/>
                <w:sz w:val="17"/>
                <w:szCs w:val="17"/>
                <w:color w:val="auto"/>
              </w:rPr>
              <w:t>28,639</w:t>
            </w:r>
          </w:p>
        </w:tc>
        <w:tc>
          <w:tcPr>
            <w:tcW w:w="900" w:type="dxa"/>
            <w:vAlign w:val="bottom"/>
            <w:shd w:val="clear" w:color="auto" w:fill="ACABA7"/>
          </w:tcPr>
          <w:p>
            <w:pPr>
              <w:jc w:val="right"/>
              <w:ind w:right="35"/>
              <w:spacing w:after="0"/>
              <w:rPr>
                <w:sz w:val="20"/>
                <w:szCs w:val="20"/>
                <w:color w:val="auto"/>
              </w:rPr>
            </w:pPr>
            <w:r>
              <w:rPr>
                <w:rFonts w:ascii="Arial" w:cs="Arial" w:eastAsia="Arial" w:hAnsi="Arial"/>
                <w:sz w:val="17"/>
                <w:szCs w:val="17"/>
                <w:color w:val="auto"/>
              </w:rPr>
              <w:t>9,391</w:t>
            </w:r>
          </w:p>
        </w:tc>
        <w:tc>
          <w:tcPr>
            <w:tcW w:w="1100" w:type="dxa"/>
            <w:vAlign w:val="bottom"/>
            <w:shd w:val="clear" w:color="auto" w:fill="ACABA7"/>
          </w:tcPr>
          <w:p>
            <w:pPr>
              <w:jc w:val="right"/>
              <w:ind w:right="55"/>
              <w:spacing w:after="0"/>
              <w:rPr>
                <w:sz w:val="20"/>
                <w:szCs w:val="20"/>
                <w:color w:val="auto"/>
              </w:rPr>
            </w:pPr>
            <w:r>
              <w:rPr>
                <w:rFonts w:ascii="Arial" w:cs="Arial" w:eastAsia="Arial" w:hAnsi="Arial"/>
                <w:sz w:val="17"/>
                <w:szCs w:val="17"/>
                <w:color w:val="auto"/>
              </w:rPr>
              <w:t>81,634</w:t>
            </w:r>
          </w:p>
        </w:tc>
        <w:tc>
          <w:tcPr>
            <w:tcW w:w="1100" w:type="dxa"/>
            <w:vAlign w:val="bottom"/>
            <w:shd w:val="clear" w:color="auto" w:fill="ACABA7"/>
          </w:tcPr>
          <w:p>
            <w:pPr>
              <w:jc w:val="right"/>
              <w:spacing w:after="0"/>
              <w:rPr>
                <w:sz w:val="20"/>
                <w:szCs w:val="20"/>
                <w:color w:val="auto"/>
              </w:rPr>
            </w:pPr>
            <w:r>
              <w:rPr>
                <w:rFonts w:ascii="Arial" w:cs="Arial" w:eastAsia="Arial" w:hAnsi="Arial"/>
                <w:sz w:val="17"/>
                <w:szCs w:val="17"/>
                <w:color w:val="auto"/>
              </w:rPr>
              <w:t>119,664</w:t>
            </w:r>
          </w:p>
        </w:tc>
      </w:tr>
      <w:tr>
        <w:trPr>
          <w:trHeight w:val="203"/>
        </w:trPr>
        <w:tc>
          <w:tcPr>
            <w:tcW w:w="6240" w:type="dxa"/>
            <w:vAlign w:val="bottom"/>
          </w:tcPr>
          <w:p>
            <w:pPr>
              <w:ind w:left="260"/>
              <w:spacing w:after="0"/>
              <w:rPr>
                <w:sz w:val="20"/>
                <w:szCs w:val="20"/>
                <w:color w:val="auto"/>
              </w:rPr>
            </w:pPr>
            <w:r>
              <w:rPr>
                <w:rFonts w:ascii="Arial" w:cs="Arial" w:eastAsia="Arial" w:hAnsi="Arial"/>
                <w:sz w:val="17"/>
                <w:szCs w:val="17"/>
                <w:color w:val="auto"/>
              </w:rPr>
              <w:t>Jerald S. Howe, Jr.</w:t>
            </w: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2,000</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2,084</w:t>
            </w: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16,352</w:t>
            </w:r>
          </w:p>
        </w:tc>
        <w:tc>
          <w:tcPr>
            <w:tcW w:w="1100" w:type="dxa"/>
            <w:vAlign w:val="bottom"/>
          </w:tcPr>
          <w:p>
            <w:pPr>
              <w:jc w:val="right"/>
              <w:spacing w:after="0"/>
              <w:rPr>
                <w:sz w:val="20"/>
                <w:szCs w:val="20"/>
                <w:color w:val="auto"/>
              </w:rPr>
            </w:pPr>
            <w:r>
              <w:rPr>
                <w:rFonts w:ascii="Arial" w:cs="Arial" w:eastAsia="Arial" w:hAnsi="Arial"/>
                <w:sz w:val="17"/>
                <w:szCs w:val="17"/>
                <w:color w:val="auto"/>
              </w:rPr>
              <w:t>20,436</w:t>
            </w:r>
          </w:p>
        </w:tc>
      </w:tr>
      <w:tr>
        <w:trPr>
          <w:trHeight w:val="203"/>
        </w:trPr>
        <w:tc>
          <w:tcPr>
            <w:tcW w:w="6240" w:type="dxa"/>
            <w:vAlign w:val="bottom"/>
            <w:shd w:val="clear" w:color="auto" w:fill="ACABA7"/>
          </w:tcPr>
          <w:p>
            <w:pPr>
              <w:ind w:left="260"/>
              <w:spacing w:after="0"/>
              <w:rPr>
                <w:sz w:val="20"/>
                <w:szCs w:val="20"/>
                <w:color w:val="auto"/>
              </w:rPr>
            </w:pPr>
            <w:r>
              <w:rPr>
                <w:rFonts w:ascii="Arial" w:cs="Arial" w:eastAsia="Arial" w:hAnsi="Arial"/>
                <w:sz w:val="17"/>
                <w:szCs w:val="17"/>
                <w:color w:val="auto"/>
              </w:rPr>
              <w:t>Gerard A. Fasano</w:t>
            </w:r>
          </w:p>
        </w:tc>
        <w:tc>
          <w:tcPr>
            <w:tcW w:w="1040" w:type="dxa"/>
            <w:vAlign w:val="bottom"/>
            <w:shd w:val="clear" w:color="auto" w:fill="ACABA7"/>
          </w:tcPr>
          <w:p>
            <w:pPr>
              <w:jc w:val="right"/>
              <w:ind w:right="75"/>
              <w:spacing w:after="0"/>
              <w:rPr>
                <w:sz w:val="20"/>
                <w:szCs w:val="20"/>
                <w:color w:val="auto"/>
              </w:rPr>
            </w:pPr>
            <w:r>
              <w:rPr>
                <w:rFonts w:ascii="Arial" w:cs="Arial" w:eastAsia="Arial" w:hAnsi="Arial"/>
                <w:sz w:val="17"/>
                <w:szCs w:val="17"/>
                <w:color w:val="auto"/>
              </w:rPr>
              <w:t>32,302</w:t>
            </w:r>
          </w:p>
        </w:tc>
        <w:tc>
          <w:tcPr>
            <w:tcW w:w="900" w:type="dxa"/>
            <w:vAlign w:val="bottom"/>
            <w:shd w:val="clear" w:color="auto" w:fill="ACABA7"/>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ACABA7"/>
          </w:tcPr>
          <w:p>
            <w:pPr>
              <w:jc w:val="right"/>
              <w:ind w:right="55"/>
              <w:spacing w:after="0"/>
              <w:rPr>
                <w:sz w:val="20"/>
                <w:szCs w:val="20"/>
                <w:color w:val="auto"/>
              </w:rPr>
            </w:pPr>
            <w:r>
              <w:rPr>
                <w:rFonts w:ascii="Arial" w:cs="Arial" w:eastAsia="Arial" w:hAnsi="Arial"/>
                <w:sz w:val="17"/>
                <w:szCs w:val="17"/>
                <w:color w:val="auto"/>
              </w:rPr>
              <w:t>22,615</w:t>
            </w:r>
          </w:p>
        </w:tc>
        <w:tc>
          <w:tcPr>
            <w:tcW w:w="1100" w:type="dxa"/>
            <w:vAlign w:val="bottom"/>
            <w:shd w:val="clear" w:color="auto" w:fill="ACABA7"/>
          </w:tcPr>
          <w:p>
            <w:pPr>
              <w:jc w:val="right"/>
              <w:spacing w:after="0"/>
              <w:rPr>
                <w:sz w:val="20"/>
                <w:szCs w:val="20"/>
                <w:color w:val="auto"/>
              </w:rPr>
            </w:pPr>
            <w:r>
              <w:rPr>
                <w:rFonts w:ascii="Arial" w:cs="Arial" w:eastAsia="Arial" w:hAnsi="Arial"/>
                <w:sz w:val="17"/>
                <w:szCs w:val="17"/>
                <w:color w:val="auto"/>
              </w:rPr>
              <w:t>54,917</w:t>
            </w:r>
          </w:p>
        </w:tc>
      </w:tr>
      <w:tr>
        <w:trPr>
          <w:trHeight w:val="203"/>
        </w:trPr>
        <w:tc>
          <w:tcPr>
            <w:tcW w:w="6240" w:type="dxa"/>
            <w:vAlign w:val="bottom"/>
          </w:tcPr>
          <w:p>
            <w:pPr>
              <w:ind w:left="260"/>
              <w:spacing w:after="0"/>
              <w:rPr>
                <w:sz w:val="20"/>
                <w:szCs w:val="20"/>
                <w:color w:val="auto"/>
              </w:rPr>
            </w:pPr>
            <w:r>
              <w:rPr>
                <w:rFonts w:ascii="Arial" w:cs="Arial" w:eastAsia="Arial" w:hAnsi="Arial"/>
                <w:sz w:val="17"/>
                <w:szCs w:val="17"/>
                <w:color w:val="auto"/>
              </w:rPr>
              <w:t>Angela L. Heise</w:t>
            </w: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32,524</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1,017</w:t>
            </w:r>
          </w:p>
        </w:tc>
        <w:tc>
          <w:tcPr>
            <w:tcW w:w="1100" w:type="dxa"/>
            <w:vAlign w:val="bottom"/>
          </w:tcPr>
          <w:p>
            <w:pPr>
              <w:jc w:val="right"/>
              <w:spacing w:after="0"/>
              <w:rPr>
                <w:sz w:val="20"/>
                <w:szCs w:val="20"/>
                <w:color w:val="auto"/>
              </w:rPr>
            </w:pPr>
            <w:r>
              <w:rPr>
                <w:rFonts w:ascii="Arial" w:cs="Arial" w:eastAsia="Arial" w:hAnsi="Arial"/>
                <w:sz w:val="17"/>
                <w:szCs w:val="17"/>
                <w:color w:val="auto"/>
              </w:rPr>
              <w:t>33,541</w:t>
            </w:r>
          </w:p>
        </w:tc>
      </w:tr>
      <w:tr>
        <w:trPr>
          <w:trHeight w:val="202"/>
        </w:trPr>
        <w:tc>
          <w:tcPr>
            <w:tcW w:w="6240" w:type="dxa"/>
            <w:vAlign w:val="bottom"/>
            <w:shd w:val="clear" w:color="auto" w:fill="ACABA7"/>
          </w:tcPr>
          <w:p>
            <w:pPr>
              <w:ind w:left="420"/>
              <w:spacing w:after="0"/>
              <w:rPr>
                <w:sz w:val="20"/>
                <w:szCs w:val="20"/>
                <w:color w:val="auto"/>
              </w:rPr>
            </w:pPr>
            <w:r>
              <w:rPr>
                <w:rFonts w:ascii="Arial" w:cs="Arial" w:eastAsia="Arial" w:hAnsi="Arial"/>
                <w:sz w:val="17"/>
                <w:szCs w:val="17"/>
                <w:color w:val="483E65"/>
              </w:rPr>
              <w:t>All directors and executive officers</w:t>
            </w:r>
          </w:p>
        </w:tc>
        <w:tc>
          <w:tcPr>
            <w:tcW w:w="1040" w:type="dxa"/>
            <w:vAlign w:val="bottom"/>
            <w:shd w:val="clear" w:color="auto" w:fill="ACABA7"/>
          </w:tcPr>
          <w:p>
            <w:pPr>
              <w:spacing w:after="0"/>
              <w:rPr>
                <w:sz w:val="17"/>
                <w:szCs w:val="17"/>
                <w:color w:val="auto"/>
              </w:rPr>
            </w:pPr>
          </w:p>
        </w:tc>
        <w:tc>
          <w:tcPr>
            <w:tcW w:w="900" w:type="dxa"/>
            <w:vAlign w:val="bottom"/>
            <w:shd w:val="clear" w:color="auto" w:fill="ACABA7"/>
          </w:tcPr>
          <w:p>
            <w:pPr>
              <w:spacing w:after="0"/>
              <w:rPr>
                <w:sz w:val="17"/>
                <w:szCs w:val="17"/>
                <w:color w:val="auto"/>
              </w:rPr>
            </w:pPr>
          </w:p>
        </w:tc>
        <w:tc>
          <w:tcPr>
            <w:tcW w:w="1100" w:type="dxa"/>
            <w:vAlign w:val="bottom"/>
            <w:shd w:val="clear" w:color="auto" w:fill="ACABA7"/>
          </w:tcPr>
          <w:p>
            <w:pPr>
              <w:spacing w:after="0"/>
              <w:rPr>
                <w:sz w:val="17"/>
                <w:szCs w:val="17"/>
                <w:color w:val="auto"/>
              </w:rPr>
            </w:pPr>
          </w:p>
        </w:tc>
        <w:tc>
          <w:tcPr>
            <w:tcW w:w="1100" w:type="dxa"/>
            <w:vAlign w:val="bottom"/>
            <w:shd w:val="clear" w:color="auto" w:fill="ACABA7"/>
          </w:tcPr>
          <w:p>
            <w:pPr>
              <w:spacing w:after="0"/>
              <w:rPr>
                <w:sz w:val="17"/>
                <w:szCs w:val="17"/>
                <w:color w:val="auto"/>
              </w:rPr>
            </w:pPr>
          </w:p>
        </w:tc>
      </w:tr>
      <w:tr>
        <w:trPr>
          <w:trHeight w:val="204"/>
        </w:trPr>
        <w:tc>
          <w:tcPr>
            <w:tcW w:w="6240" w:type="dxa"/>
            <w:vAlign w:val="bottom"/>
            <w:shd w:val="clear" w:color="auto" w:fill="ACABA7"/>
          </w:tcPr>
          <w:p>
            <w:pPr>
              <w:ind w:left="440"/>
              <w:spacing w:after="0"/>
              <w:rPr>
                <w:sz w:val="20"/>
                <w:szCs w:val="20"/>
                <w:color w:val="auto"/>
              </w:rPr>
            </w:pPr>
            <w:r>
              <w:rPr>
                <w:rFonts w:ascii="Arial" w:cs="Arial" w:eastAsia="Arial" w:hAnsi="Arial"/>
                <w:sz w:val="17"/>
                <w:szCs w:val="17"/>
                <w:color w:val="483E65"/>
              </w:rPr>
              <w:t>as a group (23 persons)</w:t>
            </w:r>
          </w:p>
        </w:tc>
        <w:tc>
          <w:tcPr>
            <w:tcW w:w="1040" w:type="dxa"/>
            <w:vAlign w:val="bottom"/>
            <w:shd w:val="clear" w:color="auto" w:fill="ACABA7"/>
          </w:tcPr>
          <w:p>
            <w:pPr>
              <w:jc w:val="right"/>
              <w:ind w:right="75"/>
              <w:spacing w:after="0"/>
              <w:rPr>
                <w:sz w:val="20"/>
                <w:szCs w:val="20"/>
                <w:color w:val="auto"/>
              </w:rPr>
            </w:pPr>
            <w:r>
              <w:rPr>
                <w:rFonts w:ascii="Arial" w:cs="Arial" w:eastAsia="Arial" w:hAnsi="Arial"/>
                <w:sz w:val="17"/>
                <w:szCs w:val="17"/>
                <w:color w:val="auto"/>
              </w:rPr>
              <w:t>467,776</w:t>
            </w:r>
          </w:p>
        </w:tc>
        <w:tc>
          <w:tcPr>
            <w:tcW w:w="900" w:type="dxa"/>
            <w:vAlign w:val="bottom"/>
            <w:shd w:val="clear" w:color="auto" w:fill="ACABA7"/>
          </w:tcPr>
          <w:p>
            <w:pPr>
              <w:jc w:val="right"/>
              <w:ind w:right="35"/>
              <w:spacing w:after="0"/>
              <w:rPr>
                <w:sz w:val="20"/>
                <w:szCs w:val="20"/>
                <w:color w:val="auto"/>
              </w:rPr>
            </w:pPr>
            <w:r>
              <w:rPr>
                <w:rFonts w:ascii="Arial" w:cs="Arial" w:eastAsia="Arial" w:hAnsi="Arial"/>
                <w:sz w:val="17"/>
                <w:szCs w:val="17"/>
                <w:color w:val="auto"/>
              </w:rPr>
              <w:t>386,156</w:t>
            </w:r>
          </w:p>
        </w:tc>
        <w:tc>
          <w:tcPr>
            <w:tcW w:w="1100" w:type="dxa"/>
            <w:vAlign w:val="bottom"/>
            <w:shd w:val="clear" w:color="auto" w:fill="ACABA7"/>
          </w:tcPr>
          <w:p>
            <w:pPr>
              <w:jc w:val="right"/>
              <w:ind w:right="55"/>
              <w:spacing w:after="0"/>
              <w:rPr>
                <w:sz w:val="20"/>
                <w:szCs w:val="20"/>
                <w:color w:val="auto"/>
              </w:rPr>
            </w:pPr>
            <w:r>
              <w:rPr>
                <w:rFonts w:ascii="Arial" w:cs="Arial" w:eastAsia="Arial" w:hAnsi="Arial"/>
                <w:sz w:val="17"/>
                <w:szCs w:val="17"/>
                <w:color w:val="auto"/>
              </w:rPr>
              <w:t>1,255,907</w:t>
            </w:r>
          </w:p>
        </w:tc>
        <w:tc>
          <w:tcPr>
            <w:tcW w:w="1100" w:type="dxa"/>
            <w:vAlign w:val="bottom"/>
            <w:shd w:val="clear" w:color="auto" w:fill="ACABA7"/>
          </w:tcPr>
          <w:p>
            <w:pPr>
              <w:jc w:val="right"/>
              <w:spacing w:after="0"/>
              <w:rPr>
                <w:sz w:val="20"/>
                <w:szCs w:val="20"/>
                <w:color w:val="auto"/>
              </w:rPr>
            </w:pPr>
            <w:r>
              <w:rPr>
                <w:rFonts w:ascii="Arial" w:cs="Arial" w:eastAsia="Arial" w:hAnsi="Arial"/>
                <w:sz w:val="17"/>
                <w:szCs w:val="17"/>
                <w:color w:val="auto"/>
              </w:rPr>
              <w:t>2,109,893</w:t>
            </w:r>
          </w:p>
        </w:tc>
      </w:tr>
    </w:tbl>
    <w:p>
      <w:pPr>
        <w:spacing w:after="0" w:line="228" w:lineRule="exact"/>
        <w:rPr>
          <w:sz w:val="20"/>
          <w:szCs w:val="20"/>
          <w:color w:val="auto"/>
        </w:rPr>
      </w:pPr>
    </w:p>
    <w:p>
      <w:pPr>
        <w:ind w:left="940" w:right="40" w:hanging="500"/>
        <w:spacing w:after="0" w:line="273" w:lineRule="auto"/>
        <w:tabs>
          <w:tab w:leader="none" w:pos="9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vested stock units attributable to the individual or the group in the Key Executive Stock Deferral Plan. Shares held in these plans are voted by the trustee in the same proportion as all other stockholders collectively vote their shares of common stock.</w:t>
      </w:r>
    </w:p>
    <w:p>
      <w:pPr>
        <w:spacing w:after="0" w:line="76" w:lineRule="exact"/>
        <w:rPr>
          <w:rFonts w:ascii="Arial" w:cs="Arial" w:eastAsia="Arial" w:hAnsi="Arial"/>
          <w:sz w:val="16"/>
          <w:szCs w:val="16"/>
          <w:color w:val="auto"/>
        </w:rPr>
      </w:pPr>
    </w:p>
    <w:p>
      <w:pPr>
        <w:ind w:left="940" w:hanging="500"/>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Shares subject to options exercisable or restricted stock units subject to vesting, both within 60 days following February 28, 2020.</w:t>
      </w:r>
    </w:p>
    <w:p>
      <w:pPr>
        <w:spacing w:after="0" w:line="119" w:lineRule="exact"/>
        <w:rPr>
          <w:rFonts w:ascii="Arial" w:cs="Arial" w:eastAsia="Arial" w:hAnsi="Arial"/>
          <w:sz w:val="17"/>
          <w:szCs w:val="17"/>
          <w:color w:val="auto"/>
        </w:rPr>
      </w:pPr>
    </w:p>
    <w:p>
      <w:pPr>
        <w:ind w:left="8680"/>
        <w:spacing w:after="0"/>
        <w:rPr>
          <w:rFonts w:ascii="Arial" w:cs="Arial" w:eastAsia="Arial" w:hAnsi="Arial"/>
          <w:sz w:val="17"/>
          <w:szCs w:val="17"/>
          <w:color w:val="auto"/>
        </w:rPr>
      </w:pPr>
      <w:r>
        <w:rPr>
          <w:rFonts w:ascii="Arial" w:cs="Arial" w:eastAsia="Arial" w:hAnsi="Arial"/>
          <w:sz w:val="15"/>
          <w:szCs w:val="15"/>
          <w:b w:val="1"/>
          <w:bCs w:val="1"/>
          <w:color w:val="483E65"/>
        </w:rPr>
        <w:t>2020 Proxy Statement  |  55</w:t>
      </w:r>
    </w:p>
    <w:p>
      <w:pPr>
        <w:sectPr>
          <w:pgSz w:w="11900" w:h="16838" w:orient="portrait"/>
          <w:cols w:equalWidth="0" w:num="1">
            <w:col w:w="10820"/>
          </w:cols>
          <w:pgMar w:left="320" w:top="441" w:right="75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483E65"/>
        </w:rPr>
        <w:t>Stockholder Proposals for the 2021 Annual Meeting</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Any stockholder proposals intended to be presented at the 2021 annual meeting of stockholders must be received by us no later</w:t>
      </w:r>
    </w:p>
    <w:p>
      <w:pPr>
        <w:ind w:left="440"/>
        <w:spacing w:after="0"/>
        <w:tabs>
          <w:tab w:leader="none" w:pos="1320" w:val="left"/>
        </w:tabs>
        <w:rPr>
          <w:sz w:val="20"/>
          <w:szCs w:val="20"/>
          <w:color w:val="auto"/>
        </w:rPr>
      </w:pPr>
      <w:r>
        <w:rPr>
          <w:rFonts w:ascii="Arial" w:cs="Arial" w:eastAsia="Arial" w:hAnsi="Arial"/>
          <w:sz w:val="17"/>
          <w:szCs w:val="17"/>
          <w:color w:val="auto"/>
        </w:rPr>
        <w:t>than</w:t>
      </w:r>
      <w:r>
        <w:rPr>
          <w:sz w:val="20"/>
          <w:szCs w:val="20"/>
          <w:color w:val="auto"/>
        </w:rPr>
        <w:tab/>
      </w:r>
      <w:r>
        <w:rPr>
          <w:rFonts w:ascii="Arial" w:cs="Arial" w:eastAsia="Arial" w:hAnsi="Arial"/>
          <w:sz w:val="17"/>
          <w:szCs w:val="17"/>
          <w:color w:val="auto"/>
        </w:rPr>
        <w:t>, 2020 in order to be considered for inclusion in our Proxy Statement and form of proxy relating to that meeting.</w:t>
      </w:r>
    </w:p>
    <w:p>
      <w:pPr>
        <w:spacing w:after="0" w:line="198" w:lineRule="exact"/>
        <w:rPr>
          <w:sz w:val="20"/>
          <w:szCs w:val="20"/>
          <w:color w:val="auto"/>
        </w:rPr>
      </w:pPr>
    </w:p>
    <w:p>
      <w:pPr>
        <w:ind w:left="440"/>
        <w:spacing w:after="0" w:line="234" w:lineRule="auto"/>
        <w:rPr>
          <w:sz w:val="20"/>
          <w:szCs w:val="20"/>
          <w:color w:val="auto"/>
        </w:rPr>
      </w:pPr>
      <w:r>
        <w:rPr>
          <w:rFonts w:ascii="Arial" w:cs="Arial" w:eastAsia="Arial" w:hAnsi="Arial"/>
          <w:sz w:val="17"/>
          <w:szCs w:val="17"/>
          <w:color w:val="auto"/>
        </w:rPr>
        <w:t>Our proxy access bylaws permit a stockholder or group of stockholders (up to 20) who have owned at least three percent of common stock for at least three years to submit director nominees for inclusion in our Proxy Statement if the nominating stockholder(s) satisfies the requirements specified in the bylaws. To be timely, the notice must be delivered to the Corporate Secretary not later than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nor earlier than the close of business on the 150</w:t>
      </w:r>
      <w:r>
        <w:rPr>
          <w:rFonts w:ascii="Arial" w:cs="Arial" w:eastAsia="Arial" w:hAnsi="Arial"/>
          <w:sz w:val="14"/>
          <w:szCs w:val="14"/>
          <w:color w:val="auto"/>
        </w:rPr>
        <w:t>th</w:t>
      </w:r>
      <w:r>
        <w:rPr>
          <w:rFonts w:ascii="Arial" w:cs="Arial" w:eastAsia="Arial" w:hAnsi="Arial"/>
          <w:sz w:val="17"/>
          <w:szCs w:val="17"/>
          <w:color w:val="auto"/>
        </w:rPr>
        <w:t xml:space="preserve"> day, prior to the first anniversary of the date that the proxy statement for the annual meeting was sent to stockholders. In the event, however, that the annual meeting is not scheduled to be held within a period that begins 30 days before the first anniversary date of the preceding year’s annual meeting of stockholders and ends 30 days after the first anniversary date of the preceding year’s annual meeting of stockholders, then the notice of nomination must be provided by the later of the close of business on the date that is 180 days prior to the annual meeting or the tenth day following the date such annual meeting is first publicly announced or disclosed. Therefore, in connection with the 2021 annual meeting of stockholders,</w:t>
      </w:r>
    </w:p>
    <w:p>
      <w:pPr>
        <w:ind w:left="440"/>
        <w:spacing w:after="0"/>
        <w:tabs>
          <w:tab w:leader="none" w:pos="5600" w:val="left"/>
          <w:tab w:leader="none" w:pos="6500" w:val="left"/>
        </w:tabs>
        <w:rPr>
          <w:sz w:val="20"/>
          <w:szCs w:val="20"/>
          <w:color w:val="auto"/>
        </w:rPr>
      </w:pPr>
      <w:r>
        <w:rPr>
          <w:rFonts w:ascii="Arial" w:cs="Arial" w:eastAsia="Arial" w:hAnsi="Arial"/>
          <w:sz w:val="17"/>
          <w:szCs w:val="17"/>
          <w:color w:val="auto"/>
        </w:rPr>
        <w:t>notice must be delivered to the Corporate Secretary between</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6"/>
          <w:szCs w:val="16"/>
          <w:color w:val="auto"/>
        </w:rPr>
        <w:t>, 2020.</w:t>
      </w:r>
    </w:p>
    <w:p>
      <w:pPr>
        <w:spacing w:after="0" w:line="198" w:lineRule="exact"/>
        <w:rPr>
          <w:sz w:val="20"/>
          <w:szCs w:val="20"/>
          <w:color w:val="auto"/>
        </w:rPr>
      </w:pPr>
    </w:p>
    <w:p>
      <w:pPr>
        <w:ind w:left="440" w:right="20"/>
        <w:spacing w:after="0" w:line="248" w:lineRule="auto"/>
        <w:rPr>
          <w:sz w:val="20"/>
          <w:szCs w:val="20"/>
          <w:color w:val="auto"/>
        </w:rPr>
      </w:pPr>
      <w:r>
        <w:rPr>
          <w:rFonts w:ascii="Arial" w:cs="Arial" w:eastAsia="Arial" w:hAnsi="Arial"/>
          <w:sz w:val="16"/>
          <w:szCs w:val="16"/>
          <w:color w:val="auto"/>
        </w:rPr>
        <w:t>In addition, Sections 2.07 and 3.03 of our bylaws provides that, in order for a stockholder to propose any matter (including nominations for directors) for consideration at the annual meeting (other than by inclusion in the Proxy Statement), such stockholder must give timely notice to our Corporate Secretary of his or her intention to bring such business before the meeting. To be timely, notice must be delivered to the Corporate Secretary not later than the close of business on the 90th day, nor earlier than the close of business on the 120th day, prior to the first anniversary of the preceding year’s annual meeting. In the event, however, that the date of the annual meeting is more than 30 days before or more than 70 days after such anniversary date, notice by the stockholder must be delivered not earlier than the close of business on the 120th day prior to such annual meeting and not later than the close of business on the 90th day prior to such annual meeting or the 10th day following the day on which public announcement of the date of such meeting is first made by us, whichever occurs later. Therefore, in connection with the 2021 annual meeting of stockholders, notice must be delivered to the Corporate</w:t>
      </w:r>
    </w:p>
    <w:p>
      <w:pPr>
        <w:spacing w:after="0" w:line="4" w:lineRule="exact"/>
        <w:rPr>
          <w:sz w:val="20"/>
          <w:szCs w:val="20"/>
          <w:color w:val="auto"/>
        </w:rPr>
      </w:pPr>
    </w:p>
    <w:p>
      <w:pPr>
        <w:ind w:left="440"/>
        <w:spacing w:after="0"/>
        <w:tabs>
          <w:tab w:leader="none" w:pos="2400" w:val="left"/>
          <w:tab w:leader="none" w:pos="3240" w:val="left"/>
        </w:tabs>
        <w:rPr>
          <w:sz w:val="20"/>
          <w:szCs w:val="20"/>
          <w:color w:val="auto"/>
        </w:rPr>
      </w:pPr>
      <w:r>
        <w:rPr>
          <w:rFonts w:ascii="Arial" w:cs="Arial" w:eastAsia="Arial" w:hAnsi="Arial"/>
          <w:sz w:val="17"/>
          <w:szCs w:val="17"/>
          <w:color w:val="auto"/>
        </w:rPr>
        <w:t>Secretary between</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6"/>
          <w:szCs w:val="16"/>
          <w:color w:val="auto"/>
        </w:rPr>
        <w:t>, 2021 .</w:t>
      </w:r>
    </w:p>
    <w:p>
      <w:pPr>
        <w:spacing w:after="0" w:line="198" w:lineRule="exact"/>
        <w:rPr>
          <w:sz w:val="20"/>
          <w:szCs w:val="20"/>
          <w:color w:val="auto"/>
        </w:rPr>
      </w:pPr>
    </w:p>
    <w:p>
      <w:pPr>
        <w:ind w:left="440" w:right="60"/>
        <w:spacing w:after="0" w:line="236" w:lineRule="auto"/>
        <w:rPr>
          <w:sz w:val="20"/>
          <w:szCs w:val="20"/>
          <w:color w:val="auto"/>
        </w:rPr>
      </w:pPr>
      <w:r>
        <w:rPr>
          <w:rFonts w:ascii="Arial" w:cs="Arial" w:eastAsia="Arial" w:hAnsi="Arial"/>
          <w:sz w:val="17"/>
          <w:szCs w:val="17"/>
          <w:color w:val="auto"/>
        </w:rPr>
        <w:t>Such stockholder’s notice must include certain information about the stockholder and the underlying beneficial owner, if any, including his or her name, age, address, occupation, shares, rights to acquire shares, information about derivatives, hedges, short positions, understandings or agreements regarding the economic and voting interests of the stockholder and related persons with respect to our stock, if any, and such other information as would be required to be disclosed in a proxy statement soliciting proxies for the election of the proposed nominee. A stockholder’s notice must be updated, if necessary, so that the information submitted is true and correct as of the record date for determining stockholders entitled to receive notice of the meeting.</w:t>
      </w:r>
    </w:p>
    <w:p>
      <w:pPr>
        <w:spacing w:after="0" w:line="115" w:lineRule="exact"/>
        <w:rPr>
          <w:sz w:val="20"/>
          <w:szCs w:val="20"/>
          <w:color w:val="auto"/>
        </w:r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56</w:t>
        <w:tab/>
        <w:t>|</w:t>
        <w:tab/>
        <w:t>2020 Proxy Statement</w:t>
      </w:r>
    </w:p>
    <w:p>
      <w:pPr>
        <w:sectPr>
          <w:pgSz w:w="11900" w:h="16838" w:orient="portrait"/>
          <w:cols w:equalWidth="0" w:num="1">
            <w:col w:w="10760"/>
          </w:cols>
          <w:pgMar w:left="320" w:top="441" w:right="81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Information About Voting Rights and 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88" w:lineRule="exact"/>
        <w:rPr>
          <w:sz w:val="20"/>
          <w:szCs w:val="20"/>
          <w:color w:val="auto"/>
        </w:rPr>
      </w:pPr>
    </w:p>
    <w:p>
      <w:pPr>
        <w:ind w:left="440"/>
        <w:spacing w:after="0"/>
        <w:rPr>
          <w:sz w:val="20"/>
          <w:szCs w:val="20"/>
          <w:color w:val="auto"/>
        </w:rPr>
      </w:pPr>
      <w:r>
        <w:rPr>
          <w:rFonts w:ascii="Arial" w:cs="Arial" w:eastAsia="Arial" w:hAnsi="Arial"/>
          <w:sz w:val="20"/>
          <w:szCs w:val="20"/>
          <w:color w:val="483E65"/>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59690</wp:posOffset>
            </wp:positionV>
            <wp:extent cx="6583680" cy="158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583680" cy="15875"/>
                    </a:xfrm>
                    <a:prstGeom prst="rect">
                      <a:avLst/>
                    </a:prstGeom>
                    <a:noFill/>
                  </pic:spPr>
                </pic:pic>
              </a:graphicData>
            </a:graphic>
          </wp:anchor>
        </w:drawing>
      </w:r>
    </w:p>
    <w:p>
      <w:pPr>
        <w:sectPr>
          <w:pgSz w:w="11900" w:h="16838" w:orient="portrait"/>
          <w:cols w:equalWidth="0" w:num="1">
            <w:col w:w="10800"/>
          </w:cols>
          <w:pgMar w:left="320" w:top="441" w:right="77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both"/>
        <w:ind w:left="540"/>
        <w:spacing w:after="0" w:line="248" w:lineRule="auto"/>
        <w:rPr>
          <w:sz w:val="20"/>
          <w:szCs w:val="20"/>
          <w:color w:val="auto"/>
        </w:rPr>
      </w:pPr>
      <w:r>
        <w:rPr>
          <w:rFonts w:ascii="Arial" w:cs="Arial" w:eastAsia="Arial" w:hAnsi="Arial"/>
          <w:sz w:val="16"/>
          <w:szCs w:val="16"/>
          <w:color w:val="auto"/>
        </w:rPr>
        <w:t>Only stockholders of record of our common stock as of the close of business on our record date of March 10, 2020 are entitled to notice of, and to vote at, the annual meeting. As of March 10,</w:t>
      </w:r>
    </w:p>
    <w:p>
      <w:pPr>
        <w:spacing w:after="0" w:line="1" w:lineRule="exact"/>
        <w:rPr>
          <w:sz w:val="20"/>
          <w:szCs w:val="20"/>
          <w:color w:val="auto"/>
        </w:rPr>
      </w:pPr>
    </w:p>
    <w:p>
      <w:pPr>
        <w:ind w:left="540" w:right="220"/>
        <w:spacing w:after="0" w:line="243" w:lineRule="auto"/>
        <w:rPr>
          <w:sz w:val="20"/>
          <w:szCs w:val="20"/>
          <w:color w:val="auto"/>
        </w:rPr>
      </w:pPr>
      <w:r>
        <w:rPr>
          <w:rFonts w:ascii="Arial" w:cs="Arial" w:eastAsia="Arial" w:hAnsi="Arial"/>
          <w:sz w:val="17"/>
          <w:szCs w:val="17"/>
          <w:color w:val="auto"/>
        </w:rPr>
        <w:t>2020, there were shares of common stock outstanding and entitled to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We have no other class of capital stock outstanding. A list of stockholders entitled to vote at the meeting will be available for inspection at 1750 Presidents Street, Reston, Virginia for at least 10 days prior to the meeting and will also be available for inspection at the meeting.</w:t>
      </w:r>
    </w:p>
    <w:p>
      <w:pPr>
        <w:spacing w:after="0" w:line="202" w:lineRule="exact"/>
        <w:rPr>
          <w:sz w:val="20"/>
          <w:szCs w:val="20"/>
          <w:color w:val="auto"/>
        </w:rPr>
      </w:pPr>
    </w:p>
    <w:p>
      <w:pPr>
        <w:sectPr>
          <w:pgSz w:w="11900" w:h="16838" w:orient="portrait"/>
          <w:cols w:equalWidth="0" w:num="2">
            <w:col w:w="5360" w:space="460"/>
            <w:col w:w="4980"/>
          </w:cols>
          <w:pgMar w:left="320" w:top="441" w:right="779" w:bottom="1440" w:gutter="0" w:footer="0" w:header="0"/>
          <w:type w:val="continuous"/>
        </w:sectPr>
      </w:pPr>
    </w:p>
    <w:p>
      <w:pPr>
        <w:spacing w:after="0" w:line="250" w:lineRule="exact"/>
        <w:rPr>
          <w:sz w:val="20"/>
          <w:szCs w:val="20"/>
          <w:color w:val="auto"/>
        </w:rPr>
      </w:pPr>
    </w:p>
    <w:p>
      <w:pPr>
        <w:ind w:left="440"/>
        <w:spacing w:after="0"/>
        <w:rPr>
          <w:sz w:val="20"/>
          <w:szCs w:val="20"/>
          <w:color w:val="auto"/>
        </w:rPr>
      </w:pPr>
      <w:r>
        <w:rPr>
          <w:rFonts w:ascii="Arial" w:cs="Arial" w:eastAsia="Arial" w:hAnsi="Arial"/>
          <w:sz w:val="20"/>
          <w:szCs w:val="20"/>
          <w:color w:val="483E65"/>
        </w:rPr>
        <w:t>Do I need an admission ticket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59690</wp:posOffset>
            </wp:positionV>
            <wp:extent cx="6583680" cy="158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583680" cy="15875"/>
                    </a:xfrm>
                    <a:prstGeom prst="rect">
                      <a:avLst/>
                    </a:prstGeom>
                    <a:noFill/>
                  </pic:spPr>
                </pic:pic>
              </a:graphicData>
            </a:graphic>
          </wp:anchor>
        </w:drawing>
      </w:r>
    </w:p>
    <w:p>
      <w:pPr>
        <w:sectPr>
          <w:pgSz w:w="11900" w:h="16838" w:orient="portrait"/>
          <w:cols w:equalWidth="0" w:num="1">
            <w:col w:w="10800"/>
          </w:cols>
          <w:pgMar w:left="320" w:top="441" w:right="77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ind w:left="540" w:right="220"/>
        <w:spacing w:after="0" w:line="239" w:lineRule="auto"/>
        <w:rPr>
          <w:sz w:val="20"/>
          <w:szCs w:val="20"/>
          <w:color w:val="auto"/>
        </w:rPr>
      </w:pPr>
      <w:r>
        <w:rPr>
          <w:rFonts w:ascii="Arial" w:cs="Arial" w:eastAsia="Arial" w:hAnsi="Arial"/>
          <w:sz w:val="17"/>
          <w:szCs w:val="17"/>
          <w:color w:val="auto"/>
        </w:rPr>
        <w:t>Yes. If you attend the meeting, you will be asked to present an admission ticket or proof of ownership and valid photo identification. Your admission ticket is:</w:t>
      </w:r>
    </w:p>
    <w:p>
      <w:pPr>
        <w:spacing w:after="0" w:line="102" w:lineRule="exact"/>
        <w:rPr>
          <w:sz w:val="20"/>
          <w:szCs w:val="20"/>
          <w:color w:val="auto"/>
        </w:rPr>
      </w:pPr>
    </w:p>
    <w:p>
      <w:pPr>
        <w:ind w:left="1200" w:right="40" w:hanging="353"/>
        <w:spacing w:after="0" w:line="243" w:lineRule="auto"/>
        <w:tabs>
          <w:tab w:leader="none" w:pos="1200" w:val="left"/>
        </w:tabs>
        <w:numPr>
          <w:ilvl w:val="0"/>
          <w:numId w:val="35"/>
        </w:numPr>
        <w:rPr>
          <w:rFonts w:ascii="Arial" w:cs="Arial" w:eastAsia="Arial" w:hAnsi="Arial"/>
          <w:sz w:val="9"/>
          <w:szCs w:val="9"/>
          <w:color w:val="77387A"/>
        </w:rPr>
      </w:pPr>
      <w:r>
        <w:rPr>
          <w:rFonts w:ascii="Arial" w:cs="Arial" w:eastAsia="Arial" w:hAnsi="Arial"/>
          <w:sz w:val="17"/>
          <w:szCs w:val="17"/>
          <w:color w:val="auto"/>
        </w:rPr>
        <w:t>Attached to your proxy and voting instruction card if you received your proxy materials in the 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36" w:lineRule="exact"/>
        <w:rPr>
          <w:sz w:val="20"/>
          <w:szCs w:val="20"/>
          <w:color w:val="auto"/>
        </w:rPr>
      </w:pPr>
    </w:p>
    <w:p>
      <w:pPr>
        <w:spacing w:after="0"/>
        <w:rPr>
          <w:sz w:val="20"/>
          <w:szCs w:val="20"/>
          <w:color w:val="auto"/>
        </w:rPr>
      </w:pPr>
      <w:r>
        <w:rPr>
          <w:rFonts w:ascii="Arial" w:cs="Arial" w:eastAsia="Arial" w:hAnsi="Arial"/>
          <w:sz w:val="6"/>
          <w:szCs w:val="6"/>
          <w:color w:val="77387A"/>
        </w:rPr>
        <w:t>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Can be printed from the online voting site; or</w:t>
      </w:r>
    </w:p>
    <w:p>
      <w:pPr>
        <w:spacing w:after="0" w:line="109"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A letter or a recent account statement showing your ownership of our common stock as of the record date, if you hold shares through a bank or a broker.</w:t>
      </w:r>
    </w:p>
    <w:p>
      <w:pPr>
        <w:spacing w:after="0" w:line="393" w:lineRule="exact"/>
        <w:rPr>
          <w:sz w:val="20"/>
          <w:szCs w:val="20"/>
          <w:color w:val="auto"/>
        </w:rPr>
      </w:pPr>
    </w:p>
    <w:p>
      <w:pPr>
        <w:sectPr>
          <w:pgSz w:w="11900" w:h="16838" w:orient="portrait"/>
          <w:cols w:equalWidth="0" w:num="3">
            <w:col w:w="5420" w:space="720"/>
            <w:col w:w="40" w:space="300"/>
            <w:col w:w="4320"/>
          </w:cols>
          <w:pgMar w:left="320" w:top="441" w:right="779" w:bottom="1440" w:gutter="0" w:footer="0" w:header="0"/>
          <w:type w:val="continuous"/>
        </w:sectPr>
      </w:pPr>
    </w:p>
    <w:p>
      <w:pPr>
        <w:spacing w:after="0" w:line="263" w:lineRule="exact"/>
        <w:rPr>
          <w:sz w:val="20"/>
          <w:szCs w:val="20"/>
          <w:color w:val="auto"/>
        </w:rPr>
      </w:pPr>
    </w:p>
    <w:p>
      <w:pPr>
        <w:ind w:left="440"/>
        <w:spacing w:after="0"/>
        <w:rPr>
          <w:sz w:val="20"/>
          <w:szCs w:val="20"/>
          <w:color w:val="auto"/>
        </w:rPr>
      </w:pPr>
      <w:r>
        <w:rPr>
          <w:rFonts w:ascii="Arial" w:cs="Arial" w:eastAsia="Arial" w:hAnsi="Arial"/>
          <w:sz w:val="20"/>
          <w:szCs w:val="20"/>
          <w:color w:val="483E65"/>
        </w:rPr>
        <w:t>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59690</wp:posOffset>
            </wp:positionV>
            <wp:extent cx="6583680" cy="158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583680" cy="15875"/>
                    </a:xfrm>
                    <a:prstGeom prst="rect">
                      <a:avLst/>
                    </a:prstGeom>
                    <a:noFill/>
                  </pic:spPr>
                </pic:pic>
              </a:graphicData>
            </a:graphic>
          </wp:anchor>
        </w:drawing>
      </w:r>
    </w:p>
    <w:p>
      <w:pPr>
        <w:sectPr>
          <w:pgSz w:w="11900" w:h="16838" w:orient="portrait"/>
          <w:cols w:equalWidth="0" w:num="1">
            <w:col w:w="10800"/>
          </w:cols>
          <w:pgMar w:left="320" w:top="441" w:right="77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540"/>
        <w:spacing w:after="0" w:line="237" w:lineRule="auto"/>
        <w:rPr>
          <w:sz w:val="20"/>
          <w:szCs w:val="20"/>
          <w:color w:val="auto"/>
        </w:rPr>
      </w:pPr>
      <w:r>
        <w:rPr>
          <w:rFonts w:ascii="Arial" w:cs="Arial" w:eastAsia="Arial" w:hAnsi="Arial"/>
          <w:sz w:val="17"/>
          <w:szCs w:val="17"/>
          <w:color w:val="auto"/>
        </w:rPr>
        <w:t>The presence, either in person or by proxy, of the holders of a majority of the total voting power of the shares of common stock outstanding as of March 10, 2020 is necessary to constitute a quorum and to conduct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business at the annual meeting. Abstentions and broker “non-votes” will be counted as present for purposes of determining the presence of a quorum.</w:t>
      </w:r>
    </w:p>
    <w:p>
      <w:pPr>
        <w:spacing w:after="0" w:line="388" w:lineRule="exact"/>
        <w:rPr>
          <w:sz w:val="20"/>
          <w:szCs w:val="20"/>
          <w:color w:val="auto"/>
        </w:rPr>
      </w:pPr>
    </w:p>
    <w:p>
      <w:pPr>
        <w:sectPr>
          <w:pgSz w:w="11900" w:h="16838" w:orient="portrait"/>
          <w:cols w:equalWidth="0" w:num="2">
            <w:col w:w="5340" w:space="480"/>
            <w:col w:w="4980"/>
          </w:cols>
          <w:pgMar w:left="320" w:top="441" w:right="779" w:bottom="1440" w:gutter="0" w:footer="0" w:header="0"/>
          <w:type w:val="continuous"/>
        </w:sect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20"/>
          <w:szCs w:val="20"/>
          <w:color w:val="483E65"/>
        </w:rPr>
        <w:t>What is a broker “non-vote”?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59690</wp:posOffset>
            </wp:positionV>
            <wp:extent cx="6583680" cy="158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583680" cy="15875"/>
                    </a:xfrm>
                    <a:prstGeom prst="rect">
                      <a:avLst/>
                    </a:prstGeom>
                    <a:noFill/>
                  </pic:spPr>
                </pic:pic>
              </a:graphicData>
            </a:graphic>
          </wp:anchor>
        </w:drawing>
      </w:r>
    </w:p>
    <w:p>
      <w:pPr>
        <w:sectPr>
          <w:pgSz w:w="11900" w:h="16838" w:orient="portrait"/>
          <w:cols w:equalWidth="0" w:num="1">
            <w:col w:w="10800"/>
          </w:cols>
          <w:pgMar w:left="320" w:top="441" w:right="77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ind w:left="540"/>
        <w:spacing w:after="0" w:line="235" w:lineRule="auto"/>
        <w:rPr>
          <w:sz w:val="20"/>
          <w:szCs w:val="20"/>
          <w:color w:val="auto"/>
        </w:rPr>
      </w:pPr>
      <w:r>
        <w:rPr>
          <w:rFonts w:ascii="Arial" w:cs="Arial" w:eastAsia="Arial" w:hAnsi="Arial"/>
          <w:sz w:val="17"/>
          <w:szCs w:val="17"/>
          <w:color w:val="auto"/>
        </w:rPr>
        <w:t>A broker “non-vote” occurs when a broker, bank or other nominee holding shares for a beneficial owner does not vote on a particular proposal because the nominee does not have discretionary voting power with respect to that matter and has not received voting instructions from the beneficial owner. In tabulating the voting results for a particular proposal, broker “non-votes” are not considered entitled to vote on that proposal. Broker “non-votes” will not have an effect on the outcome of any matter being voted on at the meeting, assuming a quorum is present.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Unless you provide voting instructions to any broker holding shares on your behalf, your broker may not use discretionary authority to vote your shares on any of the matters to be considered at the annual meeting other than the ratification of our independent registered public accounting firm. Please vote your proxy or provide voting instructions to your broker so your vote can be counted.</w:t>
      </w:r>
    </w:p>
    <w:p>
      <w:pPr>
        <w:spacing w:after="0" w:line="768" w:lineRule="exact"/>
        <w:rPr>
          <w:sz w:val="20"/>
          <w:szCs w:val="20"/>
          <w:color w:val="auto"/>
        </w:rPr>
      </w:pPr>
    </w:p>
    <w:p>
      <w:pPr>
        <w:sectPr>
          <w:pgSz w:w="11900" w:h="16838" w:orient="portrait"/>
          <w:cols w:equalWidth="0" w:num="2">
            <w:col w:w="5340" w:space="480"/>
            <w:col w:w="4980"/>
          </w:cols>
          <w:pgMar w:left="320" w:top="441" w:right="779" w:bottom="1440" w:gutter="0" w:footer="0" w:header="0"/>
          <w:type w:val="continuous"/>
        </w:sectPr>
      </w:pPr>
    </w:p>
    <w:p>
      <w:pPr>
        <w:spacing w:after="0" w:line="257" w:lineRule="exact"/>
        <w:rPr>
          <w:sz w:val="20"/>
          <w:szCs w:val="20"/>
          <w:color w:val="auto"/>
        </w:rPr>
      </w:pPr>
    </w:p>
    <w:p>
      <w:pPr>
        <w:ind w:left="440"/>
        <w:spacing w:after="0"/>
        <w:rPr>
          <w:sz w:val="20"/>
          <w:szCs w:val="20"/>
          <w:color w:val="auto"/>
        </w:rPr>
      </w:pPr>
      <w:r>
        <w:rPr>
          <w:rFonts w:ascii="Arial" w:cs="Arial" w:eastAsia="Arial" w:hAnsi="Arial"/>
          <w:sz w:val="20"/>
          <w:szCs w:val="20"/>
          <w:color w:val="483E65"/>
        </w:rPr>
        <w:t>How many votes am I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59690</wp:posOffset>
            </wp:positionV>
            <wp:extent cx="6583680" cy="158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583680" cy="15875"/>
                    </a:xfrm>
                    <a:prstGeom prst="rect">
                      <a:avLst/>
                    </a:prstGeom>
                    <a:noFill/>
                  </pic:spPr>
                </pic:pic>
              </a:graphicData>
            </a:graphic>
          </wp:anchor>
        </w:drawing>
      </w:r>
    </w:p>
    <w:p>
      <w:pPr>
        <w:sectPr>
          <w:pgSz w:w="11900" w:h="16838" w:orient="portrait"/>
          <w:cols w:equalWidth="0" w:num="1">
            <w:col w:w="10800"/>
          </w:cols>
          <w:pgMar w:left="320" w:top="441" w:right="77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ind w:left="540"/>
        <w:spacing w:after="0" w:line="239" w:lineRule="auto"/>
        <w:rPr>
          <w:sz w:val="20"/>
          <w:szCs w:val="20"/>
          <w:color w:val="auto"/>
        </w:rPr>
      </w:pPr>
      <w:r>
        <w:rPr>
          <w:rFonts w:ascii="Arial" w:cs="Arial" w:eastAsia="Arial" w:hAnsi="Arial"/>
          <w:sz w:val="17"/>
          <w:szCs w:val="17"/>
          <w:color w:val="auto"/>
        </w:rPr>
        <w:t>Each holder of common stock will be entitled to one vote per share, in person or by proxy, for each share of stock held in such stockholder’s name as of March 10,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right="240"/>
        <w:spacing w:after="0" w:line="239" w:lineRule="auto"/>
        <w:rPr>
          <w:sz w:val="20"/>
          <w:szCs w:val="20"/>
          <w:color w:val="auto"/>
        </w:rPr>
      </w:pPr>
      <w:r>
        <w:rPr>
          <w:rFonts w:ascii="Arial" w:cs="Arial" w:eastAsia="Arial" w:hAnsi="Arial"/>
          <w:sz w:val="17"/>
          <w:szCs w:val="17"/>
          <w:color w:val="auto"/>
        </w:rPr>
        <w:t>on any matter submitted to a vote of stockholders at the annual meeting unless a stockholder elects to cumulate votes for the election of directors as described below.</w:t>
      </w:r>
    </w:p>
    <w:p>
      <w:pPr>
        <w:spacing w:after="0" w:line="200" w:lineRule="exact"/>
        <w:rPr>
          <w:sz w:val="20"/>
          <w:szCs w:val="20"/>
          <w:color w:val="auto"/>
        </w:rPr>
      </w:pPr>
    </w:p>
    <w:p>
      <w:pPr>
        <w:sectPr>
          <w:pgSz w:w="11900" w:h="16838" w:orient="portrait"/>
          <w:cols w:equalWidth="0" w:num="2">
            <w:col w:w="5380" w:space="440"/>
            <w:col w:w="4980"/>
          </w:cols>
          <w:pgMar w:left="320" w:top="441" w:right="779" w:bottom="1440" w:gutter="0" w:footer="0" w:header="0"/>
          <w:type w:val="continuous"/>
        </w:sectPr>
      </w:pPr>
    </w:p>
    <w:p>
      <w:pPr>
        <w:spacing w:after="0" w:line="52" w:lineRule="exact"/>
        <w:rPr>
          <w:sz w:val="20"/>
          <w:szCs w:val="20"/>
          <w:color w:val="auto"/>
        </w:rPr>
      </w:pPr>
    </w:p>
    <w:p>
      <w:pPr>
        <w:ind w:left="8680"/>
        <w:spacing w:after="0"/>
        <w:tabs>
          <w:tab w:leader="none" w:pos="10400" w:val="left"/>
          <w:tab w:leader="none" w:pos="1062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57</w:t>
      </w:r>
    </w:p>
    <w:p>
      <w:pPr>
        <w:sectPr>
          <w:pgSz w:w="11900" w:h="16838" w:orient="portrait"/>
          <w:cols w:equalWidth="0" w:num="1">
            <w:col w:w="10800"/>
          </w:cols>
          <w:pgMar w:left="320" w:top="441" w:right="779" w:bottom="1440" w:gutter="0" w:footer="0" w:header="0"/>
          <w:type w:val="continuous"/>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Information About Voting Rights and 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88" w:lineRule="exact"/>
        <w:rPr>
          <w:sz w:val="20"/>
          <w:szCs w:val="20"/>
          <w:color w:val="auto"/>
        </w:rPr>
      </w:pPr>
    </w:p>
    <w:p>
      <w:pPr>
        <w:ind w:left="440"/>
        <w:spacing w:after="0"/>
        <w:rPr>
          <w:sz w:val="20"/>
          <w:szCs w:val="20"/>
          <w:color w:val="auto"/>
        </w:rPr>
      </w:pPr>
      <w:r>
        <w:rPr>
          <w:rFonts w:ascii="Arial" w:cs="Arial" w:eastAsia="Arial" w:hAnsi="Arial"/>
          <w:sz w:val="20"/>
          <w:szCs w:val="20"/>
          <w:color w:val="483E65"/>
        </w:rPr>
        <w:t>Is cumulative voting permitted for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59690</wp:posOffset>
            </wp:positionV>
            <wp:extent cx="6583680" cy="158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583680" cy="15875"/>
                    </a:xfrm>
                    <a:prstGeom prst="rect">
                      <a:avLst/>
                    </a:prstGeom>
                    <a:noFill/>
                  </pic:spPr>
                </pic:pic>
              </a:graphicData>
            </a:graphic>
          </wp:anchor>
        </w:drawing>
      </w:r>
    </w:p>
    <w:p>
      <w:pPr>
        <w:sectPr>
          <w:pgSz w:w="11900" w:h="16838" w:orient="portrait"/>
          <w:cols w:equalWidth="0" w:num="1">
            <w:col w:w="10760"/>
          </w:cols>
          <w:pgMar w:left="320" w:top="441" w:right="81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540"/>
        <w:spacing w:after="0" w:line="236" w:lineRule="auto"/>
        <w:rPr>
          <w:sz w:val="20"/>
          <w:szCs w:val="20"/>
          <w:color w:val="auto"/>
        </w:rPr>
      </w:pPr>
      <w:r>
        <w:rPr>
          <w:rFonts w:ascii="Arial" w:cs="Arial" w:eastAsia="Arial" w:hAnsi="Arial"/>
          <w:sz w:val="17"/>
          <w:szCs w:val="17"/>
          <w:color w:val="auto"/>
        </w:rPr>
        <w:t>In the election of directors, you may cumulate your vote. This means that you may allocate among the director nominees, as you see fit, the total number of votes equal to the director positions to be filled multiplied by the number of shares you hold. You may not cumulate your votes against a nominee and cumulative voting applies only to the election of directors.</w:t>
      </w:r>
    </w:p>
    <w:p>
      <w:pPr>
        <w:spacing w:after="0" w:line="92" w:lineRule="exact"/>
        <w:rPr>
          <w:sz w:val="20"/>
          <w:szCs w:val="20"/>
          <w:color w:val="auto"/>
        </w:rPr>
      </w:pPr>
    </w:p>
    <w:p>
      <w:pPr>
        <w:jc w:val="both"/>
        <w:ind w:left="540" w:right="160"/>
        <w:spacing w:after="0" w:line="239" w:lineRule="auto"/>
        <w:rPr>
          <w:sz w:val="20"/>
          <w:szCs w:val="20"/>
          <w:color w:val="auto"/>
        </w:rPr>
      </w:pPr>
      <w:r>
        <w:rPr>
          <w:rFonts w:ascii="Arial" w:cs="Arial" w:eastAsia="Arial" w:hAnsi="Arial"/>
          <w:sz w:val="17"/>
          <w:szCs w:val="17"/>
          <w:color w:val="auto"/>
        </w:rPr>
        <w:t>If you are a stockholder of record and choose to cumulate your votes, you will need to notify our Corporate Secretary in writing prior to the Annual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Meeting or, if you vote in person at the annual meeting, notify the chair of the meeting prior to the commencement of voting at the annual meeting. You may not submit your proxy or voting instructions over the Internet or by telephone if you wish to distribute your votes unevenly among two or more nominees. If you hold shares beneficially through a broker, trustee or other nominee and wish to cumulate votes, you should contact your broker, trustee or nominee.</w:t>
      </w:r>
    </w:p>
    <w:p>
      <w:pPr>
        <w:spacing w:after="0" w:line="497" w:lineRule="exact"/>
        <w:rPr>
          <w:sz w:val="20"/>
          <w:szCs w:val="20"/>
          <w:color w:val="auto"/>
        </w:rPr>
      </w:pPr>
    </w:p>
    <w:p>
      <w:pPr>
        <w:sectPr>
          <w:pgSz w:w="11900" w:h="16838" w:orient="portrait"/>
          <w:cols w:equalWidth="0" w:num="2">
            <w:col w:w="5400" w:space="420"/>
            <w:col w:w="4940"/>
          </w:cols>
          <w:pgMar w:left="320" w:top="441" w:right="819" w:bottom="1440" w:gutter="0" w:footer="0" w:header="0"/>
          <w:type w:val="continuous"/>
        </w:sectPr>
      </w:pPr>
    </w:p>
    <w:p>
      <w:pPr>
        <w:spacing w:after="0" w:line="253" w:lineRule="exact"/>
        <w:rPr>
          <w:sz w:val="20"/>
          <w:szCs w:val="20"/>
          <w:color w:val="auto"/>
        </w:rPr>
      </w:pPr>
    </w:p>
    <w:p>
      <w:pPr>
        <w:ind w:left="440"/>
        <w:spacing w:after="0"/>
        <w:rPr>
          <w:sz w:val="20"/>
          <w:szCs w:val="20"/>
          <w:color w:val="auto"/>
        </w:rPr>
      </w:pPr>
      <w:r>
        <w:rPr>
          <w:rFonts w:ascii="Arial" w:cs="Arial" w:eastAsia="Arial" w:hAnsi="Arial"/>
          <w:sz w:val="20"/>
          <w:szCs w:val="20"/>
          <w:color w:val="483E65"/>
        </w:rPr>
        <w:t>How do I vote my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59690</wp:posOffset>
            </wp:positionV>
            <wp:extent cx="6583680" cy="158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583680" cy="15875"/>
                    </a:xfrm>
                    <a:prstGeom prst="rect">
                      <a:avLst/>
                    </a:prstGeom>
                    <a:noFill/>
                  </pic:spPr>
                </pic:pic>
              </a:graphicData>
            </a:graphic>
          </wp:anchor>
        </w:drawing>
      </w:r>
    </w:p>
    <w:p>
      <w:pPr>
        <w:sectPr>
          <w:pgSz w:w="11900" w:h="16838" w:orient="portrait"/>
          <w:cols w:equalWidth="0" w:num="1">
            <w:col w:w="10760"/>
          </w:cols>
          <w:pgMar w:left="320" w:top="441" w:right="81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ind w:left="540" w:right="140"/>
        <w:spacing w:after="0" w:line="236" w:lineRule="auto"/>
        <w:rPr>
          <w:sz w:val="20"/>
          <w:szCs w:val="20"/>
          <w:color w:val="auto"/>
        </w:rPr>
      </w:pPr>
      <w:r>
        <w:rPr>
          <w:rFonts w:ascii="Arial" w:cs="Arial" w:eastAsia="Arial" w:hAnsi="Arial"/>
          <w:sz w:val="17"/>
          <w:szCs w:val="17"/>
          <w:color w:val="auto"/>
        </w:rPr>
        <w:t>Shares of common stock represented by a properly executed and timely proxy will, unless it has previously been revoked, be voted in accordance with its instructions. In the absence of specific instructions, the shares represented by a properly executed and timely proxy will be voted in accordance with the Board’s recommendations as follows:</w:t>
      </w:r>
    </w:p>
    <w:p>
      <w:pPr>
        <w:spacing w:after="0" w:line="105" w:lineRule="exact"/>
        <w:rPr>
          <w:sz w:val="20"/>
          <w:szCs w:val="20"/>
          <w:color w:val="auto"/>
        </w:rPr>
      </w:pPr>
    </w:p>
    <w:p>
      <w:pPr>
        <w:ind w:left="1160" w:hanging="288"/>
        <w:spacing w:after="0"/>
        <w:tabs>
          <w:tab w:leader="none" w:pos="1160" w:val="left"/>
        </w:tabs>
        <w:numPr>
          <w:ilvl w:val="0"/>
          <w:numId w:val="36"/>
        </w:numPr>
        <w:rPr>
          <w:rFonts w:ascii="Arial" w:cs="Arial" w:eastAsia="Arial" w:hAnsi="Arial"/>
          <w:sz w:val="9"/>
          <w:szCs w:val="9"/>
          <w:color w:val="77387A"/>
        </w:rPr>
      </w:pPr>
      <w:r>
        <w:rPr>
          <w:rFonts w:ascii="Arial" w:cs="Arial" w:eastAsia="Arial" w:hAnsi="Arial"/>
          <w:sz w:val="17"/>
          <w:szCs w:val="17"/>
          <w:color w:val="auto"/>
        </w:rPr>
        <w:t>FOR all of the company’s nominees to the Board;</w:t>
      </w:r>
    </w:p>
    <w:p>
      <w:pPr>
        <w:spacing w:after="0" w:line="109" w:lineRule="exact"/>
        <w:rPr>
          <w:rFonts w:ascii="Arial" w:cs="Arial" w:eastAsia="Arial" w:hAnsi="Arial"/>
          <w:sz w:val="9"/>
          <w:szCs w:val="9"/>
          <w:color w:val="77387A"/>
        </w:rPr>
      </w:pPr>
    </w:p>
    <w:p>
      <w:pPr>
        <w:ind w:left="1160" w:right="140" w:hanging="288"/>
        <w:spacing w:after="0" w:line="243" w:lineRule="auto"/>
        <w:tabs>
          <w:tab w:leader="none" w:pos="1160" w:val="left"/>
        </w:tabs>
        <w:numPr>
          <w:ilvl w:val="0"/>
          <w:numId w:val="36"/>
        </w:numPr>
        <w:rPr>
          <w:rFonts w:ascii="Arial" w:cs="Arial" w:eastAsia="Arial" w:hAnsi="Arial"/>
          <w:sz w:val="9"/>
          <w:szCs w:val="9"/>
          <w:color w:val="77387A"/>
        </w:rPr>
      </w:pPr>
      <w:r>
        <w:rPr>
          <w:rFonts w:ascii="Arial" w:cs="Arial" w:eastAsia="Arial" w:hAnsi="Arial"/>
          <w:sz w:val="17"/>
          <w:szCs w:val="17"/>
          <w:color w:val="auto"/>
        </w:rPr>
        <w:t>FOR the approval, on a non-binding, advisory basis, of the compensation of our named executive officers;</w:t>
      </w:r>
    </w:p>
    <w:p>
      <w:pPr>
        <w:spacing w:after="0" w:line="99" w:lineRule="exact"/>
        <w:rPr>
          <w:rFonts w:ascii="Arial" w:cs="Arial" w:eastAsia="Arial" w:hAnsi="Arial"/>
          <w:sz w:val="9"/>
          <w:szCs w:val="9"/>
          <w:color w:val="77387A"/>
        </w:rPr>
      </w:pPr>
    </w:p>
    <w:p>
      <w:pPr>
        <w:ind w:left="1160" w:right="360" w:hanging="288"/>
        <w:spacing w:after="0" w:line="237" w:lineRule="auto"/>
        <w:tabs>
          <w:tab w:leader="none" w:pos="1160" w:val="left"/>
        </w:tabs>
        <w:numPr>
          <w:ilvl w:val="0"/>
          <w:numId w:val="36"/>
        </w:numPr>
        <w:rPr>
          <w:rFonts w:ascii="Arial" w:cs="Arial" w:eastAsia="Arial" w:hAnsi="Arial"/>
          <w:sz w:val="9"/>
          <w:szCs w:val="9"/>
          <w:color w:val="77387A"/>
        </w:rPr>
      </w:pPr>
      <w:r>
        <w:rPr>
          <w:rFonts w:ascii="Arial" w:cs="Arial" w:eastAsia="Arial" w:hAnsi="Arial"/>
          <w:sz w:val="17"/>
          <w:szCs w:val="17"/>
          <w:color w:val="auto"/>
        </w:rPr>
        <w:t>FOR the ratification of the appointment of Deloitte &amp; Touche LLP as our independent registered public accounting firm for the fiscal year ending January 1, 2021;</w:t>
      </w:r>
    </w:p>
    <w:p>
      <w:pPr>
        <w:spacing w:after="0" w:line="104" w:lineRule="exact"/>
        <w:rPr>
          <w:rFonts w:ascii="Arial" w:cs="Arial" w:eastAsia="Arial" w:hAnsi="Arial"/>
          <w:sz w:val="9"/>
          <w:szCs w:val="9"/>
          <w:color w:val="77387A"/>
        </w:rPr>
      </w:pPr>
    </w:p>
    <w:p>
      <w:pPr>
        <w:ind w:left="1160" w:hanging="288"/>
        <w:spacing w:after="0" w:line="243" w:lineRule="auto"/>
        <w:tabs>
          <w:tab w:leader="none" w:pos="1160" w:val="left"/>
        </w:tabs>
        <w:numPr>
          <w:ilvl w:val="0"/>
          <w:numId w:val="36"/>
        </w:numPr>
        <w:rPr>
          <w:rFonts w:ascii="Arial" w:cs="Arial" w:eastAsia="Arial" w:hAnsi="Arial"/>
          <w:sz w:val="9"/>
          <w:szCs w:val="9"/>
          <w:color w:val="77387A"/>
        </w:rPr>
      </w:pPr>
      <w:r>
        <w:rPr>
          <w:rFonts w:ascii="Arial" w:cs="Arial" w:eastAsia="Arial" w:hAnsi="Arial"/>
          <w:sz w:val="17"/>
          <w:szCs w:val="17"/>
          <w:color w:val="auto"/>
        </w:rPr>
        <w:t>FOR the amendment of the certificate of incorporation to eliminate cumulative voting;</w:t>
      </w:r>
    </w:p>
    <w:p>
      <w:pPr>
        <w:spacing w:after="0" w:line="99" w:lineRule="exact"/>
        <w:rPr>
          <w:rFonts w:ascii="Arial" w:cs="Arial" w:eastAsia="Arial" w:hAnsi="Arial"/>
          <w:sz w:val="9"/>
          <w:szCs w:val="9"/>
          <w:color w:val="77387A"/>
        </w:rPr>
      </w:pPr>
    </w:p>
    <w:p>
      <w:pPr>
        <w:ind w:left="1160" w:hanging="288"/>
        <w:spacing w:after="0" w:line="243" w:lineRule="auto"/>
        <w:tabs>
          <w:tab w:leader="none" w:pos="1160" w:val="left"/>
        </w:tabs>
        <w:numPr>
          <w:ilvl w:val="0"/>
          <w:numId w:val="36"/>
        </w:numPr>
        <w:rPr>
          <w:rFonts w:ascii="Arial" w:cs="Arial" w:eastAsia="Arial" w:hAnsi="Arial"/>
          <w:sz w:val="9"/>
          <w:szCs w:val="9"/>
          <w:color w:val="77387A"/>
        </w:rPr>
      </w:pPr>
      <w:r>
        <w:rPr>
          <w:rFonts w:ascii="Arial" w:cs="Arial" w:eastAsia="Arial" w:hAnsi="Arial"/>
          <w:sz w:val="17"/>
          <w:szCs w:val="17"/>
          <w:color w:val="auto"/>
        </w:rPr>
        <w:t>FOR the amendment of the certificate of incorporation to eliminate supermajority voting provisions; and</w:t>
      </w:r>
    </w:p>
    <w:p>
      <w:pPr>
        <w:spacing w:after="0" w:line="99" w:lineRule="exact"/>
        <w:rPr>
          <w:rFonts w:ascii="Arial" w:cs="Arial" w:eastAsia="Arial" w:hAnsi="Arial"/>
          <w:sz w:val="9"/>
          <w:szCs w:val="9"/>
          <w:color w:val="77387A"/>
        </w:rPr>
      </w:pPr>
    </w:p>
    <w:p>
      <w:pPr>
        <w:ind w:left="1160" w:right="160" w:hanging="288"/>
        <w:spacing w:after="0" w:line="243" w:lineRule="auto"/>
        <w:tabs>
          <w:tab w:leader="none" w:pos="1160" w:val="left"/>
        </w:tabs>
        <w:numPr>
          <w:ilvl w:val="0"/>
          <w:numId w:val="36"/>
        </w:numPr>
        <w:rPr>
          <w:rFonts w:ascii="Arial" w:cs="Arial" w:eastAsia="Arial" w:hAnsi="Arial"/>
          <w:sz w:val="9"/>
          <w:szCs w:val="9"/>
          <w:color w:val="77387A"/>
        </w:rPr>
      </w:pPr>
      <w:r>
        <w:rPr>
          <w:rFonts w:ascii="Arial" w:cs="Arial" w:eastAsia="Arial" w:hAnsi="Arial"/>
          <w:sz w:val="17"/>
          <w:szCs w:val="17"/>
          <w:color w:val="auto"/>
        </w:rPr>
        <w:t>AGAINST the stockholder proposal regarding changes to our proxy access bylaws.</w:t>
      </w:r>
    </w:p>
    <w:p>
      <w:pPr>
        <w:spacing w:after="0" w:line="87" w:lineRule="exact"/>
        <w:rPr>
          <w:sz w:val="20"/>
          <w:szCs w:val="20"/>
          <w:color w:val="auto"/>
        </w:rPr>
      </w:pPr>
    </w:p>
    <w:p>
      <w:pPr>
        <w:ind w:left="540" w:right="580"/>
        <w:spacing w:after="0" w:line="273" w:lineRule="auto"/>
        <w:rPr>
          <w:sz w:val="20"/>
          <w:szCs w:val="20"/>
          <w:color w:val="auto"/>
        </w:rPr>
      </w:pPr>
      <w:r>
        <w:rPr>
          <w:rFonts w:ascii="Arial" w:cs="Arial" w:eastAsia="Arial" w:hAnsi="Arial"/>
          <w:sz w:val="16"/>
          <w:szCs w:val="16"/>
          <w:color w:val="auto"/>
        </w:rPr>
        <w:t>No other business is expected to come before the annual meeting; however, should any other matter properly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come before the annual meeting, the proxy holders intend to vote such shares in accordance with their best judgment on such matter.</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There are four different ways to vote your shares:</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b w:val="1"/>
          <w:bCs w:val="1"/>
          <w:color w:val="auto"/>
        </w:rPr>
        <w:t xml:space="preserve">By Internet: </w:t>
      </w:r>
      <w:r>
        <w:rPr>
          <w:rFonts w:ascii="Arial" w:cs="Arial" w:eastAsia="Arial" w:hAnsi="Arial"/>
          <w:sz w:val="17"/>
          <w:szCs w:val="17"/>
          <w:color w:val="auto"/>
        </w:rPr>
        <w:t>Go to www.proxyvote.com or scan the QR code on</w:t>
      </w:r>
      <w:r>
        <w:rPr>
          <w:rFonts w:ascii="Arial" w:cs="Arial" w:eastAsia="Arial" w:hAnsi="Arial"/>
          <w:sz w:val="17"/>
          <w:szCs w:val="17"/>
          <w:b w:val="1"/>
          <w:bCs w:val="1"/>
          <w:color w:val="auto"/>
        </w:rPr>
        <w:t xml:space="preserve"> </w:t>
      </w:r>
      <w:r>
        <w:rPr>
          <w:rFonts w:ascii="Arial" w:cs="Arial" w:eastAsia="Arial" w:hAnsi="Arial"/>
          <w:sz w:val="17"/>
          <w:szCs w:val="17"/>
          <w:color w:val="auto"/>
        </w:rPr>
        <w:t>your proxy and voting instruction card with a smart phone.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By Telephone: </w:t>
      </w:r>
      <w:r>
        <w:rPr>
          <w:rFonts w:ascii="Arial" w:cs="Arial" w:eastAsia="Arial" w:hAnsi="Arial"/>
          <w:sz w:val="17"/>
          <w:szCs w:val="17"/>
          <w:color w:val="auto"/>
        </w:rPr>
        <w:t>Call 1-800-690-6903.</w:t>
      </w:r>
    </w:p>
    <w:p>
      <w:pPr>
        <w:spacing w:after="0" w:line="97"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b w:val="1"/>
          <w:bCs w:val="1"/>
          <w:color w:val="auto"/>
        </w:rPr>
        <w:t xml:space="preserve">By Mail: </w:t>
      </w:r>
      <w:r>
        <w:rPr>
          <w:rFonts w:ascii="Arial" w:cs="Arial" w:eastAsia="Arial" w:hAnsi="Arial"/>
          <w:sz w:val="16"/>
          <w:szCs w:val="16"/>
          <w:color w:val="auto"/>
        </w:rPr>
        <w:t>If you received your proxy materials via the U.S. mail,</w:t>
      </w:r>
      <w:r>
        <w:rPr>
          <w:rFonts w:ascii="Arial" w:cs="Arial" w:eastAsia="Arial" w:hAnsi="Arial"/>
          <w:sz w:val="16"/>
          <w:szCs w:val="16"/>
          <w:b w:val="1"/>
          <w:bCs w:val="1"/>
          <w:color w:val="auto"/>
        </w:rPr>
        <w:t xml:space="preserve"> </w:t>
      </w:r>
      <w:r>
        <w:rPr>
          <w:rFonts w:ascii="Arial" w:cs="Arial" w:eastAsia="Arial" w:hAnsi="Arial"/>
          <w:sz w:val="16"/>
          <w:szCs w:val="16"/>
          <w:color w:val="auto"/>
        </w:rPr>
        <w:t>you may complete, sign and return the accompanying proxy and voting instruction card in the postage-paid envelope provided.</w:t>
      </w:r>
    </w:p>
    <w:p>
      <w:pPr>
        <w:spacing w:after="0" w:line="43"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b w:val="1"/>
          <w:bCs w:val="1"/>
          <w:color w:val="auto"/>
        </w:rPr>
        <w:t xml:space="preserve">In Person: </w:t>
      </w:r>
      <w:r>
        <w:rPr>
          <w:rFonts w:ascii="Arial" w:cs="Arial" w:eastAsia="Arial" w:hAnsi="Arial"/>
          <w:sz w:val="17"/>
          <w:szCs w:val="17"/>
          <w:color w:val="auto"/>
        </w:rPr>
        <w:t>Attend the meeting at the company’s office at 1750</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Presidents Street, Reston, Virginia 20190, and vote in person if you are a stockholder of record or if you have obtained a valid proxy from the stockholder of record.</w:t>
      </w:r>
    </w:p>
    <w:p>
      <w:pPr>
        <w:spacing w:after="0" w:line="86"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Submitting a proxy will not prevent you from attending the annual meeting and voting in person. Any proxy may be revoked at any time prior to exercise by delivering a written revocation or a new proxy bearing a later date to our mailing agent, Broadridge, as described below or by attending the annual meeting and voting in person. The mailing address of our mailing agent is Broadridge, 51 Mercedes Way, Edgewood, NY 11717. Simply attending the annual meeting will not revoke a proxy.</w:t>
      </w:r>
    </w:p>
    <w:p>
      <w:pPr>
        <w:spacing w:after="0" w:line="218" w:lineRule="exact"/>
        <w:rPr>
          <w:sz w:val="20"/>
          <w:szCs w:val="20"/>
          <w:color w:val="auto"/>
        </w:rPr>
      </w:pPr>
    </w:p>
    <w:p>
      <w:pPr>
        <w:sectPr>
          <w:pgSz w:w="11900" w:h="16838" w:orient="portrait"/>
          <w:cols w:equalWidth="0" w:num="2">
            <w:col w:w="5400" w:space="420"/>
            <w:col w:w="4940"/>
          </w:cols>
          <w:pgMar w:left="320" w:top="441" w:right="819" w:bottom="1440" w:gutter="0" w:footer="0" w:header="0"/>
          <w:type w:val="continuous"/>
        </w:sectPr>
      </w:pPr>
    </w:p>
    <w:p>
      <w:pPr>
        <w:spacing w:after="0" w:line="253" w:lineRule="exact"/>
        <w:rPr>
          <w:sz w:val="20"/>
          <w:szCs w:val="20"/>
          <w:color w:val="auto"/>
        </w:rPr>
      </w:pPr>
    </w:p>
    <w:p>
      <w:pPr>
        <w:ind w:left="440"/>
        <w:spacing w:after="0"/>
        <w:rPr>
          <w:sz w:val="20"/>
          <w:szCs w:val="20"/>
          <w:color w:val="auto"/>
        </w:rPr>
      </w:pPr>
      <w:r>
        <w:rPr>
          <w:rFonts w:ascii="Arial" w:cs="Arial" w:eastAsia="Arial" w:hAnsi="Arial"/>
          <w:sz w:val="20"/>
          <w:szCs w:val="20"/>
          <w:color w:val="483E65"/>
        </w:rPr>
        <w:t>What are the voting deadlines?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59690</wp:posOffset>
            </wp:positionV>
            <wp:extent cx="6583680" cy="158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583680" cy="15875"/>
                    </a:xfrm>
                    <a:prstGeom prst="rect">
                      <a:avLst/>
                    </a:prstGeom>
                    <a:noFill/>
                  </pic:spPr>
                </pic:pic>
              </a:graphicData>
            </a:graphic>
          </wp:anchor>
        </w:drawing>
      </w:r>
    </w:p>
    <w:p>
      <w:pPr>
        <w:sectPr>
          <w:pgSz w:w="11900" w:h="16838" w:orient="portrait"/>
          <w:cols w:equalWidth="0" w:num="1">
            <w:col w:w="10760"/>
          </w:cols>
          <w:pgMar w:left="320" w:top="441" w:right="81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540"/>
        <w:spacing w:after="0" w:line="237" w:lineRule="auto"/>
        <w:rPr>
          <w:sz w:val="20"/>
          <w:szCs w:val="20"/>
          <w:color w:val="auto"/>
        </w:rPr>
      </w:pPr>
      <w:r>
        <w:rPr>
          <w:rFonts w:ascii="Arial" w:cs="Arial" w:eastAsia="Arial" w:hAnsi="Arial"/>
          <w:sz w:val="17"/>
          <w:szCs w:val="17"/>
          <w:color w:val="auto"/>
        </w:rPr>
        <w:t>For shares not held in the Leidos, Inc. Retirement Plan (the “Leidos Retirement Plan”), the deadline for submitting a proxy using the Internet or the telephone is 11:59 p.m. ET on April 30, 2020. For shares held in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Leidos Retirement Plan, the deadline for submitting voting instructions using any of the allowed methods is 11:59 p.m. ET on April 28, 2020.</w:t>
      </w:r>
    </w:p>
    <w:p>
      <w:pPr>
        <w:spacing w:after="0" w:line="388" w:lineRule="exact"/>
        <w:rPr>
          <w:sz w:val="20"/>
          <w:szCs w:val="20"/>
          <w:color w:val="auto"/>
        </w:rPr>
      </w:pPr>
    </w:p>
    <w:p>
      <w:pPr>
        <w:sectPr>
          <w:pgSz w:w="11900" w:h="16838" w:orient="portrait"/>
          <w:cols w:equalWidth="0" w:num="2">
            <w:col w:w="5300" w:space="520"/>
            <w:col w:w="4940"/>
          </w:cols>
          <w:pgMar w:left="320" w:top="441" w:right="819" w:bottom="1440" w:gutter="0" w:footer="0" w:header="0"/>
          <w:type w:val="continuous"/>
        </w:sectPr>
      </w:pPr>
    </w:p>
    <w:p>
      <w:pPr>
        <w:spacing w:after="0" w:line="54" w:lineRule="exact"/>
        <w:rPr>
          <w:sz w:val="20"/>
          <w:szCs w:val="20"/>
          <w:color w:val="auto"/>
        </w:r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58</w:t>
        <w:tab/>
        <w:t>|</w:t>
        <w:tab/>
        <w:t>2020 Proxy Statement</w:t>
      </w:r>
    </w:p>
    <w:p>
      <w:pPr>
        <w:sectPr>
          <w:pgSz w:w="11900" w:h="16838" w:orient="portrait"/>
          <w:cols w:equalWidth="0" w:num="1">
            <w:col w:w="10760"/>
          </w:cols>
          <w:pgMar w:left="320" w:top="441" w:right="819" w:bottom="1440" w:gutter="0" w:footer="0" w:header="0"/>
          <w:type w:val="continuous"/>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Information About Voting Rights and 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388" w:lineRule="exact"/>
        <w:rPr>
          <w:sz w:val="20"/>
          <w:szCs w:val="20"/>
          <w:color w:val="auto"/>
        </w:rPr>
      </w:pPr>
    </w:p>
    <w:p>
      <w:pPr>
        <w:ind w:left="440"/>
        <w:spacing w:after="0"/>
        <w:rPr>
          <w:sz w:val="20"/>
          <w:szCs w:val="20"/>
          <w:color w:val="auto"/>
        </w:rPr>
      </w:pPr>
      <w:r>
        <w:rPr>
          <w:rFonts w:ascii="Arial" w:cs="Arial" w:eastAsia="Arial" w:hAnsi="Arial"/>
          <w:sz w:val="20"/>
          <w:szCs w:val="20"/>
          <w:color w:val="483E65"/>
        </w:rPr>
        <w:t>How are the shares held by the Leidos Retirement Plan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59690</wp:posOffset>
            </wp:positionV>
            <wp:extent cx="6583680" cy="158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583680" cy="15875"/>
                    </a:xfrm>
                    <a:prstGeom prst="rect">
                      <a:avLst/>
                    </a:prstGeom>
                    <a:noFill/>
                  </pic:spPr>
                </pic:pic>
              </a:graphicData>
            </a:graphic>
          </wp:anchor>
        </w:drawing>
      </w:r>
    </w:p>
    <w:p>
      <w:pPr>
        <w:sectPr>
          <w:pgSz w:w="11900" w:h="16838" w:orient="portrait"/>
          <w:cols w:equalWidth="0" w:num="1">
            <w:col w:w="10800"/>
          </w:cols>
          <w:pgMar w:left="320" w:top="441" w:right="77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540"/>
        <w:spacing w:after="0" w:line="235" w:lineRule="auto"/>
        <w:rPr>
          <w:sz w:val="20"/>
          <w:szCs w:val="20"/>
          <w:color w:val="auto"/>
        </w:rPr>
      </w:pPr>
      <w:r>
        <w:rPr>
          <w:rFonts w:ascii="Arial" w:cs="Arial" w:eastAsia="Arial" w:hAnsi="Arial"/>
          <w:sz w:val="17"/>
          <w:szCs w:val="17"/>
          <w:color w:val="auto"/>
        </w:rPr>
        <w:t>Each participant in the Leidos Retirement Plan has the right to instruct Vanguard Fiduciary Trust Company, as trustee of the Leidos Retirement Plan (the “Trustee”), on a confidential basis, how to vote his or her proportionate interests in all shares of common stock held in the Leidos Retirement Plan. The Trustee will vote all shares held in the Leidos Retirement Plan for which no voting instructions are received in the same proportion as the shares for which voting instructions have been received.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The Trustee’s duties with respect to voting the common stock in the Leidos Retirement Plan are governed by the fiduciary provisions of the Employee Retirement Income Security Act of 1974, as amended (“ERISA”). The fiduciary provisions of ERISA may require, in certain limited circumstances,that the Trustee override the votes of participants with respect to the common stock held by the Trustee and to determine, in the Trustee’s best judgment, how to vote the shares.</w:t>
      </w:r>
    </w:p>
    <w:p>
      <w:pPr>
        <w:spacing w:after="0" w:line="200" w:lineRule="exact"/>
        <w:rPr>
          <w:sz w:val="20"/>
          <w:szCs w:val="20"/>
          <w:color w:val="auto"/>
        </w:rPr>
      </w:pPr>
    </w:p>
    <w:p>
      <w:pPr>
        <w:sectPr>
          <w:pgSz w:w="11900" w:h="16838" w:orient="portrait"/>
          <w:cols w:equalWidth="0" w:num="2">
            <w:col w:w="5360" w:space="460"/>
            <w:col w:w="4980"/>
          </w:cols>
          <w:pgMar w:left="320" w:top="441" w:right="779" w:bottom="1440" w:gutter="0" w:footer="0" w:header="0"/>
          <w:type w:val="continuous"/>
        </w:sectPr>
      </w:pPr>
    </w:p>
    <w:p>
      <w:pPr>
        <w:spacing w:after="0" w:line="144" w:lineRule="exact"/>
        <w:rPr>
          <w:sz w:val="20"/>
          <w:szCs w:val="20"/>
          <w:color w:val="auto"/>
        </w:rPr>
      </w:pPr>
    </w:p>
    <w:p>
      <w:pPr>
        <w:ind w:left="440"/>
        <w:spacing w:after="0"/>
        <w:rPr>
          <w:sz w:val="20"/>
          <w:szCs w:val="20"/>
          <w:color w:val="auto"/>
        </w:rPr>
      </w:pPr>
      <w:r>
        <w:rPr>
          <w:rFonts w:ascii="Arial" w:cs="Arial" w:eastAsia="Arial" w:hAnsi="Arial"/>
          <w:sz w:val="20"/>
          <w:szCs w:val="20"/>
          <w:color w:val="483E65"/>
        </w:rPr>
        <w:t>How are the shares held by the Stock Plans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59690</wp:posOffset>
            </wp:positionV>
            <wp:extent cx="6583680" cy="158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583680" cy="15875"/>
                    </a:xfrm>
                    <a:prstGeom prst="rect">
                      <a:avLst/>
                    </a:prstGeom>
                    <a:noFill/>
                  </pic:spPr>
                </pic:pic>
              </a:graphicData>
            </a:graphic>
          </wp:anchor>
        </w:drawing>
      </w:r>
    </w:p>
    <w:p>
      <w:pPr>
        <w:sectPr>
          <w:pgSz w:w="11900" w:h="16838" w:orient="portrait"/>
          <w:cols w:equalWidth="0" w:num="1">
            <w:col w:w="10800"/>
          </w:cols>
          <w:pgMar w:left="320" w:top="441" w:right="77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ind w:left="540"/>
        <w:spacing w:after="0" w:line="254" w:lineRule="auto"/>
        <w:rPr>
          <w:sz w:val="20"/>
          <w:szCs w:val="20"/>
          <w:color w:val="auto"/>
        </w:rPr>
      </w:pPr>
      <w:r>
        <w:rPr>
          <w:rFonts w:ascii="Arial" w:cs="Arial" w:eastAsia="Arial" w:hAnsi="Arial"/>
          <w:sz w:val="16"/>
          <w:szCs w:val="16"/>
          <w:color w:val="auto"/>
        </w:rPr>
        <w:t>Under the terms of our Management Stock Compensation Plan and Key Executive Stock Deferral Plan, Matrix Trust Company, as trustee of these stock plans, has the power to vote the shares of common stock held in these stock plans. Matrix will vote all such shares in the same proportion that our other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right="200"/>
        <w:spacing w:after="0" w:line="237" w:lineRule="auto"/>
        <w:rPr>
          <w:sz w:val="20"/>
          <w:szCs w:val="20"/>
          <w:color w:val="auto"/>
        </w:rPr>
      </w:pPr>
      <w:r>
        <w:rPr>
          <w:rFonts w:ascii="Arial" w:cs="Arial" w:eastAsia="Arial" w:hAnsi="Arial"/>
          <w:sz w:val="17"/>
          <w:szCs w:val="17"/>
          <w:color w:val="auto"/>
        </w:rPr>
        <w:t>collectively vote their shares of common stock. If you are a participant in these stock plans, you do not have the right to instruct Matrix on how to vote your proportionate interests in the shares of common stock held in these stock plans.</w:t>
      </w:r>
    </w:p>
    <w:p>
      <w:pPr>
        <w:spacing w:after="0" w:line="401" w:lineRule="exact"/>
        <w:rPr>
          <w:sz w:val="20"/>
          <w:szCs w:val="20"/>
          <w:color w:val="auto"/>
        </w:rPr>
      </w:pPr>
    </w:p>
    <w:p>
      <w:pPr>
        <w:sectPr>
          <w:pgSz w:w="11900" w:h="16838" w:orient="portrait"/>
          <w:cols w:equalWidth="0" w:num="2">
            <w:col w:w="5380" w:space="440"/>
            <w:col w:w="4980"/>
          </w:cols>
          <w:pgMar w:left="320" w:top="441" w:right="779" w:bottom="1440" w:gutter="0" w:footer="0" w:header="0"/>
          <w:type w:val="continuous"/>
        </w:sectPr>
      </w:pPr>
    </w:p>
    <w:p>
      <w:pPr>
        <w:spacing w:after="0" w:line="143" w:lineRule="exact"/>
        <w:rPr>
          <w:sz w:val="20"/>
          <w:szCs w:val="20"/>
          <w:color w:val="auto"/>
        </w:rPr>
      </w:pPr>
    </w:p>
    <w:p>
      <w:pPr>
        <w:ind w:left="440"/>
        <w:spacing w:after="0"/>
        <w:rPr>
          <w:sz w:val="20"/>
          <w:szCs w:val="20"/>
          <w:color w:val="auto"/>
        </w:rPr>
      </w:pPr>
      <w:r>
        <w:rPr>
          <w:rFonts w:ascii="Arial" w:cs="Arial" w:eastAsia="Arial" w:hAnsi="Arial"/>
          <w:sz w:val="20"/>
          <w:szCs w:val="20"/>
          <w:color w:val="483E65"/>
        </w:rPr>
        <w:t>What is the difference between a “stockholder of record” and a “beneficial”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59690</wp:posOffset>
            </wp:positionV>
            <wp:extent cx="6583680" cy="158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583680" cy="15875"/>
                    </a:xfrm>
                    <a:prstGeom prst="rect">
                      <a:avLst/>
                    </a:prstGeom>
                    <a:noFill/>
                  </pic:spPr>
                </pic:pic>
              </a:graphicData>
            </a:graphic>
          </wp:anchor>
        </w:drawing>
      </w:r>
    </w:p>
    <w:p>
      <w:pPr>
        <w:sectPr>
          <w:pgSz w:w="11900" w:h="16838" w:orient="portrait"/>
          <w:cols w:equalWidth="0" w:num="1">
            <w:col w:w="10800"/>
          </w:cols>
          <w:pgMar w:left="320" w:top="441" w:right="77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540"/>
        <w:spacing w:after="0" w:line="236" w:lineRule="auto"/>
        <w:rPr>
          <w:sz w:val="20"/>
          <w:szCs w:val="20"/>
          <w:color w:val="auto"/>
        </w:rPr>
      </w:pPr>
      <w:r>
        <w:rPr>
          <w:rFonts w:ascii="Arial" w:cs="Arial" w:eastAsia="Arial" w:hAnsi="Arial"/>
          <w:sz w:val="17"/>
          <w:szCs w:val="17"/>
          <w:color w:val="auto"/>
        </w:rPr>
        <w:t>These terms describe how your shares are held. If your shares are registered directly with Computershare, our transfer agent, then you are a “stockholder of record” of these shares. If your shares are held in an account at a broker, bank, trust or other similar organization, then you are a “beneficial” holder of these shares. The organization holding your account is considered the stockholder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record for purposes of voting at the annual meeting. As a beneficial owner, you have the right to instruct that organization on how to vote the shares held in your account. If you wish to vote in person at the annual meeting, you must obtain a valid proxy from the organization holding the shares.</w:t>
      </w:r>
    </w:p>
    <w:p>
      <w:pPr>
        <w:spacing w:after="0" w:line="580" w:lineRule="exact"/>
        <w:rPr>
          <w:sz w:val="20"/>
          <w:szCs w:val="20"/>
          <w:color w:val="auto"/>
        </w:rPr>
      </w:pPr>
    </w:p>
    <w:p>
      <w:pPr>
        <w:sectPr>
          <w:pgSz w:w="11900" w:h="16838" w:orient="portrait"/>
          <w:cols w:equalWidth="0" w:num="2">
            <w:col w:w="5340" w:space="480"/>
            <w:col w:w="4980"/>
          </w:cols>
          <w:pgMar w:left="320" w:top="441" w:right="779" w:bottom="1440" w:gutter="0" w:footer="0" w:header="0"/>
          <w:type w:val="continuous"/>
        </w:sectPr>
      </w:pPr>
    </w:p>
    <w:p>
      <w:pPr>
        <w:spacing w:after="0" w:line="152" w:lineRule="exact"/>
        <w:rPr>
          <w:sz w:val="20"/>
          <w:szCs w:val="20"/>
          <w:color w:val="auto"/>
        </w:rPr>
      </w:pPr>
    </w:p>
    <w:p>
      <w:pPr>
        <w:ind w:left="440"/>
        <w:spacing w:after="0"/>
        <w:rPr>
          <w:sz w:val="20"/>
          <w:szCs w:val="20"/>
          <w:color w:val="auto"/>
        </w:rPr>
      </w:pPr>
      <w:r>
        <w:rPr>
          <w:rFonts w:ascii="Arial" w:cs="Arial" w:eastAsia="Arial" w:hAnsi="Arial"/>
          <w:sz w:val="20"/>
          <w:szCs w:val="20"/>
          <w:color w:val="483E65"/>
        </w:rPr>
        <w:t>Who is soliciting these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59690</wp:posOffset>
            </wp:positionV>
            <wp:extent cx="6583680" cy="158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583680" cy="15875"/>
                    </a:xfrm>
                    <a:prstGeom prst="rect">
                      <a:avLst/>
                    </a:prstGeom>
                    <a:noFill/>
                  </pic:spPr>
                </pic:pic>
              </a:graphicData>
            </a:graphic>
          </wp:anchor>
        </w:drawing>
      </w:r>
    </w:p>
    <w:p>
      <w:pPr>
        <w:sectPr>
          <w:pgSz w:w="11900" w:h="16838" w:orient="portrait"/>
          <w:cols w:equalWidth="0" w:num="1">
            <w:col w:w="10800"/>
          </w:cols>
          <w:pgMar w:left="320" w:top="441" w:right="77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ind w:left="540"/>
        <w:spacing w:after="0" w:line="236" w:lineRule="auto"/>
        <w:rPr>
          <w:sz w:val="20"/>
          <w:szCs w:val="20"/>
          <w:color w:val="auto"/>
        </w:rPr>
      </w:pPr>
      <w:r>
        <w:rPr>
          <w:rFonts w:ascii="Arial" w:cs="Arial" w:eastAsia="Arial" w:hAnsi="Arial"/>
          <w:sz w:val="17"/>
          <w:szCs w:val="17"/>
          <w:color w:val="auto"/>
        </w:rPr>
        <w:t>We are soliciting these proxies and the cost of the solicitation will be borne by us, including the charges and expenses of persons holding shares in their name as nominee incurred in connection with forwarding proxy materials to the beneficial owners of such shares. In addition to the use of the mail, proxies may be solicited by our officers, directors and employees in person, by telephone or by email.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right="240"/>
        <w:spacing w:after="0" w:line="239" w:lineRule="auto"/>
        <w:rPr>
          <w:sz w:val="20"/>
          <w:szCs w:val="20"/>
          <w:color w:val="auto"/>
        </w:rPr>
      </w:pPr>
      <w:r>
        <w:rPr>
          <w:rFonts w:ascii="Arial" w:cs="Arial" w:eastAsia="Arial" w:hAnsi="Arial"/>
          <w:sz w:val="17"/>
          <w:szCs w:val="17"/>
          <w:color w:val="auto"/>
        </w:rPr>
        <w:t>Such individuals will not be additionally compensated for such solicitation but may be reimbursed for reasonable out-of-pocket expenses incurred in connection with such solicitation.</w:t>
      </w:r>
    </w:p>
    <w:p>
      <w:pPr>
        <w:spacing w:after="0" w:line="961" w:lineRule="exact"/>
        <w:rPr>
          <w:sz w:val="20"/>
          <w:szCs w:val="20"/>
          <w:color w:val="auto"/>
        </w:rPr>
      </w:pPr>
    </w:p>
    <w:p>
      <w:pPr>
        <w:sectPr>
          <w:pgSz w:w="11900" w:h="16838" w:orient="portrait"/>
          <w:cols w:equalWidth="0" w:num="2">
            <w:col w:w="5400" w:space="420"/>
            <w:col w:w="4980"/>
          </w:cols>
          <w:pgMar w:left="320" w:top="441" w:right="779" w:bottom="1440" w:gutter="0" w:footer="0" w:header="0"/>
          <w:type w:val="continuous"/>
        </w:sectPr>
      </w:pPr>
    </w:p>
    <w:p>
      <w:pPr>
        <w:spacing w:after="0" w:line="139" w:lineRule="exact"/>
        <w:rPr>
          <w:sz w:val="20"/>
          <w:szCs w:val="20"/>
          <w:color w:val="auto"/>
        </w:rPr>
      </w:pPr>
    </w:p>
    <w:p>
      <w:pPr>
        <w:ind w:left="440"/>
        <w:spacing w:after="0"/>
        <w:rPr>
          <w:sz w:val="20"/>
          <w:szCs w:val="20"/>
          <w:color w:val="auto"/>
        </w:rPr>
      </w:pPr>
      <w:r>
        <w:rPr>
          <w:rFonts w:ascii="Arial" w:cs="Arial" w:eastAsia="Arial" w:hAnsi="Arial"/>
          <w:sz w:val="20"/>
          <w:szCs w:val="20"/>
          <w:color w:val="483E65"/>
        </w:rPr>
        <w:t>What is “householding” and how does it affect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59690</wp:posOffset>
            </wp:positionV>
            <wp:extent cx="6583680" cy="158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583680" cy="15875"/>
                    </a:xfrm>
                    <a:prstGeom prst="rect">
                      <a:avLst/>
                    </a:prstGeom>
                    <a:noFill/>
                  </pic:spPr>
                </pic:pic>
              </a:graphicData>
            </a:graphic>
          </wp:anchor>
        </w:drawing>
      </w:r>
    </w:p>
    <w:p>
      <w:pPr>
        <w:sectPr>
          <w:pgSz w:w="11900" w:h="16838" w:orient="portrait"/>
          <w:cols w:equalWidth="0" w:num="1">
            <w:col w:w="10800"/>
          </w:cols>
          <w:pgMar w:left="320" w:top="441" w:right="77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ind w:left="540"/>
        <w:spacing w:after="0" w:line="235" w:lineRule="auto"/>
        <w:rPr>
          <w:sz w:val="20"/>
          <w:szCs w:val="20"/>
          <w:color w:val="auto"/>
        </w:rPr>
      </w:pPr>
      <w:r>
        <w:rPr>
          <w:rFonts w:ascii="Arial" w:cs="Arial" w:eastAsia="Arial" w:hAnsi="Arial"/>
          <w:sz w:val="17"/>
          <w:szCs w:val="17"/>
          <w:color w:val="auto"/>
        </w:rPr>
        <w:t>We have adopted a procedure approved by the Securities and Exchange Commission, or SEC, called “householding.” Under this procedure, we send only one proxy statement and one annual report to eligible stockholders who share a single address, unless we have received instructions to the contrary from any stockholder at that address. This practice is designed to reduce our printing and postage costs. Stockholders who participate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in householding will continue to receive separate proxy and voting instruction cards. We do not use householding for any other stockholder mailings.</w:t>
      </w:r>
    </w:p>
    <w:p>
      <w:pPr>
        <w:spacing w:after="0" w:line="8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If you are a registered stockholder residing at an address with other registered stockholders and wish to receive a separate copy of the proxy statement or annual report, or if you do not wish to participate in householding and</w:t>
      </w:r>
    </w:p>
    <w:p>
      <w:pPr>
        <w:spacing w:after="0" w:line="285" w:lineRule="exact"/>
        <w:rPr>
          <w:sz w:val="20"/>
          <w:szCs w:val="20"/>
          <w:color w:val="auto"/>
        </w:rPr>
      </w:pPr>
    </w:p>
    <w:p>
      <w:pPr>
        <w:sectPr>
          <w:pgSz w:w="11900" w:h="16838" w:orient="portrait"/>
          <w:cols w:equalWidth="0" w:num="2">
            <w:col w:w="5240" w:space="580"/>
            <w:col w:w="4980"/>
          </w:cols>
          <w:pgMar w:left="320" w:top="441" w:right="779" w:bottom="1440" w:gutter="0" w:footer="0" w:header="0"/>
          <w:type w:val="continuous"/>
        </w:sectPr>
      </w:pPr>
    </w:p>
    <w:p>
      <w:pPr>
        <w:spacing w:after="0" w:line="58" w:lineRule="exact"/>
        <w:rPr>
          <w:sz w:val="20"/>
          <w:szCs w:val="20"/>
          <w:color w:val="auto"/>
        </w:rPr>
      </w:pPr>
    </w:p>
    <w:p>
      <w:pPr>
        <w:ind w:left="8680"/>
        <w:spacing w:after="0"/>
        <w:tabs>
          <w:tab w:leader="none" w:pos="10400" w:val="left"/>
          <w:tab w:leader="none" w:pos="10620" w:val="left"/>
        </w:tabs>
        <w:rPr>
          <w:sz w:val="20"/>
          <w:szCs w:val="20"/>
          <w:color w:val="auto"/>
        </w:rPr>
      </w:pPr>
      <w:r>
        <w:rPr>
          <w:rFonts w:ascii="Arial" w:cs="Arial" w:eastAsia="Arial" w:hAnsi="Arial"/>
          <w:sz w:val="15"/>
          <w:szCs w:val="15"/>
          <w:b w:val="1"/>
          <w:bCs w:val="1"/>
          <w:color w:val="483E65"/>
        </w:rPr>
        <w:t>2020 Proxy Statement</w:t>
        <w:tab/>
        <w:t>|</w:t>
      </w:r>
      <w:r>
        <w:rPr>
          <w:sz w:val="20"/>
          <w:szCs w:val="20"/>
          <w:color w:val="auto"/>
        </w:rPr>
        <w:tab/>
      </w:r>
      <w:r>
        <w:rPr>
          <w:rFonts w:ascii="Arial" w:cs="Arial" w:eastAsia="Arial" w:hAnsi="Arial"/>
          <w:sz w:val="14"/>
          <w:szCs w:val="14"/>
          <w:b w:val="1"/>
          <w:bCs w:val="1"/>
          <w:color w:val="483E65"/>
        </w:rPr>
        <w:t>59</w:t>
      </w:r>
    </w:p>
    <w:p>
      <w:pPr>
        <w:sectPr>
          <w:pgSz w:w="11900" w:h="16838" w:orient="portrait"/>
          <w:cols w:equalWidth="0" w:num="1">
            <w:col w:w="10800"/>
          </w:cols>
          <w:pgMar w:left="320" w:top="441" w:right="779" w:bottom="1440" w:gutter="0" w:footer="0" w:header="0"/>
          <w:type w:val="continuous"/>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192405</wp:posOffset>
            </wp:positionV>
            <wp:extent cx="6583680" cy="1936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58368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Information About Voting Rights and 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141605</wp:posOffset>
            </wp:positionV>
            <wp:extent cx="65836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ectPr>
          <w:pgSz w:w="11900" w:h="16838" w:orient="portrait"/>
          <w:cols w:equalWidth="0" w:num="1">
            <w:col w:w="10760"/>
          </w:cols>
          <w:pgMar w:left="320" w:top="441" w:right="81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540"/>
        <w:spacing w:after="0" w:line="235" w:lineRule="auto"/>
        <w:rPr>
          <w:sz w:val="20"/>
          <w:szCs w:val="20"/>
          <w:color w:val="auto"/>
        </w:rPr>
      </w:pPr>
      <w:r>
        <w:rPr>
          <w:rFonts w:ascii="Arial" w:cs="Arial" w:eastAsia="Arial" w:hAnsi="Arial"/>
          <w:sz w:val="17"/>
          <w:szCs w:val="17"/>
          <w:color w:val="auto"/>
        </w:rPr>
        <w:t>prefer to receive separate copies of these documents in the future, please contact our mailing agent, Broadridge, either by calling toll-free at 1-800-542-1061, or by writing to Broadridge, Householding Department, 51 Mercedes Way, Edgewood, NY 11717. If you own shares through a bank, broker, or other nominee, you should contact the nominee concerning householding procedures. We will promptly deliver a separate copy of the proxy statement or annual report to you upon request.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you are eligible for householding, but you and other stockholders of record with whom you share an address currently receive multiple copies of the proxy statement or annual report and you wish to receive a single copy of each of these documents for your household, please contact our mailing agent, Broadridge, at the telephone number or address indicated above.</w:t>
      </w:r>
    </w:p>
    <w:p>
      <w:pPr>
        <w:spacing w:after="0" w:line="769" w:lineRule="exact"/>
        <w:rPr>
          <w:sz w:val="20"/>
          <w:szCs w:val="20"/>
          <w:color w:val="auto"/>
        </w:rPr>
      </w:pPr>
    </w:p>
    <w:p>
      <w:pPr>
        <w:sectPr>
          <w:pgSz w:w="11900" w:h="16838" w:orient="portrait"/>
          <w:cols w:equalWidth="0" w:num="2">
            <w:col w:w="5200" w:space="620"/>
            <w:col w:w="4940"/>
          </w:cols>
          <w:pgMar w:left="320" w:top="441" w:right="819" w:bottom="1440" w:gutter="0" w:footer="0" w:header="0"/>
          <w:type w:val="continuous"/>
        </w:sectPr>
      </w:pPr>
    </w:p>
    <w:p>
      <w:pPr>
        <w:spacing w:after="0" w:line="156" w:lineRule="exact"/>
        <w:rPr>
          <w:sz w:val="20"/>
          <w:szCs w:val="20"/>
          <w:color w:val="auto"/>
        </w:rPr>
      </w:pPr>
    </w:p>
    <w:p>
      <w:pPr>
        <w:ind w:left="440"/>
        <w:spacing w:after="0"/>
        <w:rPr>
          <w:sz w:val="20"/>
          <w:szCs w:val="20"/>
          <w:color w:val="auto"/>
        </w:rPr>
      </w:pPr>
      <w:r>
        <w:rPr>
          <w:rFonts w:ascii="Arial" w:cs="Arial" w:eastAsia="Arial" w:hAnsi="Arial"/>
          <w:sz w:val="20"/>
          <w:szCs w:val="20"/>
          <w:color w:val="483E65"/>
        </w:rPr>
        <w:t>Where can I find the voting results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59690</wp:posOffset>
            </wp:positionV>
            <wp:extent cx="6583680" cy="158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583680" cy="15875"/>
                    </a:xfrm>
                    <a:prstGeom prst="rect">
                      <a:avLst/>
                    </a:prstGeom>
                    <a:noFill/>
                  </pic:spPr>
                </pic:pic>
              </a:graphicData>
            </a:graphic>
          </wp:anchor>
        </w:drawing>
      </w:r>
    </w:p>
    <w:p>
      <w:pPr>
        <w:sectPr>
          <w:pgSz w:w="11900" w:h="16838" w:orient="portrait"/>
          <w:cols w:equalWidth="0" w:num="1">
            <w:col w:w="10760"/>
          </w:cols>
          <w:pgMar w:left="320" w:top="441" w:right="81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540"/>
        <w:spacing w:after="0" w:line="243" w:lineRule="auto"/>
        <w:rPr>
          <w:sz w:val="20"/>
          <w:szCs w:val="20"/>
          <w:color w:val="auto"/>
        </w:rPr>
      </w:pPr>
      <w:r>
        <w:rPr>
          <w:rFonts w:ascii="Arial" w:cs="Arial" w:eastAsia="Arial" w:hAnsi="Arial"/>
          <w:sz w:val="17"/>
          <w:szCs w:val="17"/>
          <w:color w:val="auto"/>
        </w:rPr>
        <w:t>We intend to announce preliminary voting results at the annual meeting and publish final results in a Current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Report on Form 8-K to be filed with the SEC within four business days of the annual meeting.</w:t>
      </w:r>
    </w:p>
    <w:p>
      <w:pPr>
        <w:spacing w:after="0" w:line="200" w:lineRule="exact"/>
        <w:rPr>
          <w:sz w:val="20"/>
          <w:szCs w:val="20"/>
          <w:color w:val="auto"/>
        </w:rPr>
      </w:pPr>
    </w:p>
    <w:p>
      <w:pPr>
        <w:sectPr>
          <w:pgSz w:w="11900" w:h="16838" w:orient="portrait"/>
          <w:cols w:equalWidth="0" w:num="2">
            <w:col w:w="5220" w:space="600"/>
            <w:col w:w="4940"/>
          </w:cols>
          <w:pgMar w:left="320" w:top="441" w:right="819" w:bottom="1440" w:gutter="0" w:footer="0" w:header="0"/>
          <w:type w:val="continuous"/>
        </w:sectPr>
      </w:pPr>
    </w:p>
    <w:p>
      <w:pPr>
        <w:spacing w:after="0" w:line="149" w:lineRule="exact"/>
        <w:rPr>
          <w:sz w:val="20"/>
          <w:szCs w:val="20"/>
          <w:color w:val="auto"/>
        </w:rPr>
      </w:pPr>
    </w:p>
    <w:p>
      <w:pPr>
        <w:ind w:left="440"/>
        <w:spacing w:after="0"/>
        <w:rPr>
          <w:sz w:val="20"/>
          <w:szCs w:val="20"/>
          <w:color w:val="auto"/>
        </w:rPr>
      </w:pPr>
      <w:r>
        <w:rPr>
          <w:rFonts w:ascii="Arial" w:cs="Arial" w:eastAsia="Arial" w:hAnsi="Arial"/>
          <w:sz w:val="20"/>
          <w:szCs w:val="20"/>
          <w:color w:val="483E65"/>
        </w:rPr>
        <w:t>May I obtain a copy of the 2019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59690</wp:posOffset>
            </wp:positionV>
            <wp:extent cx="6583680" cy="158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583680" cy="15875"/>
                    </a:xfrm>
                    <a:prstGeom prst="rect">
                      <a:avLst/>
                    </a:prstGeom>
                    <a:noFill/>
                  </pic:spPr>
                </pic:pic>
              </a:graphicData>
            </a:graphic>
          </wp:anchor>
        </w:drawing>
      </w:r>
    </w:p>
    <w:p>
      <w:pPr>
        <w:sectPr>
          <w:pgSz w:w="11900" w:h="16838" w:orient="portrait"/>
          <w:cols w:equalWidth="0" w:num="1">
            <w:col w:w="10760"/>
          </w:cols>
          <w:pgMar w:left="320" w:top="441" w:right="81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ind w:left="540"/>
        <w:spacing w:after="0" w:line="239" w:lineRule="auto"/>
        <w:rPr>
          <w:sz w:val="20"/>
          <w:szCs w:val="20"/>
          <w:color w:val="auto"/>
        </w:rPr>
      </w:pPr>
      <w:r>
        <w:rPr>
          <w:rFonts w:ascii="Arial" w:cs="Arial" w:eastAsia="Arial" w:hAnsi="Arial"/>
          <w:sz w:val="17"/>
          <w:szCs w:val="17"/>
          <w:color w:val="auto"/>
        </w:rPr>
        <w:t>We will provide without charge to any stockholder, upon written or oral request, a copy of our Annual Report without exhibits. Requests should be directed to Leidos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right="240"/>
        <w:spacing w:after="0" w:line="273" w:lineRule="auto"/>
        <w:rPr>
          <w:sz w:val="20"/>
          <w:szCs w:val="20"/>
          <w:color w:val="auto"/>
        </w:rPr>
      </w:pPr>
      <w:r>
        <w:rPr>
          <w:rFonts w:ascii="Arial" w:cs="Arial" w:eastAsia="Arial" w:hAnsi="Arial"/>
          <w:sz w:val="16"/>
          <w:szCs w:val="16"/>
          <w:color w:val="auto"/>
        </w:rPr>
        <w:t>Holdings, Inc., 1750 Presidents Street, Reston, Virginia 20190, Attention: Corporate Secretary or by calling 1-571-526-6000.</w:t>
      </w:r>
    </w:p>
    <w:p>
      <w:pPr>
        <w:spacing w:after="0" w:line="365" w:lineRule="exact"/>
        <w:rPr>
          <w:sz w:val="20"/>
          <w:szCs w:val="20"/>
          <w:color w:val="auto"/>
        </w:rPr>
      </w:pPr>
    </w:p>
    <w:p>
      <w:pPr>
        <w:sectPr>
          <w:pgSz w:w="11900" w:h="16838" w:orient="portrait"/>
          <w:cols w:equalWidth="0" w:num="2">
            <w:col w:w="5260" w:space="560"/>
            <w:col w:w="4940"/>
          </w:cols>
          <w:pgMar w:left="320" w:top="441" w:right="819" w:bottom="1440" w:gutter="0" w:footer="0" w:header="0"/>
          <w:type w:val="continuous"/>
        </w:sectPr>
      </w:pPr>
    </w:p>
    <w:p>
      <w:pPr>
        <w:spacing w:after="0" w:line="262" w:lineRule="exact"/>
        <w:rPr>
          <w:sz w:val="20"/>
          <w:szCs w:val="20"/>
          <w:color w:val="auto"/>
        </w:rPr>
      </w:pPr>
    </w:p>
    <w:p>
      <w:pPr>
        <w:ind w:left="440"/>
        <w:spacing w:after="0"/>
        <w:rPr>
          <w:sz w:val="20"/>
          <w:szCs w:val="20"/>
          <w:color w:val="auto"/>
        </w:rPr>
      </w:pPr>
      <w:r>
        <w:rPr>
          <w:rFonts w:ascii="Arial" w:cs="Arial" w:eastAsia="Arial" w:hAnsi="Arial"/>
          <w:sz w:val="30"/>
          <w:szCs w:val="30"/>
          <w:color w:val="483E65"/>
        </w:rPr>
        <w:t>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101600</wp:posOffset>
            </wp:positionV>
            <wp:extent cx="65836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291" w:lineRule="exact"/>
        <w:rPr>
          <w:sz w:val="20"/>
          <w:szCs w:val="20"/>
          <w:color w:val="auto"/>
        </w:rPr>
      </w:pPr>
    </w:p>
    <w:p>
      <w:pPr>
        <w:ind w:left="440" w:right="120"/>
        <w:spacing w:after="0" w:line="243" w:lineRule="auto"/>
        <w:rPr>
          <w:sz w:val="20"/>
          <w:szCs w:val="20"/>
          <w:color w:val="auto"/>
        </w:rPr>
      </w:pPr>
      <w:r>
        <w:rPr>
          <w:rFonts w:ascii="Arial" w:cs="Arial" w:eastAsia="Arial" w:hAnsi="Arial"/>
          <w:sz w:val="17"/>
          <w:szCs w:val="17"/>
          <w:color w:val="auto"/>
        </w:rPr>
        <w:t>As permitted by the rules of the SEC, we are using the Internet as a means of furnishing proxy materials to our stockholders. We believe this method will make the proxy distribution process more efficient, lower costs and help in conserving natural resources.</w:t>
      </w:r>
    </w:p>
    <w:p>
      <w:pPr>
        <w:spacing w:after="0" w:line="189" w:lineRule="exact"/>
        <w:rPr>
          <w:sz w:val="20"/>
          <w:szCs w:val="20"/>
          <w:color w:val="auto"/>
        </w:rPr>
      </w:pPr>
    </w:p>
    <w:p>
      <w:pPr>
        <w:ind w:left="440"/>
        <w:spacing w:after="0" w:line="236" w:lineRule="auto"/>
        <w:rPr>
          <w:sz w:val="20"/>
          <w:szCs w:val="20"/>
          <w:color w:val="auto"/>
        </w:rPr>
      </w:pPr>
      <w:r>
        <w:rPr>
          <w:rFonts w:ascii="Arial" w:cs="Arial" w:eastAsia="Arial" w:hAnsi="Arial"/>
          <w:sz w:val="17"/>
          <w:szCs w:val="17"/>
          <w:color w:val="auto"/>
        </w:rPr>
        <w:t>On or about March , 2020, we mailed to our stockholders a Notice of Internet Availability of Proxy Materials containing instructions on how to access our proxy materials, including our proxy statement and annual report. The Notice of Internet Availability of Proxy Materials also instructs you on how to access your proxy and voting instruction card to be able to vote through the Internet or by telephone. Other stockholders, in accordance with their prior requests, and employees with regular access to email have received email notification of how to access our proxy materials and vote via the Internet or by telephone or have been mailed paper copies of our proxy materials and a proxy and voting instruction card.</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Important Notice Regarding the Availability of Proxy Materials for the Shareholder Meeting To Be Held on May 1, 2020.</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proxy statement and annual report are available at www.proxyvote.com.</w:t>
      </w:r>
    </w:p>
    <w:p>
      <w:pPr>
        <w:spacing w:after="0" w:line="198" w:lineRule="exact"/>
        <w:rPr>
          <w:sz w:val="20"/>
          <w:szCs w:val="20"/>
          <w:color w:val="auto"/>
        </w:rPr>
      </w:pPr>
    </w:p>
    <w:p>
      <w:pPr>
        <w:ind w:left="440"/>
        <w:spacing w:after="0" w:line="243" w:lineRule="auto"/>
        <w:rPr>
          <w:sz w:val="20"/>
          <w:szCs w:val="20"/>
          <w:color w:val="auto"/>
        </w:rPr>
      </w:pPr>
      <w:r>
        <w:rPr>
          <w:rFonts w:ascii="Arial" w:cs="Arial" w:eastAsia="Arial" w:hAnsi="Arial"/>
          <w:sz w:val="17"/>
          <w:szCs w:val="17"/>
          <w:color w:val="auto"/>
        </w:rPr>
        <w:t>Information and reports on our website to which we refer in this proxy statement will not be deemed a part of, or otherwise incorporated by reference into, this proxy statement.</w:t>
      </w:r>
    </w:p>
    <w:p>
      <w:pPr>
        <w:spacing w:after="0" w:line="214"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Raymond L. Veldman</w:t>
      </w:r>
    </w:p>
    <w:p>
      <w:pPr>
        <w:ind w:left="6660"/>
        <w:spacing w:after="0" w:line="234" w:lineRule="auto"/>
        <w:rPr>
          <w:sz w:val="20"/>
          <w:szCs w:val="20"/>
          <w:color w:val="auto"/>
        </w:rPr>
      </w:pPr>
      <w:r>
        <w:rPr>
          <w:rFonts w:ascii="Arial" w:cs="Arial" w:eastAsia="Arial" w:hAnsi="Arial"/>
          <w:sz w:val="17"/>
          <w:szCs w:val="17"/>
          <w:color w:val="auto"/>
        </w:rPr>
        <w:t>Corporate Secretary</w:t>
      </w:r>
    </w:p>
    <w:p>
      <w:pPr>
        <w:ind w:left="7420"/>
        <w:spacing w:after="0"/>
        <w:rPr>
          <w:sz w:val="20"/>
          <w:szCs w:val="20"/>
          <w:color w:val="auto"/>
        </w:rPr>
      </w:pPr>
      <w:r>
        <w:rPr>
          <w:rFonts w:ascii="Arial" w:cs="Arial" w:eastAsia="Arial" w:hAnsi="Arial"/>
          <w:sz w:val="17"/>
          <w:szCs w:val="17"/>
          <w:color w:val="auto"/>
        </w:rPr>
        <w:t>, 2020</w:t>
      </w:r>
    </w:p>
    <w:p>
      <w:pPr>
        <w:spacing w:after="0" w:line="119" w:lineRule="exact"/>
        <w:rPr>
          <w:sz w:val="20"/>
          <w:szCs w:val="20"/>
          <w:color w:val="auto"/>
        </w:rPr>
      </w:pPr>
    </w:p>
    <w:p>
      <w:pPr>
        <w:ind w:left="440"/>
        <w:spacing w:after="0"/>
        <w:tabs>
          <w:tab w:leader="none" w:pos="760" w:val="left"/>
          <w:tab w:leader="none" w:pos="980" w:val="left"/>
        </w:tabs>
        <w:rPr>
          <w:sz w:val="20"/>
          <w:szCs w:val="20"/>
          <w:color w:val="auto"/>
        </w:rPr>
      </w:pPr>
      <w:r>
        <w:rPr>
          <w:rFonts w:ascii="Arial" w:cs="Arial" w:eastAsia="Arial" w:hAnsi="Arial"/>
          <w:sz w:val="15"/>
          <w:szCs w:val="15"/>
          <w:b w:val="1"/>
          <w:bCs w:val="1"/>
          <w:color w:val="483E65"/>
        </w:rPr>
        <w:t>60</w:t>
        <w:tab/>
        <w:t>|</w:t>
        <w:tab/>
        <w:t>2020 Proxy Statement</w:t>
      </w:r>
    </w:p>
    <w:p>
      <w:pPr>
        <w:sectPr>
          <w:pgSz w:w="11900" w:h="16838" w:orient="portrait"/>
          <w:cols w:equalWidth="0" w:num="1">
            <w:col w:w="10760"/>
          </w:cols>
          <w:pgMar w:left="320" w:top="441" w:right="819" w:bottom="1440" w:gutter="0" w:footer="0" w:header="0"/>
          <w:type w:val="continuous"/>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3179"/>
        <w:spacing w:after="0"/>
        <w:rPr>
          <w:sz w:val="20"/>
          <w:szCs w:val="20"/>
          <w:color w:val="auto"/>
        </w:rPr>
      </w:pPr>
      <w:r>
        <w:rPr>
          <w:rFonts w:ascii="Arial" w:cs="Arial" w:eastAsia="Arial" w:hAnsi="Arial"/>
          <w:sz w:val="17"/>
          <w:szCs w:val="17"/>
          <w:color w:val="auto"/>
        </w:rPr>
        <w:t>[Place-holder for photo to be provided]</w:t>
      </w:r>
    </w:p>
    <w:p>
      <w:pPr>
        <w:sectPr>
          <w:pgSz w:w="11900" w:h="16838" w:orient="portrait"/>
          <w:cols w:equalWidth="0" w:num="1">
            <w:col w:w="10139"/>
          </w:cols>
          <w:pgMar w:left="320" w:top="441" w:right="1440"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214630</wp:posOffset>
            </wp:positionV>
            <wp:extent cx="6567805" cy="85604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567805" cy="856043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214630</wp:posOffset>
            </wp:positionV>
            <wp:extent cx="5607685" cy="72612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607685" cy="726122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214630</wp:posOffset>
            </wp:positionV>
            <wp:extent cx="5607685" cy="72612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607685" cy="7261225"/>
                    </a:xfrm>
                    <a:prstGeom prst="rect">
                      <a:avLst/>
                    </a:prstGeom>
                    <a:noFill/>
                  </pic:spPr>
                </pic:pic>
              </a:graphicData>
            </a:graphic>
          </wp:anchor>
        </w:drawing>
      </w:r>
    </w:p>
    <w:sectPr>
      <w:pgSz w:w="11900" w:h="16838" w:orient="portrait"/>
      <w:cols w:equalWidth="0" w:num="1">
        <w:col w:w="10139"/>
      </w:cols>
      <w:pgMar w:left="320" w:top="4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lvl w:ilvl="1">
      <w:lvlJc w:val="left"/>
      <w:lvlText w:val="%2."/>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2"/>
      <w:numFmt w:val="bullet"/>
      <w:start w:val="1"/>
    </w:lvl>
  </w:abstractNum>
  <w:abstractNum w:abstractNumId="6">
    <w:nsid w:val="333AB105"/>
    <w:multiLevelType w:val="hybridMultilevel"/>
    <w:lvl w:ilvl="0">
      <w:lvlJc w:val="left"/>
      <w:lvlText w:val="4"/>
      <w:numFmt w:val="bullet"/>
      <w:start w:val="1"/>
    </w:lvl>
  </w:abstractNum>
  <w:abstractNum w:abstractNumId="7">
    <w:nsid w:val="721DA317"/>
    <w:multiLevelType w:val="hybridMultilevel"/>
    <w:lvl w:ilvl="0">
      <w:lvlJc w:val="left"/>
      <w:lvlText w:val="6"/>
      <w:numFmt w:val="bullet"/>
      <w:start w:val="1"/>
    </w:lvl>
  </w:abstractNum>
  <w:abstractNum w:abstractNumId="8">
    <w:nsid w:val="2443A858"/>
    <w:multiLevelType w:val="hybridMultilevel"/>
    <w:lvl w:ilvl="0">
      <w:lvlJc w:val="left"/>
      <w:lvlText w:val="8"/>
      <w:numFmt w:val="bullet"/>
      <w:start w:val="1"/>
    </w:lvl>
  </w:abstractNum>
  <w:abstractNum w:abstractNumId="9">
    <w:nsid w:val="2D1D5AE9"/>
    <w:multiLevelType w:val="hybridMultilevel"/>
    <w:lvl w:ilvl="0">
      <w:lvlJc w:val="left"/>
      <w:lvlText w:val="\endash "/>
      <w:numFmt w:val="bullet"/>
      <w:start w:val="1"/>
    </w:lvl>
  </w:abstractNum>
  <w:abstractNum w:abstractNumId="10">
    <w:nsid w:val="6763845E"/>
    <w:multiLevelType w:val="hybridMultilevel"/>
    <w:lvl w:ilvl="0">
      <w:lvlJc w:val="left"/>
      <w:lvlText w:val="u"/>
      <w:numFmt w:val="bullet"/>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4"/>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u"/>
      <w:numFmt w:val="bullet"/>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2"/>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2"/>
    </w:lvl>
  </w:abstractNum>
  <w:abstractNum w:abstractNumId="25">
    <w:nsid w:val="7C3DBD3D"/>
    <w:multiLevelType w:val="hybridMultilevel"/>
    <w:lvl w:ilvl="0">
      <w:lvlJc w:val="left"/>
      <w:lvlText w:val="(%1)"/>
      <w:numFmt w:val="lowerRoman"/>
      <w:start w:val="3"/>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upperLetter"/>
      <w:start w:val="4"/>
    </w:lvl>
  </w:abstractNum>
  <w:abstractNum w:abstractNumId="28">
    <w:nsid w:val="22221A70"/>
    <w:multiLevelType w:val="hybridMultilevel"/>
    <w:lvl w:ilvl="0">
      <w:lvlJc w:val="left"/>
      <w:lvlText w:val="(%1)"/>
      <w:numFmt w:val="upperLetter"/>
      <w:start w:val="3"/>
    </w:lvl>
  </w:abstractNum>
  <w:abstractNum w:abstractNumId="29">
    <w:nsid w:val="4516DDE9"/>
    <w:multiLevelType w:val="hybridMultilevel"/>
    <w:lvl w:ilvl="0">
      <w:lvlJc w:val="left"/>
      <w:lvlText w:val="(%1)"/>
      <w:numFmt w:val="upperLetter"/>
      <w:start w:val="2"/>
    </w:lvl>
  </w:abstractNum>
  <w:abstractNum w:abstractNumId="30">
    <w:nsid w:val="3006C83E"/>
    <w:multiLevelType w:val="hybridMultilevel"/>
    <w:lvl w:ilvl="0">
      <w:lvlJc w:val="left"/>
      <w:lvlText w:val="(%1)"/>
      <w:numFmt w:val="upperLetter"/>
      <w:start w:val="6"/>
    </w:lvl>
  </w:abstractNum>
  <w:abstractNum w:abstractNumId="31">
    <w:nsid w:val="614FD4A1"/>
    <w:multiLevelType w:val="hybridMultilevel"/>
    <w:lvl w:ilvl="0">
      <w:lvlJc w:val="left"/>
      <w:lvlText w:val="(%1)"/>
      <w:numFmt w:val="upperLetter"/>
      <w:start w:val="9"/>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u"/>
      <w:numFmt w:val="bullet"/>
      <w:start w:val="1"/>
    </w:lvl>
  </w:abstractNum>
  <w:abstractNum w:abstractNumId="35">
    <w:nsid w:val="5072367"/>
    <w:multiLevelType w:val="hybridMultilevel"/>
    <w:lvl w:ilvl="0">
      <w:lvlJc w:val="left"/>
      <w:lvlText w:val="u"/>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2020-03-06T08:45:08Z</dcterms:created>
  <dcterms:modified xsi:type="dcterms:W3CDTF">2020-03-06T08:45:08Z</dcterms:modified>
</cp:coreProperties>
</file>