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REAGAN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11951 FREEDOM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Leidos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LDOS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Chief Financial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RESTON</w:t>
            </w:r>
          </w:p>
        </w:tc>
        <w:tc>
          <w:tcPr>
            <w:tcW w:w="1140" w:type="dxa"/>
            <w:vAlign w:val="bottom"/>
          </w:tcPr>
          <w:p>
            <w:pPr>
              <w:ind w:left="30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20190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3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03/14/2016</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2,600</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46.83</w:t>
            </w:r>
            <w:r>
              <w:rPr>
                <w:rFonts w:ascii="Arial" w:cs="Arial" w:eastAsia="Arial" w:hAnsi="Arial"/>
                <w:sz w:val="22"/>
                <w:szCs w:val="22"/>
                <w:color w:val="008000"/>
                <w:w w:val="93"/>
                <w:vertAlign w:val="superscript"/>
              </w:rPr>
              <w:t>(1)</w:t>
            </w:r>
          </w:p>
        </w:tc>
        <w:tc>
          <w:tcPr>
            <w:tcW w:w="1160" w:type="dxa"/>
            <w:vAlign w:val="bottom"/>
            <w:tcBorders>
              <w:bottom w:val="single" w:sz="8" w:color="2C2C2C"/>
            </w:tcBorders>
          </w:tcPr>
          <w:p>
            <w:pPr>
              <w:jc w:val="right"/>
              <w:ind w:right="293"/>
              <w:spacing w:after="0"/>
              <w:rPr>
                <w:sz w:val="20"/>
                <w:szCs w:val="20"/>
                <w:color w:val="auto"/>
              </w:rPr>
            </w:pPr>
            <w:r>
              <w:rPr>
                <w:rFonts w:ascii="Arial" w:cs="Arial" w:eastAsia="Arial" w:hAnsi="Arial"/>
                <w:sz w:val="18"/>
                <w:szCs w:val="18"/>
                <w:color w:val="0000FF"/>
              </w:rPr>
              <w:t>7,565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0000FF"/>
              </w:rPr>
              <w:t>By Key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0000FF"/>
                <w:w w:val="94"/>
              </w:rPr>
              <w:t>Executive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0000FF"/>
              </w:rPr>
              <w:t>10,658.1268</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tcPr>
          <w:p>
            <w:pPr>
              <w:ind w:left="80"/>
              <w:spacing w:after="0"/>
              <w:rPr>
                <w:sz w:val="20"/>
                <w:szCs w:val="20"/>
                <w:color w:val="auto"/>
              </w:rPr>
            </w:pPr>
            <w:r>
              <w:rPr>
                <w:rFonts w:ascii="Arial" w:cs="Arial" w:eastAsia="Arial" w:hAnsi="Arial"/>
                <w:sz w:val="18"/>
                <w:szCs w:val="18"/>
                <w:color w:val="0000FF"/>
              </w:rPr>
              <w:t>Stock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0000FF"/>
              </w:rPr>
              <w:t>Deferral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ind w:left="80"/>
              <w:spacing w:after="0"/>
              <w:rPr>
                <w:sz w:val="20"/>
                <w:szCs w:val="20"/>
                <w:color w:val="auto"/>
              </w:rPr>
            </w:pPr>
            <w:r>
              <w:rPr>
                <w:rFonts w:ascii="Arial" w:cs="Arial" w:eastAsia="Arial" w:hAnsi="Arial"/>
                <w:sz w:val="18"/>
                <w:szCs w:val="18"/>
                <w:color w:val="0000FF"/>
              </w:rPr>
              <w:t>Plan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for the purchase of 2,600 shares is a weighted average price of $46.83. The shares were purchased in multiple transactions at prices ranging from $46.81 - $46.85, inclusive. The reporting person undertakes to provide to Leidos Holdings, Inc., any security holder of Leidos Holdings, Inc. or the staff of the Securities and Exchange Commission, upon request, full information regarding the number of shares purchased at each separate price within the aforementioned range.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Raymond L. Veldman,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03/15/2016</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3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tcBorders>
              <w:top w:val="single" w:sz="8" w:color="auto"/>
            </w:tcBorders>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2425" TargetMode="External"/><Relationship Id="rId13"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2020-01-19T06:47:29Z</dcterms:created>
  <dcterms:modified xsi:type="dcterms:W3CDTF">2020-01-19T06:47:29Z</dcterms:modified>
</cp:coreProperties>
</file>