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before="120" w:after="20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66" w:before="120" w:after="120"/>
        <w:jc w:val="center"/>
        <w:rPr>
          <w:rFonts w:ascii="Times New Roman;serif" w:hAnsi="Times New Roman;serif"/>
          <w:b/>
          <w:color w:val="010202"/>
          <w:sz w:val="36"/>
        </w:rPr>
      </w:pPr>
      <w:r>
        <w:rPr>
          <w:rFonts w:ascii="Times New Roman;serif" w:hAnsi="Times New Roman;serif"/>
          <w:b/>
          <w:color w:val="010202"/>
          <w:sz w:val="36"/>
        </w:rPr>
        <w:t>UNITED STATES</w:t>
      </w:r>
    </w:p>
    <w:p>
      <w:pPr>
        <w:pStyle w:val="TextBody"/>
        <w:bidi w:val="0"/>
        <w:spacing w:lineRule="auto" w:line="266" w:before="120" w:after="283"/>
        <w:jc w:val="center"/>
        <w:rPr>
          <w:rFonts w:ascii="Times New Roman;serif" w:hAnsi="Times New Roman;serif"/>
          <w:b/>
          <w:color w:val="010202"/>
          <w:sz w:val="36"/>
        </w:rPr>
      </w:pPr>
      <w:r>
        <w:rPr>
          <w:rFonts w:ascii="Times New Roman;serif" w:hAnsi="Times New Roman;serif"/>
          <w:b/>
          <w:color w:val="010202"/>
          <w:sz w:val="36"/>
        </w:rPr>
        <w:t>SECURITIES AND EXCHANGE COMMISSION</w:t>
      </w:r>
    </w:p>
    <w:p>
      <w:pPr>
        <w:pStyle w:val="TextBody"/>
        <w:bidi w:val="0"/>
        <w:spacing w:lineRule="auto" w:line="266" w:before="120" w:after="283"/>
        <w:jc w:val="center"/>
        <w:rPr>
          <w:rFonts w:ascii="Times New Roman;serif" w:hAnsi="Times New Roman;serif"/>
          <w:b/>
          <w:color w:val="010202"/>
          <w:sz w:val="24"/>
        </w:rPr>
      </w:pPr>
      <w:r>
        <w:rPr>
          <w:rFonts w:ascii="Times New Roman;serif" w:hAnsi="Times New Roman;serif"/>
          <w:b/>
          <w:color w:val="010202"/>
          <w:sz w:val="24"/>
        </w:rPr>
        <w:t>WASHINGTON, D.C. 20549</w:t>
      </w:r>
    </w:p>
    <w:p>
      <w:pPr>
        <w:pStyle w:val="TextBody"/>
        <w:bidi w:val="0"/>
        <w:spacing w:before="4" w:after="283"/>
        <w:jc w:val="left"/>
        <w:rPr/>
      </w:pPr>
      <w:r>
        <w:rPr/>
      </w:r>
    </w:p>
    <w:p>
      <w:pPr>
        <w:pStyle w:val="TextBody"/>
        <w:bidi w:val="0"/>
        <w:spacing w:lineRule="auto" w:line="288" w:before="120" w:after="283"/>
        <w:jc w:val="center"/>
        <w:rPr>
          <w:rFonts w:ascii="Times New Roman;serif" w:hAnsi="Times New Roman;serif"/>
          <w:b/>
          <w:color w:val="010202"/>
          <w:sz w:val="36"/>
        </w:rPr>
      </w:pPr>
      <w:r>
        <w:rPr>
          <w:rFonts w:ascii="Times New Roman;serif" w:hAnsi="Times New Roman;serif"/>
          <w:b/>
          <w:color w:val="010202"/>
          <w:sz w:val="36"/>
        </w:rPr>
        <w:t>FORM 11-K</w:t>
      </w:r>
    </w:p>
    <w:p>
      <w:pPr>
        <w:pStyle w:val="TextBody"/>
        <w:bidi w:val="0"/>
        <w:spacing w:before="8" w:after="283"/>
        <w:jc w:val="center"/>
        <w:rPr/>
      </w:pPr>
      <w:r>
        <w:rPr/>
      </w:r>
    </w:p>
    <w:p>
      <w:pPr>
        <w:pStyle w:val="TextBody"/>
        <w:bidi w:val="0"/>
        <w:spacing w:lineRule="auto" w:line="288" w:before="180" w:after="283"/>
        <w:jc w:val="left"/>
        <w:rPr>
          <w:color w:val="000000"/>
        </w:rPr>
      </w:pPr>
      <w:r>
        <w:rPr>
          <w:color w:val="000000"/>
        </w:rPr>
        <w:t>☒        </w:t>
      </w:r>
      <w:r>
        <w:rPr>
          <w:rFonts w:ascii="Times New Roman;serif" w:hAnsi="Times New Roman;serif"/>
          <w:b/>
          <w:color w:val="000000"/>
          <w:sz w:val="24"/>
        </w:rPr>
        <w:t xml:space="preserve">ANNUAL REPORT PURSUANT TO SECTION 15(d) OF THE SECURITIES EXCHANGE ACT OF 1934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before="120" w:after="120"/>
        <w:jc w:val="center"/>
        <w:rPr/>
      </w:pPr>
      <w:r>
        <w:rPr/>
      </w:r>
    </w:p>
    <w:p>
      <w:pPr>
        <w:pStyle w:val="TextBody"/>
        <w:bidi w:val="0"/>
        <w:spacing w:lineRule="auto" w:line="312" w:before="120" w:after="120"/>
        <w:jc w:val="center"/>
        <w:rPr>
          <w:rFonts w:ascii="Avenir LT Pro 45 Book;sans-serif" w:hAnsi="Avenir LT Pro 45 Book;sans-serif"/>
          <w:b/>
          <w:color w:val="000000"/>
          <w:sz w:val="18"/>
        </w:rPr>
      </w:pPr>
      <w:r>
        <w:rPr>
          <w:rFonts w:ascii="Avenir LT Pro 45 Book;sans-serif" w:hAnsi="Avenir LT Pro 45 Book;sans-serif"/>
          <w:b/>
          <w:color w:val="000000"/>
          <w:sz w:val="18"/>
        </w:rPr>
        <w:t>OR</w:t>
      </w:r>
    </w:p>
    <w:p>
      <w:pPr>
        <w:pStyle w:val="TextBody"/>
        <w:bidi w:val="0"/>
        <w:spacing w:lineRule="auto" w:line="288" w:before="180" w:after="283"/>
        <w:ind w:left="0" w:right="0" w:hanging="490"/>
        <w:jc w:val="left"/>
        <w:rPr>
          <w:color w:val="000000"/>
        </w:rPr>
      </w:pPr>
      <w:r>
        <w:rPr>
          <w:color w:val="000000"/>
        </w:rPr>
        <w:t>☐        </w:t>
      </w:r>
      <w:r>
        <w:rPr>
          <w:rFonts w:ascii="Times New Roman;serif" w:hAnsi="Times New Roman;serif"/>
          <w:b/>
          <w:color w:val="000000"/>
          <w:sz w:val="24"/>
        </w:rPr>
        <w:t xml:space="preserve">TRANSITION REPORT PURSUANT TO SECTION 15(d) OF THE SECURITIES EXCHANGE ACT OF 1934 </w:t>
      </w:r>
    </w:p>
    <w:p>
      <w:pPr>
        <w:pStyle w:val="TextBody"/>
        <w:bidi w:val="0"/>
        <w:spacing w:lineRule="auto" w:line="288" w:before="180" w:after="283"/>
        <w:jc w:val="center"/>
        <w:rPr>
          <w:rFonts w:ascii="Times New Roman;serif" w:hAnsi="Times New Roman;serif"/>
          <w:b/>
          <w:color w:val="010202"/>
          <w:sz w:val="20"/>
        </w:rPr>
      </w:pPr>
      <w:r>
        <w:rPr>
          <w:rFonts w:ascii="Times New Roman;serif" w:hAnsi="Times New Roman;serif"/>
          <w:b/>
          <w:color w:val="010202"/>
          <w:sz w:val="20"/>
        </w:rPr>
        <w:t>For the transition period from    to</w:t>
      </w:r>
    </w:p>
    <w:p>
      <w:pPr>
        <w:pStyle w:val="TextBody"/>
        <w:bidi w:val="0"/>
        <w:spacing w:lineRule="auto" w:line="312" w:before="180" w:after="283"/>
        <w:jc w:val="center"/>
        <w:rPr>
          <w:rFonts w:ascii="Times New Roman;serif" w:hAnsi="Times New Roman;serif"/>
          <w:b/>
          <w:color w:val="010202"/>
          <w:sz w:val="20"/>
        </w:rPr>
      </w:pPr>
      <w:r>
        <w:rPr>
          <w:rFonts w:ascii="Times New Roman;serif" w:hAnsi="Times New Roman;serif"/>
          <w:b/>
          <w:color w:val="010202"/>
          <w:sz w:val="20"/>
        </w:rPr>
        <w:t>Commission file number: 001-33072</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10202"/>
          <w:sz w:val="20"/>
        </w:rPr>
      </w:pPr>
      <w:r>
        <w:rPr>
          <w:rFonts w:ascii="Times New Roman;serif" w:hAnsi="Times New Roman;serif"/>
          <w:b w:val="false"/>
          <w:color w:val="010202"/>
          <w:sz w:val="20"/>
        </w:rPr>
        <w:t>A. Full title of plan and the address of the plan, if different from that of the issuer named below:</w: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10202"/>
          <w:sz w:val="20"/>
        </w:rPr>
      </w:pPr>
      <w:r>
        <w:rPr>
          <w:rFonts w:ascii="Times New Roman;serif" w:hAnsi="Times New Roman;serif"/>
          <w:b/>
          <w:color w:val="010202"/>
          <w:sz w:val="20"/>
        </w:rPr>
        <w:t>Leidos, Inc. Retirement Plan</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10202"/>
          <w:sz w:val="20"/>
        </w:rPr>
      </w:pPr>
      <w:r>
        <w:rPr>
          <w:rFonts w:ascii="Times New Roman;serif" w:hAnsi="Times New Roman;serif"/>
          <w:b w:val="false"/>
          <w:color w:val="010202"/>
          <w:sz w:val="20"/>
        </w:rPr>
        <w:t>B. Name of issuer of the securities held pursuant to the plan and the address of its principal executive office:</w: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10202"/>
          <w:sz w:val="20"/>
        </w:rPr>
      </w:pPr>
      <w:r>
        <w:rPr>
          <w:rFonts w:ascii="Times New Roman;serif" w:hAnsi="Times New Roman;serif"/>
          <w:b/>
          <w:color w:val="010202"/>
          <w:sz w:val="20"/>
        </w:rPr>
        <w:t>Leidos Holdings, Inc.</w:t>
      </w:r>
    </w:p>
    <w:p>
      <w:pPr>
        <w:pStyle w:val="TextBody"/>
        <w:bidi w:val="0"/>
        <w:spacing w:lineRule="auto" w:line="288" w:before="120" w:after="283"/>
        <w:jc w:val="center"/>
        <w:rPr>
          <w:rFonts w:ascii="Times New Roman;serif" w:hAnsi="Times New Roman;serif"/>
          <w:b/>
          <w:color w:val="010202"/>
          <w:sz w:val="20"/>
        </w:rPr>
      </w:pPr>
      <w:r>
        <w:rPr>
          <w:rFonts w:ascii="Times New Roman;serif" w:hAnsi="Times New Roman;serif"/>
          <w:b/>
          <w:color w:val="010202"/>
          <w:sz w:val="20"/>
        </w:rPr>
        <w:t>1750 Presidents Street</w:t>
      </w:r>
    </w:p>
    <w:p>
      <w:pPr>
        <w:pStyle w:val="TextBody"/>
        <w:bidi w:val="0"/>
        <w:spacing w:lineRule="auto" w:line="288" w:before="120" w:after="283"/>
        <w:jc w:val="center"/>
        <w:rPr>
          <w:rFonts w:ascii="Times New Roman;serif" w:hAnsi="Times New Roman;serif"/>
          <w:b/>
          <w:color w:val="010202"/>
          <w:sz w:val="20"/>
        </w:rPr>
      </w:pPr>
      <w:r>
        <w:rPr>
          <w:rFonts w:ascii="Times New Roman;serif" w:hAnsi="Times New Roman;serif"/>
          <w:b/>
          <w:color w:val="010202"/>
          <w:sz w:val="20"/>
        </w:rPr>
        <w:t>Reston, VA 20190</w:t>
      </w:r>
    </w:p>
    <w:p>
      <w:pPr>
        <w:pStyle w:val="TextBody"/>
        <w:bidi w:val="0"/>
        <w:spacing w:before="120" w:after="12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73" w:before="0" w:after="0"/>
        <w:jc w:val="left"/>
        <w:rPr>
          <w:rFonts w:ascii="Avenir LT Pro 35 Light;sans-serif" w:hAnsi="Avenir LT Pro 35 Light;sans-serif"/>
          <w:b w:val="false"/>
          <w:color w:val="000000"/>
          <w:sz w:val="32"/>
        </w:rPr>
      </w:pPr>
      <w:r>
        <w:rPr>
          <w:rFonts w:ascii="Avenir LT Pro 35 Light;sans-serif" w:hAnsi="Avenir LT Pro 35 Light;sans-serif"/>
          <w:b w:val="false"/>
          <w:color w:val="000000"/>
          <w:sz w:val="32"/>
        </w:rPr>
        <w:t>TABLE OF CONTENTS</w:t>
      </w:r>
    </w:p>
    <w:p>
      <w:pPr>
        <w:pStyle w:val="TextBody"/>
        <w:bidi w:val="0"/>
        <w:spacing w:before="10" w:after="283"/>
        <w:jc w:val="center"/>
        <w:rPr/>
      </w:pPr>
      <w:r>
        <w:rPr/>
      </w:r>
    </w:p>
    <w:tbl>
      <w:tblPr>
        <w:tblW w:w="10205" w:type="dxa"/>
        <w:jc w:val="left"/>
        <w:tblInd w:w="0" w:type="dxa"/>
        <w:tblLayout w:type="fixed"/>
        <w:tblCellMar>
          <w:top w:w="28" w:type="dxa"/>
          <w:left w:w="28" w:type="dxa"/>
          <w:bottom w:w="28" w:type="dxa"/>
          <w:right w:w="28" w:type="dxa"/>
        </w:tblCellMar>
      </w:tblPr>
      <w:tblGrid>
        <w:gridCol w:w="3536"/>
        <w:gridCol w:w="3037"/>
        <w:gridCol w:w="3044"/>
        <w:gridCol w:w="171"/>
        <w:gridCol w:w="171"/>
        <w:gridCol w:w="246"/>
      </w:tblGrid>
      <w:tr>
        <w:trPr/>
        <w:tc>
          <w:tcPr>
            <w:tcW w:w="3536"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9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312" w:before="120" w:after="120"/>
              <w:jc w:val="right"/>
              <w:rPr>
                <w:rFonts w:ascii="Avenir LT Pro 95 Black;sans-serif" w:hAnsi="Avenir LT Pro 95 Black;sans-serif"/>
                <w:b w:val="false"/>
                <w:color w:val="000000"/>
                <w:sz w:val="18"/>
              </w:rPr>
            </w:pPr>
            <w:r>
              <w:rPr>
                <w:rFonts w:ascii="Avenir LT Pro 95 Black;sans-serif" w:hAnsi="Avenir LT Pro 95 Black;sans-serif"/>
                <w:b w:val="false"/>
                <w:color w:val="000000"/>
                <w:sz w:val="18"/>
              </w:rPr>
              <w:t>Page</w:t>
            </w:r>
          </w:p>
        </w:tc>
      </w:tr>
      <w:tr>
        <w:trPr/>
        <w:tc>
          <w:tcPr>
            <w:tcW w:w="9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7" w:type="dxa"/>
            <w:gridSpan w:val="3"/>
            <w:tcBorders/>
            <w:tcMar>
              <w:top w:w="0" w:type="dxa"/>
              <w:left w:w="0" w:type="dxa"/>
              <w:bottom w:w="0" w:type="dxa"/>
              <w:right w:w="0" w:type="dxa"/>
            </w:tcMar>
            <w:vAlign w:val="center"/>
          </w:tcPr>
          <w:p>
            <w:pPr>
              <w:pStyle w:val="TableContents"/>
              <w:bidi w:val="0"/>
              <w:spacing w:lineRule="auto" w:line="312" w:before="120" w:after="120"/>
              <w:jc w:val="left"/>
              <w:rPr/>
            </w:pPr>
            <w:hyperlink w:anchor="i02f93602fcfc44999bc9a4938cb675cf_7">
              <w:r>
                <w:rPr>
                  <w:rStyle w:val="InternetLink"/>
                  <w:rFonts w:ascii="Avenir LT Pro 45 Book;sans-serif" w:hAnsi="Avenir LT Pro 45 Book;sans-serif"/>
                  <w:b w:val="false"/>
                  <w:color w:val="000000"/>
                  <w:sz w:val="18"/>
                </w:rPr>
                <w:t xml:space="preserve">REPORT OF INDEPENDENT REGISTERED PUBLIC ACCOUNTING FIRM </w:t>
              </w:r>
            </w:hyperlink>
          </w:p>
        </w:tc>
        <w:tc>
          <w:tcPr>
            <w:tcW w:w="588" w:type="dxa"/>
            <w:gridSpan w:val="3"/>
            <w:tcBorders/>
            <w:tcMar>
              <w:top w:w="0" w:type="dxa"/>
              <w:left w:w="0" w:type="dxa"/>
              <w:bottom w:w="0" w:type="dxa"/>
              <w:right w:w="0" w:type="dxa"/>
            </w:tcMar>
            <w:vAlign w:val="center"/>
          </w:tcPr>
          <w:p>
            <w:pPr>
              <w:pStyle w:val="TableContents"/>
              <w:bidi w:val="0"/>
              <w:spacing w:lineRule="auto" w:line="312" w:before="120" w:after="120"/>
              <w:jc w:val="right"/>
              <w:rPr/>
            </w:pPr>
            <w:hyperlink w:anchor="i02f93602fcfc44999bc9a4938cb675cf_7">
              <w:r>
                <w:rPr>
                  <w:rStyle w:val="InternetLink"/>
                  <w:rFonts w:ascii="Avenir LT Pro 45 Book;sans-serif" w:hAnsi="Avenir LT Pro 45 Book;sans-serif"/>
                  <w:b w:val="false"/>
                  <w:color w:val="000000"/>
                  <w:sz w:val="18"/>
                </w:rPr>
                <w:t>1</w:t>
              </w:r>
            </w:hyperlink>
          </w:p>
        </w:tc>
      </w:tr>
      <w:tr>
        <w:trPr/>
        <w:tc>
          <w:tcPr>
            <w:tcW w:w="9617"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FINANCIAL STATEMENTS:</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7" w:type="dxa"/>
            <w:gridSpan w:val="3"/>
            <w:tcBorders/>
            <w:tcMar>
              <w:top w:w="0" w:type="dxa"/>
              <w:left w:w="0" w:type="dxa"/>
              <w:bottom w:w="0" w:type="dxa"/>
              <w:right w:w="0" w:type="dxa"/>
            </w:tcMar>
            <w:vAlign w:val="center"/>
          </w:tcPr>
          <w:p>
            <w:pPr>
              <w:pStyle w:val="TableContents"/>
              <w:bidi w:val="0"/>
              <w:spacing w:lineRule="auto" w:line="312" w:before="120" w:after="120"/>
              <w:jc w:val="left"/>
              <w:rPr/>
            </w:pPr>
            <w:hyperlink w:anchor="i02f93602fcfc44999bc9a4938cb675cf_10">
              <w:r>
                <w:rPr>
                  <w:rStyle w:val="InternetLink"/>
                  <w:rFonts w:ascii="Avenir LT Pro 45 Book;sans-serif" w:hAnsi="Avenir LT Pro 45 Book;sans-serif"/>
                  <w:b w:val="false"/>
                  <w:color w:val="000080"/>
                  <w:sz w:val="18"/>
                </w:rPr>
                <w:t>Statements of Net Assets Available for Benefits as of December 31, 202</w:t>
              </w:r>
            </w:hyperlink>
            <w:hyperlink w:anchor="i02f93602fcfc44999bc9a4938cb675cf_10">
              <w:r>
                <w:rPr>
                  <w:rStyle w:val="InternetLink"/>
                  <w:rFonts w:ascii="Avenir LT Pro 45 Book;sans-serif" w:hAnsi="Avenir LT Pro 45 Book;sans-serif"/>
                  <w:b w:val="false"/>
                  <w:color w:val="000080"/>
                  <w:sz w:val="18"/>
                </w:rPr>
                <w:t>5</w:t>
              </w:r>
            </w:hyperlink>
            <w:hyperlink w:anchor="i02f93602fcfc44999bc9a4938cb675cf_10">
              <w:r>
                <w:rPr>
                  <w:rStyle w:val="InternetLink"/>
                  <w:rFonts w:ascii="Avenir LT Pro 45 Book;sans-serif" w:hAnsi="Avenir LT Pro 45 Book;sans-serif"/>
                  <w:b w:val="false"/>
                  <w:color w:val="000080"/>
                  <w:sz w:val="18"/>
                </w:rPr>
                <w:t xml:space="preserve"> and 202</w:t>
              </w:r>
            </w:hyperlink>
            <w:r>
              <w:rPr>
                <w:rFonts w:ascii="Avenir LT Pro 45 Book;sans-serif" w:hAnsi="Avenir LT Pro 45 Book;sans-serif"/>
                <w:b w:val="false"/>
                <w:color w:val="000000"/>
                <w:sz w:val="18"/>
              </w:rPr>
              <w:t>4</w:t>
            </w:r>
          </w:p>
        </w:tc>
        <w:tc>
          <w:tcPr>
            <w:tcW w:w="588" w:type="dxa"/>
            <w:gridSpan w:val="3"/>
            <w:tcBorders/>
            <w:tcMar>
              <w:top w:w="0" w:type="dxa"/>
              <w:left w:w="0" w:type="dxa"/>
              <w:bottom w:w="0" w:type="dxa"/>
              <w:right w:w="0" w:type="dxa"/>
            </w:tcMar>
            <w:vAlign w:val="center"/>
          </w:tcPr>
          <w:p>
            <w:pPr>
              <w:pStyle w:val="TableContents"/>
              <w:bidi w:val="0"/>
              <w:spacing w:lineRule="auto" w:line="312" w:before="120" w:after="120"/>
              <w:jc w:val="right"/>
              <w:rPr/>
            </w:pPr>
            <w:hyperlink w:anchor="i02f93602fcfc44999bc9a4938cb675cf_10">
              <w:r>
                <w:rPr>
                  <w:rStyle w:val="InternetLink"/>
                  <w:rFonts w:ascii="Avenir LT Pro 45 Book;sans-serif" w:hAnsi="Avenir LT Pro 45 Book;sans-serif"/>
                  <w:b w:val="false"/>
                  <w:color w:val="000000"/>
                  <w:sz w:val="18"/>
                </w:rPr>
                <w:t>2</w:t>
              </w:r>
            </w:hyperlink>
          </w:p>
        </w:tc>
      </w:tr>
      <w:tr>
        <w:trPr/>
        <w:tc>
          <w:tcPr>
            <w:tcW w:w="9617" w:type="dxa"/>
            <w:gridSpan w:val="3"/>
            <w:tcBorders/>
            <w:tcMar>
              <w:top w:w="0" w:type="dxa"/>
              <w:left w:w="0" w:type="dxa"/>
              <w:bottom w:w="0" w:type="dxa"/>
              <w:right w:w="0" w:type="dxa"/>
            </w:tcMar>
            <w:vAlign w:val="center"/>
          </w:tcPr>
          <w:p>
            <w:pPr>
              <w:pStyle w:val="TableContents"/>
              <w:bidi w:val="0"/>
              <w:spacing w:lineRule="auto" w:line="312" w:before="120" w:after="120"/>
              <w:jc w:val="left"/>
              <w:rPr/>
            </w:pPr>
            <w:hyperlink w:anchor="i02f93602fcfc44999bc9a4938cb675cf_13">
              <w:r>
                <w:rPr>
                  <w:rStyle w:val="InternetLink"/>
                  <w:rFonts w:ascii="Avenir LT Pro 45 Book;sans-serif" w:hAnsi="Avenir LT Pro 45 Book;sans-serif"/>
                  <w:b w:val="false"/>
                  <w:color w:val="000080"/>
                  <w:sz w:val="18"/>
                </w:rPr>
                <w:t>Statement of Changes in Net Assets Available for Benefits for the year ended December 31, 202</w:t>
              </w:r>
            </w:hyperlink>
            <w:r>
              <w:rPr>
                <w:rFonts w:ascii="Avenir LT Pro 45 Book;sans-serif" w:hAnsi="Avenir LT Pro 45 Book;sans-serif"/>
                <w:b w:val="false"/>
                <w:color w:val="000000"/>
                <w:sz w:val="18"/>
              </w:rPr>
              <w:t>5</w:t>
            </w:r>
          </w:p>
        </w:tc>
        <w:tc>
          <w:tcPr>
            <w:tcW w:w="588" w:type="dxa"/>
            <w:gridSpan w:val="3"/>
            <w:tcBorders/>
            <w:tcMar>
              <w:top w:w="0" w:type="dxa"/>
              <w:left w:w="0" w:type="dxa"/>
              <w:bottom w:w="0" w:type="dxa"/>
              <w:right w:w="0" w:type="dxa"/>
            </w:tcMar>
            <w:vAlign w:val="center"/>
          </w:tcPr>
          <w:p>
            <w:pPr>
              <w:pStyle w:val="TableContents"/>
              <w:bidi w:val="0"/>
              <w:spacing w:lineRule="auto" w:line="312" w:before="120" w:after="120"/>
              <w:jc w:val="right"/>
              <w:rPr/>
            </w:pPr>
            <w:hyperlink w:anchor="i02f93602fcfc44999bc9a4938cb675cf_13">
              <w:r>
                <w:rPr>
                  <w:rStyle w:val="InternetLink"/>
                  <w:rFonts w:ascii="Avenir LT Pro 45 Book;sans-serif" w:hAnsi="Avenir LT Pro 45 Book;sans-serif"/>
                  <w:b w:val="false"/>
                  <w:color w:val="000000"/>
                  <w:sz w:val="18"/>
                </w:rPr>
                <w:t>3</w:t>
              </w:r>
            </w:hyperlink>
          </w:p>
        </w:tc>
      </w:tr>
      <w:tr>
        <w:trPr/>
        <w:tc>
          <w:tcPr>
            <w:tcW w:w="9617" w:type="dxa"/>
            <w:gridSpan w:val="3"/>
            <w:tcBorders/>
            <w:tcMar>
              <w:top w:w="0" w:type="dxa"/>
              <w:left w:w="0" w:type="dxa"/>
              <w:bottom w:w="0" w:type="dxa"/>
              <w:right w:w="0" w:type="dxa"/>
            </w:tcMar>
            <w:vAlign w:val="center"/>
          </w:tcPr>
          <w:p>
            <w:pPr>
              <w:pStyle w:val="TableContents"/>
              <w:bidi w:val="0"/>
              <w:spacing w:lineRule="auto" w:line="312" w:before="120" w:after="120"/>
              <w:jc w:val="left"/>
              <w:rPr/>
            </w:pPr>
            <w:hyperlink w:anchor="i02f93602fcfc44999bc9a4938cb675cf_16">
              <w:r>
                <w:rPr>
                  <w:rStyle w:val="InternetLink"/>
                  <w:rFonts w:ascii="Avenir LT Pro 45 Book;sans-serif" w:hAnsi="Avenir LT Pro 45 Book;sans-serif"/>
                  <w:b w:val="false"/>
                  <w:color w:val="000000"/>
                  <w:sz w:val="18"/>
                </w:rPr>
                <w:t>Notes to Financial Statements</w:t>
              </w:r>
            </w:hyperlink>
          </w:p>
        </w:tc>
        <w:tc>
          <w:tcPr>
            <w:tcW w:w="588" w:type="dxa"/>
            <w:gridSpan w:val="3"/>
            <w:tcBorders/>
            <w:tcMar>
              <w:top w:w="0" w:type="dxa"/>
              <w:left w:w="0" w:type="dxa"/>
              <w:bottom w:w="0" w:type="dxa"/>
              <w:right w:w="0" w:type="dxa"/>
            </w:tcMar>
            <w:vAlign w:val="center"/>
          </w:tcPr>
          <w:p>
            <w:pPr>
              <w:pStyle w:val="TableContents"/>
              <w:bidi w:val="0"/>
              <w:spacing w:lineRule="auto" w:line="312" w:before="120" w:after="120"/>
              <w:jc w:val="right"/>
              <w:rPr/>
            </w:pPr>
            <w:hyperlink w:anchor="i02f93602fcfc44999bc9a4938cb675cf_16">
              <w:r>
                <w:rPr>
                  <w:rStyle w:val="InternetLink"/>
                  <w:rFonts w:ascii="Avenir LT Pro 45 Book;sans-serif" w:hAnsi="Avenir LT Pro 45 Book;sans-serif"/>
                  <w:b w:val="false"/>
                  <w:color w:val="000000"/>
                  <w:sz w:val="18"/>
                </w:rPr>
                <w:t>4</w:t>
              </w:r>
            </w:hyperlink>
          </w:p>
        </w:tc>
      </w:tr>
      <w:tr>
        <w:trPr/>
        <w:tc>
          <w:tcPr>
            <w:tcW w:w="9617"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SUPPLEMENTAL SCHEDULES:</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7" w:type="dxa"/>
            <w:gridSpan w:val="3"/>
            <w:tcBorders/>
            <w:tcMar>
              <w:top w:w="0" w:type="dxa"/>
              <w:left w:w="0" w:type="dxa"/>
              <w:bottom w:w="0" w:type="dxa"/>
              <w:right w:w="0" w:type="dxa"/>
            </w:tcMar>
            <w:vAlign w:val="center"/>
          </w:tcPr>
          <w:p>
            <w:pPr>
              <w:pStyle w:val="TableContents"/>
              <w:bidi w:val="0"/>
              <w:spacing w:lineRule="auto" w:line="312" w:before="120" w:after="120"/>
              <w:ind w:left="0" w:right="0" w:hanging="180"/>
              <w:jc w:val="left"/>
              <w:rPr/>
            </w:pPr>
            <w:hyperlink w:anchor="i02f93602fcfc44999bc9a4938cb675cf_19">
              <w:r>
                <w:rPr>
                  <w:rStyle w:val="InternetLink"/>
                  <w:rFonts w:ascii="Avenir LT Pro 45 Book;sans-serif" w:hAnsi="Avenir LT Pro 45 Book;sans-serif"/>
                  <w:b w:val="false"/>
                  <w:color w:val="000080"/>
                  <w:sz w:val="18"/>
                </w:rPr>
                <w:t>Form 5500, Schedule H, Part IV, Line 4a - Schedule of Delinquent Participant Contributions for the Year Ended December 31, 202</w:t>
              </w:r>
            </w:hyperlink>
            <w:r>
              <w:rPr>
                <w:rFonts w:ascii="Avenir LT Pro 45 Book;sans-serif" w:hAnsi="Avenir LT Pro 45 Book;sans-serif"/>
                <w:b w:val="false"/>
                <w:color w:val="000000"/>
                <w:sz w:val="18"/>
              </w:rPr>
              <w:t>5</w:t>
            </w:r>
          </w:p>
        </w:tc>
        <w:tc>
          <w:tcPr>
            <w:tcW w:w="588" w:type="dxa"/>
            <w:gridSpan w:val="3"/>
            <w:tcBorders/>
            <w:tcMar>
              <w:top w:w="0" w:type="dxa"/>
              <w:left w:w="0" w:type="dxa"/>
              <w:bottom w:w="0" w:type="dxa"/>
              <w:right w:w="0" w:type="dxa"/>
            </w:tcMar>
            <w:vAlign w:val="center"/>
          </w:tcPr>
          <w:p>
            <w:pPr>
              <w:pStyle w:val="TableContents"/>
              <w:bidi w:val="0"/>
              <w:spacing w:lineRule="auto" w:line="312" w:before="120" w:after="120"/>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w:t>
            </w:r>
          </w:p>
        </w:tc>
      </w:tr>
      <w:tr>
        <w:trPr/>
        <w:tc>
          <w:tcPr>
            <w:tcW w:w="9617" w:type="dxa"/>
            <w:gridSpan w:val="3"/>
            <w:tcBorders/>
            <w:tcMar>
              <w:top w:w="0" w:type="dxa"/>
              <w:left w:w="0" w:type="dxa"/>
              <w:bottom w:w="0" w:type="dxa"/>
              <w:right w:w="0" w:type="dxa"/>
            </w:tcMar>
            <w:vAlign w:val="center"/>
          </w:tcPr>
          <w:p>
            <w:pPr>
              <w:pStyle w:val="TableContents"/>
              <w:bidi w:val="0"/>
              <w:spacing w:lineRule="auto" w:line="312" w:before="120" w:after="120"/>
              <w:ind w:left="0" w:right="0" w:hanging="180"/>
              <w:jc w:val="left"/>
              <w:rPr/>
            </w:pPr>
            <w:hyperlink w:anchor="i02f93602fcfc44999bc9a4938cb675cf_22">
              <w:r>
                <w:rPr>
                  <w:rStyle w:val="InternetLink"/>
                  <w:rFonts w:ascii="Avenir LT Pro 45 Book;sans-serif" w:hAnsi="Avenir LT Pro 45 Book;sans-serif"/>
                  <w:b w:val="false"/>
                  <w:color w:val="000080"/>
                  <w:sz w:val="18"/>
                </w:rPr>
                <w:t>Form 5500, Schedule H, Part IV, Line 4i - Schedule of Assets (Held at End of Year) as of December 31, 202</w:t>
              </w:r>
            </w:hyperlink>
            <w:hyperlink w:anchor="i02f93602fcfc44999bc9a4938cb675cf_22">
              <w:r>
                <w:rPr>
                  <w:rStyle w:val="InternetLink"/>
                  <w:rFonts w:ascii="Avenir LT Pro 45 Book;sans-serif" w:hAnsi="Avenir LT Pro 45 Book;sans-serif"/>
                  <w:b w:val="false"/>
                  <w:color w:val="000080"/>
                  <w:sz w:val="18"/>
                </w:rPr>
                <w:t>5</w:t>
              </w:r>
            </w:hyperlink>
          </w:p>
        </w:tc>
        <w:tc>
          <w:tcPr>
            <w:tcW w:w="588" w:type="dxa"/>
            <w:gridSpan w:val="3"/>
            <w:tcBorders/>
            <w:tcMar>
              <w:top w:w="0" w:type="dxa"/>
              <w:left w:w="0" w:type="dxa"/>
              <w:bottom w:w="0" w:type="dxa"/>
              <w:right w:w="0" w:type="dxa"/>
            </w:tcMar>
            <w:vAlign w:val="center"/>
          </w:tcPr>
          <w:p>
            <w:pPr>
              <w:pStyle w:val="TableContents"/>
              <w:bidi w:val="0"/>
              <w:spacing w:lineRule="auto" w:line="312" w:before="120" w:after="120"/>
              <w:jc w:val="right"/>
              <w:rPr/>
            </w:pPr>
            <w:hyperlink w:anchor="i02f93602fcfc44999bc9a4938cb675cf_22">
              <w:r>
                <w:rPr>
                  <w:rStyle w:val="InternetLink"/>
                  <w:rFonts w:ascii="Avenir LT Pro 45 Book;sans-serif" w:hAnsi="Avenir LT Pro 45 Book;sans-serif"/>
                  <w:b w:val="false"/>
                  <w:color w:val="000000"/>
                  <w:sz w:val="18"/>
                </w:rPr>
                <w:t>12</w:t>
              </w:r>
            </w:hyperlink>
          </w:p>
        </w:tc>
      </w:tr>
      <w:tr>
        <w:trPr/>
        <w:tc>
          <w:tcPr>
            <w:tcW w:w="9617" w:type="dxa"/>
            <w:gridSpan w:val="3"/>
            <w:tcBorders/>
            <w:tcMar>
              <w:top w:w="0" w:type="dxa"/>
              <w:left w:w="0" w:type="dxa"/>
              <w:bottom w:w="0" w:type="dxa"/>
              <w:right w:w="0" w:type="dxa"/>
            </w:tcMar>
            <w:vAlign w:val="center"/>
          </w:tcPr>
          <w:p>
            <w:pPr>
              <w:pStyle w:val="TableContents"/>
              <w:bidi w:val="0"/>
              <w:spacing w:lineRule="auto" w:line="312" w:before="120" w:after="120"/>
              <w:jc w:val="left"/>
              <w:rPr/>
            </w:pPr>
            <w:hyperlink w:anchor="i02f93602fcfc44999bc9a4938cb675cf_25">
              <w:r>
                <w:rPr>
                  <w:rStyle w:val="InternetLink"/>
                  <w:rFonts w:ascii="Avenir LT Pro 45 Book;sans-serif" w:hAnsi="Avenir LT Pro 45 Book;sans-serif"/>
                  <w:b w:val="false"/>
                  <w:color w:val="000000"/>
                  <w:sz w:val="18"/>
                </w:rPr>
                <w:t>SIGNATURE</w:t>
              </w:r>
            </w:hyperlink>
          </w:p>
        </w:tc>
        <w:tc>
          <w:tcPr>
            <w:tcW w:w="588" w:type="dxa"/>
            <w:gridSpan w:val="3"/>
            <w:tcBorders/>
            <w:tcMar>
              <w:top w:w="0" w:type="dxa"/>
              <w:left w:w="0" w:type="dxa"/>
              <w:bottom w:w="0" w:type="dxa"/>
              <w:right w:w="0" w:type="dxa"/>
            </w:tcMar>
            <w:vAlign w:val="center"/>
          </w:tcPr>
          <w:p>
            <w:pPr>
              <w:pStyle w:val="TableContents"/>
              <w:bidi w:val="0"/>
              <w:spacing w:lineRule="auto" w:line="312" w:before="120" w:after="120"/>
              <w:jc w:val="right"/>
              <w:rPr/>
            </w:pPr>
            <w:hyperlink w:anchor="i02f93602fcfc44999bc9a4938cb675cf_25">
              <w:r>
                <w:rPr>
                  <w:rStyle w:val="InternetLink"/>
                  <w:rFonts w:ascii="Avenir LT Pro 45 Book;sans-serif" w:hAnsi="Avenir LT Pro 45 Book;sans-serif"/>
                  <w:b w:val="false"/>
                  <w:color w:val="000000"/>
                  <w:sz w:val="18"/>
                </w:rPr>
                <w:t>13</w:t>
              </w:r>
            </w:hyperlink>
          </w:p>
        </w:tc>
      </w:tr>
      <w:tr>
        <w:trPr/>
        <w:tc>
          <w:tcPr>
            <w:tcW w:w="9617"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EXHIBIT INDEX:</w:t>
            </w:r>
          </w:p>
        </w:tc>
        <w:tc>
          <w:tcPr>
            <w:tcW w:w="588" w:type="dxa"/>
            <w:gridSpan w:val="3"/>
            <w:tcBorders/>
            <w:tcMar>
              <w:top w:w="0" w:type="dxa"/>
              <w:left w:w="0" w:type="dxa"/>
              <w:bottom w:w="0" w:type="dxa"/>
              <w:right w:w="0" w:type="dxa"/>
            </w:tcMar>
            <w:vAlign w:val="center"/>
          </w:tcPr>
          <w:p>
            <w:pPr>
              <w:pStyle w:val="TableContents"/>
              <w:bidi w:val="0"/>
              <w:spacing w:lineRule="auto" w:line="312" w:before="120" w:after="120"/>
              <w:jc w:val="right"/>
              <w:rPr/>
            </w:pPr>
            <w:hyperlink w:anchor="i02f93602fcfc44999bc9a4938cb675cf_28">
              <w:r>
                <w:rPr>
                  <w:rStyle w:val="InternetLink"/>
                  <w:rFonts w:ascii="Avenir LT Pro 45 Book;sans-serif" w:hAnsi="Avenir LT Pro 45 Book;sans-serif"/>
                  <w:b w:val="false"/>
                  <w:color w:val="000000"/>
                  <w:sz w:val="18"/>
                </w:rPr>
                <w:t>14</w:t>
              </w:r>
            </w:hyperlink>
          </w:p>
        </w:tc>
      </w:tr>
      <w:tr>
        <w:trPr/>
        <w:tc>
          <w:tcPr>
            <w:tcW w:w="9617"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color w:val="000000"/>
              </w:rPr>
              <w:t> </w:t>
            </w:r>
            <w:hyperlink w:anchor="i02f93602fcfc44999bc9a4938cb675cf_31">
              <w:r>
                <w:rPr>
                  <w:rStyle w:val="InternetLink"/>
                  <w:rFonts w:ascii="Avenir LT Pro 45 Book;sans-serif" w:hAnsi="Avenir LT Pro 45 Book;sans-serif"/>
                  <w:b w:val="false"/>
                  <w:color w:val="000080"/>
                  <w:sz w:val="18"/>
                </w:rPr>
                <w:t>Exhibit 23.1 - Consent of Independent Registered Public Accounting Firm</w:t>
              </w:r>
            </w:hyperlink>
            <w:r>
              <w:rPr>
                <w:rFonts w:ascii="Avenir LT Pro 45 Book;sans-serif" w:hAnsi="Avenir LT Pro 45 Book;sans-serif"/>
                <w:b w:val="false"/>
                <w:color w:val="000000"/>
                <w:sz w:val="18"/>
              </w:rPr>
              <w:t xml:space="preserve"> </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7"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NOTE: All other schedules required by Section 29 CFR 2520.103-10 of the Department of Labor’s Rules and Regulations for Reporting and Disclosure under the Employee Retirement Income Security Act of 1974 have been omitted because they are not applicable.</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240" w:after="120"/>
        <w:jc w:val="left"/>
        <w:rPr/>
      </w:pPr>
      <w:r>
        <w:rPr>
          <w:rFonts w:ascii="Arial;sans-serif" w:hAnsi="Arial;sans-serif"/>
          <w:b/>
          <w:color w:val="000000"/>
          <w:sz w:val="18"/>
        </w:rPr>
        <w:t>REPORT OF INDEPENDENT REGISTERED PUBLIC ACCOUNTING FIRM</w:t>
      </w:r>
      <w:r>
        <w:rPr>
          <w:color w:val="000000"/>
        </w:rPr>
        <w:t xml:space="preserve"> </w:t>
      </w:r>
    </w:p>
    <w:p>
      <w:pPr>
        <w:pStyle w:val="TextBody"/>
        <w:bidi w:val="0"/>
        <w:spacing w:before="240" w:after="12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Plan Administrator and Plan Participants </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Leidos, Inc. Retirement Plan</w:t>
      </w:r>
    </w:p>
    <w:p>
      <w:pPr>
        <w:pStyle w:val="TextBody"/>
        <w:bidi w:val="0"/>
        <w:spacing w:before="0" w:after="0"/>
        <w:jc w:val="left"/>
        <w:rPr/>
      </w:pPr>
      <w:r>
        <w:rPr/>
      </w:r>
    </w:p>
    <w:p>
      <w:pPr>
        <w:pStyle w:val="TextBody"/>
        <w:bidi w:val="0"/>
        <w:spacing w:lineRule="auto" w:line="374" w:before="0" w:after="0"/>
        <w:jc w:val="left"/>
        <w:rPr>
          <w:rFonts w:ascii="Arial;sans-serif" w:hAnsi="Arial;sans-serif"/>
          <w:b/>
          <w:color w:val="000000"/>
          <w:sz w:val="18"/>
        </w:rPr>
      </w:pPr>
      <w:r>
        <w:rPr>
          <w:rFonts w:ascii="Arial;sans-serif" w:hAnsi="Arial;sans-serif"/>
          <w:b/>
          <w:color w:val="000000"/>
          <w:sz w:val="18"/>
        </w:rPr>
        <w:t xml:space="preserve">Opinion on the financial statements </w:t>
      </w:r>
    </w:p>
    <w:p>
      <w:pPr>
        <w:pStyle w:val="TextBody"/>
        <w:bidi w:val="0"/>
        <w:spacing w:lineRule="auto" w:line="312" w:before="0" w:after="120"/>
        <w:jc w:val="left"/>
        <w:rPr/>
      </w:pPr>
      <w:r>
        <w:rPr>
          <w:rFonts w:ascii="Arial;sans-serif" w:hAnsi="Arial;sans-serif"/>
          <w:b w:val="false"/>
          <w:color w:val="000000"/>
          <w:sz w:val="18"/>
        </w:rPr>
        <w:t>We have audited the accompanying statements of net assets available for benefits of Leidos, Inc. Retirement Plan (the “Plan”) as of December 31, 2025 and 2024, the related statement of changes in net assets available for benefits for the year ended December 31, 2025, and the related notes</w:t>
      </w:r>
      <w:r>
        <w:rPr>
          <w:color w:val="0000FF"/>
        </w:rPr>
        <w:t xml:space="preserve"> </w:t>
      </w:r>
      <w:r>
        <w:rPr>
          <w:rFonts w:ascii="Arial;sans-serif" w:hAnsi="Arial;sans-serif"/>
          <w:b w:val="false"/>
          <w:color w:val="000000"/>
          <w:sz w:val="18"/>
        </w:rPr>
        <w:t>(collectively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pStyle w:val="TextBody"/>
        <w:bidi w:val="0"/>
        <w:spacing w:before="0" w:after="0"/>
        <w:jc w:val="left"/>
        <w:rPr/>
      </w:pPr>
      <w:r>
        <w:rPr/>
      </w:r>
    </w:p>
    <w:p>
      <w:pPr>
        <w:pStyle w:val="TextBody"/>
        <w:bidi w:val="0"/>
        <w:spacing w:lineRule="auto" w:line="374" w:before="0" w:after="0"/>
        <w:jc w:val="left"/>
        <w:rPr/>
      </w:pPr>
      <w:r>
        <w:rPr>
          <w:rFonts w:ascii="Arial;sans-serif" w:hAnsi="Arial;sans-serif"/>
          <w:b/>
          <w:color w:val="000000"/>
          <w:sz w:val="18"/>
        </w:rPr>
        <w:t>Basis</w:t>
      </w:r>
      <w:r>
        <w:rPr>
          <w:color w:val="000000"/>
        </w:rPr>
        <w:t xml:space="preserve"> </w:t>
      </w:r>
      <w:r>
        <w:rPr>
          <w:rFonts w:ascii="Arial;sans-serif" w:hAnsi="Arial;sans-serif"/>
          <w:b/>
          <w:color w:val="000000"/>
          <w:sz w:val="18"/>
        </w:rPr>
        <w:t>for</w:t>
      </w:r>
      <w:r>
        <w:rPr>
          <w:color w:val="000000"/>
        </w:rPr>
        <w:t xml:space="preserve"> </w:t>
      </w:r>
      <w:r>
        <w:rPr>
          <w:rFonts w:ascii="Arial;sans-serif" w:hAnsi="Arial;sans-serif"/>
          <w:b/>
          <w:color w:val="000000"/>
          <w:sz w:val="18"/>
        </w:rPr>
        <w:t>opinion</w:t>
      </w:r>
      <w:r>
        <w:rPr>
          <w:color w:val="000000"/>
        </w:rPr>
        <w:t xml:space="preserve"> </w:t>
      </w:r>
    </w:p>
    <w:p>
      <w:pPr>
        <w:pStyle w:val="TextBody"/>
        <w:bidi w:val="0"/>
        <w:spacing w:lineRule="auto" w:line="312" w:before="0" w:after="120"/>
        <w:jc w:val="left"/>
        <w:rPr>
          <w:rFonts w:ascii="Arial;sans-serif" w:hAnsi="Arial;sans-serif"/>
          <w:b w:val="false"/>
          <w:color w:val="000000"/>
          <w:sz w:val="18"/>
        </w:rPr>
      </w:pPr>
      <w:r>
        <w:rPr>
          <w:rFonts w:ascii="Arial;sans-serif" w:hAnsi="Arial;sans-serif"/>
          <w:b w:val="false"/>
          <w:color w:val="000000"/>
          <w:sz w:val="18"/>
        </w:rPr>
        <w:t xml:space="preserve">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 </w:t>
      </w:r>
    </w:p>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 </w:t>
      </w:r>
    </w:p>
    <w:p>
      <w:pPr>
        <w:pStyle w:val="TextBody"/>
        <w:bidi w:val="0"/>
        <w:spacing w:lineRule="auto" w:line="312" w:before="120" w:after="120"/>
        <w:jc w:val="left"/>
        <w:rPr>
          <w:rFonts w:ascii="Arial;sans-serif" w:hAnsi="Arial;sans-serif"/>
          <w:b w:val="false"/>
          <w:color w:val="000000"/>
          <w:sz w:val="18"/>
        </w:rPr>
      </w:pPr>
      <w:r>
        <w:rPr>
          <w:rFonts w:ascii="Arial;sans-serif" w:hAnsi="Arial;sans-serif"/>
          <w:b w:val="false"/>
          <w:color w:val="000000"/>
          <w:sz w:val="18"/>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0"/>
        <w:jc w:val="left"/>
        <w:rPr/>
      </w:pPr>
      <w:r>
        <w:rPr/>
      </w:r>
    </w:p>
    <w:p>
      <w:pPr>
        <w:pStyle w:val="TextBody"/>
        <w:bidi w:val="0"/>
        <w:spacing w:lineRule="auto" w:line="374" w:before="0" w:after="0"/>
        <w:jc w:val="left"/>
        <w:rPr>
          <w:rFonts w:ascii="Arial;sans-serif" w:hAnsi="Arial;sans-serif"/>
          <w:b/>
          <w:color w:val="000000"/>
          <w:sz w:val="18"/>
        </w:rPr>
      </w:pPr>
      <w:r>
        <w:rPr>
          <w:rFonts w:ascii="Arial;sans-serif" w:hAnsi="Arial;sans-serif"/>
          <w:b/>
          <w:color w:val="000000"/>
          <w:sz w:val="18"/>
        </w:rPr>
        <w:t xml:space="preserve">Supplemental information </w:t>
      </w:r>
    </w:p>
    <w:p>
      <w:pPr>
        <w:pStyle w:val="TextBody"/>
        <w:bidi w:val="0"/>
        <w:spacing w:lineRule="auto" w:line="312" w:before="0" w:after="120"/>
        <w:jc w:val="left"/>
        <w:rPr>
          <w:rFonts w:ascii="Arial;sans-serif" w:hAnsi="Arial;sans-serif"/>
          <w:b w:val="false"/>
          <w:color w:val="000000"/>
          <w:sz w:val="18"/>
        </w:rPr>
      </w:pPr>
      <w:r>
        <w:rPr>
          <w:rFonts w:ascii="Arial;sans-serif" w:hAnsi="Arial;sans-serif"/>
          <w:b w:val="false"/>
          <w:color w:val="000000"/>
          <w:sz w:val="18"/>
        </w:rPr>
        <w:t>The supplemental schedule of delinquent participant contributions for the year ended December 31, 2025 and schedule of assets (held at end of year) as of December 31, 2025 (“supplemental information”) have been subjected to audit procedures performed in conjunction with the audits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 xml:space="preserve">/s/ GRANT THORNTON LLP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74" w:before="0" w:after="0"/>
        <w:jc w:val="left"/>
        <w:rPr>
          <w:rFonts w:ascii="Arial;sans-serif" w:hAnsi="Arial;sans-serif"/>
          <w:b w:val="false"/>
          <w:color w:val="000000"/>
          <w:sz w:val="18"/>
        </w:rPr>
      </w:pPr>
      <w:r>
        <w:rPr>
          <w:rFonts w:ascii="Arial;sans-serif" w:hAnsi="Arial;sans-serif"/>
          <w:b w:val="false"/>
          <w:color w:val="000000"/>
          <w:sz w:val="18"/>
        </w:rPr>
        <w:t>We have served as the Plan’s auditor since 2024.</w:t>
      </w:r>
    </w:p>
    <w:p>
      <w:pPr>
        <w:pStyle w:val="TextBody"/>
        <w:bidi w:val="0"/>
        <w:spacing w:before="0" w:after="0"/>
        <w:jc w:val="left"/>
        <w:rPr/>
      </w:pPr>
      <w:r>
        <w:rPr/>
      </w:r>
    </w:p>
    <w:p>
      <w:pPr>
        <w:pStyle w:val="TextBody"/>
        <w:bidi w:val="0"/>
        <w:spacing w:lineRule="auto" w:line="312" w:before="120" w:after="283"/>
        <w:jc w:val="left"/>
        <w:rPr>
          <w:rFonts w:ascii="Arial;sans-serif" w:hAnsi="Arial;sans-serif"/>
          <w:b w:val="false"/>
          <w:color w:val="000000"/>
          <w:sz w:val="18"/>
        </w:rPr>
      </w:pPr>
      <w:r>
        <w:rPr>
          <w:rFonts w:ascii="Arial;sans-serif" w:hAnsi="Arial;sans-serif"/>
          <w:b w:val="false"/>
          <w:color w:val="000000"/>
          <w:sz w:val="18"/>
        </w:rPr>
        <w:t xml:space="preserve">Atlanta, Georgia </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June 18, 2026</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40410"/>
                <wp:effectExtent l="0" t="0" r="0" b="0"/>
                <wp:wrapNone/>
                <wp:docPr id="3" name="Frame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471" w:type="dxa"/>
                              <w:jc w:val="center"/>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471" w:type="dxa"/>
                        <w:jc w:val="center"/>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INC. RETIREMENT PLAN</w:t>
      </w:r>
    </w:p>
    <w:p>
      <w:pPr>
        <w:pStyle w:val="TextBody"/>
        <w:bidi w:val="0"/>
        <w:spacing w:lineRule="auto" w:line="288" w:before="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STATEMENTS OF NET ASSETS AVAILABLE FOR BENEFITS</w:t>
      </w:r>
    </w:p>
    <w:p>
      <w:pPr>
        <w:pStyle w:val="TextBody"/>
        <w:bidi w:val="0"/>
        <w:spacing w:before="200" w:after="120"/>
        <w:jc w:val="left"/>
        <w:rPr/>
      </w:pPr>
      <w:r>
        <w:rPr/>
      </w:r>
    </w:p>
    <w:p>
      <w:pPr>
        <w:pStyle w:val="TextBody"/>
        <w:bidi w:val="0"/>
        <w:spacing w:before="120" w:after="283"/>
        <w:jc w:val="center"/>
        <w:rPr/>
      </w:pPr>
      <w:r>
        <w:rPr/>
      </w:r>
    </w:p>
    <w:tbl>
      <w:tblPr>
        <w:tblW w:w="9627" w:type="dxa"/>
        <w:jc w:val="center"/>
        <w:tblInd w:w="0" w:type="dxa"/>
        <w:tblLayout w:type="fixed"/>
        <w:tblCellMar>
          <w:top w:w="28" w:type="dxa"/>
          <w:left w:w="28" w:type="dxa"/>
          <w:bottom w:w="28" w:type="dxa"/>
          <w:right w:w="28" w:type="dxa"/>
        </w:tblCellMar>
      </w:tblPr>
      <w:tblGrid>
        <w:gridCol w:w="1906"/>
        <w:gridCol w:w="1676"/>
        <w:gridCol w:w="1683"/>
        <w:gridCol w:w="288"/>
        <w:gridCol w:w="1628"/>
        <w:gridCol w:w="139"/>
        <w:gridCol w:w="109"/>
        <w:gridCol w:w="109"/>
        <w:gridCol w:w="109"/>
        <w:gridCol w:w="275"/>
        <w:gridCol w:w="1518"/>
        <w:gridCol w:w="187"/>
      </w:tblGrid>
      <w:tr>
        <w:trPr/>
        <w:tc>
          <w:tcPr>
            <w:tcW w:w="190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thousands)</w:t>
            </w:r>
          </w:p>
        </w:tc>
        <w:tc>
          <w:tcPr>
            <w:tcW w:w="2055" w:type="dxa"/>
            <w:gridSpan w:val="3"/>
            <w:tcBorders/>
            <w:shd w:fill="F4E8F3"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December 31, 2024</w:t>
            </w:r>
          </w:p>
        </w:tc>
      </w:tr>
      <w:tr>
        <w:trPr/>
        <w:tc>
          <w:tcPr>
            <w:tcW w:w="5265"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ASSETS:</w:t>
            </w:r>
          </w:p>
        </w:tc>
        <w:tc>
          <w:tcPr>
            <w:tcW w:w="2055" w:type="dxa"/>
            <w:gridSpan w:val="3"/>
            <w:tcBorders>
              <w:top w:val="single" w:sz="4"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Investments:</w:t>
            </w:r>
          </w:p>
        </w:tc>
        <w:tc>
          <w:tcPr>
            <w:tcW w:w="2055"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Investment in Leidos, Inc. Master Trust at fair value</w:t>
            </w:r>
          </w:p>
        </w:tc>
        <w:tc>
          <w:tcPr>
            <w:tcW w:w="288" w:type="dxa"/>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628" w:type="dxa"/>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11,267,905</w:t>
            </w:r>
            <w:r>
              <w:rPr>
                <w:color w:val="000000"/>
              </w:rPr>
              <w:t> </w:t>
            </w:r>
          </w:p>
        </w:tc>
        <w:tc>
          <w:tcPr>
            <w:tcW w:w="13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518"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11,113,429 </w:t>
            </w:r>
          </w:p>
        </w:tc>
        <w:tc>
          <w:tcPr>
            <w:tcW w:w="18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Investment in Leidos, Inc. Master Trust at contract value</w:t>
            </w:r>
          </w:p>
        </w:tc>
        <w:tc>
          <w:tcPr>
            <w:tcW w:w="1916"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517,826</w:t>
            </w:r>
            <w:r>
              <w:rPr>
                <w:color w:val="000000"/>
              </w:rPr>
              <w:t> </w:t>
            </w:r>
          </w:p>
        </w:tc>
        <w:tc>
          <w:tcPr>
            <w:tcW w:w="13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600,404 </w:t>
            </w:r>
          </w:p>
        </w:tc>
        <w:tc>
          <w:tcPr>
            <w:tcW w:w="18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investments</w:t>
            </w:r>
          </w:p>
        </w:tc>
        <w:tc>
          <w:tcPr>
            <w:tcW w:w="288" w:type="dxa"/>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628" w:type="dxa"/>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11,785,731</w:t>
            </w:r>
            <w:r>
              <w:rPr>
                <w:color w:val="000000"/>
              </w:rPr>
              <w:t> </w:t>
            </w:r>
          </w:p>
        </w:tc>
        <w:tc>
          <w:tcPr>
            <w:tcW w:w="139" w:type="dxa"/>
            <w:tcBorders>
              <w:top w:val="single" w:sz="8"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518"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11,713,833 </w:t>
            </w:r>
          </w:p>
        </w:tc>
        <w:tc>
          <w:tcPr>
            <w:tcW w:w="187" w:type="dxa"/>
            <w:tcBorders>
              <w:top w:val="single" w:sz="8"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Receivables:</w:t>
            </w:r>
          </w:p>
        </w:tc>
        <w:tc>
          <w:tcPr>
            <w:tcW w:w="2055" w:type="dxa"/>
            <w:gridSpan w:val="3"/>
            <w:tcBorders>
              <w:top w:val="single" w:sz="8"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Notes receivable from participants</w:t>
            </w:r>
          </w:p>
        </w:tc>
        <w:tc>
          <w:tcPr>
            <w:tcW w:w="288" w:type="dxa"/>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628" w:type="dxa"/>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85,044</w:t>
            </w:r>
            <w:r>
              <w:rPr>
                <w:color w:val="000000"/>
              </w:rPr>
              <w:t> </w:t>
            </w:r>
          </w:p>
        </w:tc>
        <w:tc>
          <w:tcPr>
            <w:tcW w:w="13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518"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78,558 </w:t>
            </w:r>
          </w:p>
        </w:tc>
        <w:tc>
          <w:tcPr>
            <w:tcW w:w="18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Receivable from plan merger (Note 1)</w:t>
            </w:r>
          </w:p>
        </w:tc>
        <w:tc>
          <w:tcPr>
            <w:tcW w:w="1916"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72,562</w:t>
            </w:r>
            <w:r>
              <w:rPr>
                <w:color w:val="000000"/>
              </w:rPr>
              <w:t> </w:t>
            </w:r>
          </w:p>
        </w:tc>
        <w:tc>
          <w:tcPr>
            <w:tcW w:w="13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 xml:space="preserve">Other </w:t>
            </w:r>
          </w:p>
        </w:tc>
        <w:tc>
          <w:tcPr>
            <w:tcW w:w="1916"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230</w:t>
            </w:r>
            <w:r>
              <w:rPr>
                <w:color w:val="000000"/>
              </w:rPr>
              <w:t> </w:t>
            </w:r>
          </w:p>
        </w:tc>
        <w:tc>
          <w:tcPr>
            <w:tcW w:w="13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receivables</w:t>
            </w:r>
          </w:p>
        </w:tc>
        <w:tc>
          <w:tcPr>
            <w:tcW w:w="288" w:type="dxa"/>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628" w:type="dxa"/>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157,836</w:t>
            </w:r>
            <w:r>
              <w:rPr>
                <w:color w:val="000000"/>
              </w:rPr>
              <w:t> </w:t>
            </w:r>
          </w:p>
        </w:tc>
        <w:tc>
          <w:tcPr>
            <w:tcW w:w="139" w:type="dxa"/>
            <w:tcBorders>
              <w:top w:val="single" w:sz="8"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518"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78,558 </w:t>
            </w:r>
          </w:p>
        </w:tc>
        <w:tc>
          <w:tcPr>
            <w:tcW w:w="187" w:type="dxa"/>
            <w:tcBorders>
              <w:top w:val="single" w:sz="8"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B2B2B2"/>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ASSETS AVAILABLE FOR BENEFITS</w:t>
            </w:r>
          </w:p>
        </w:tc>
        <w:tc>
          <w:tcPr>
            <w:tcW w:w="288"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628"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11,943,567</w:t>
            </w:r>
            <w:r>
              <w:rPr>
                <w:color w:val="000000"/>
              </w:rPr>
              <w:t> </w:t>
            </w:r>
          </w:p>
        </w:tc>
        <w:tc>
          <w:tcPr>
            <w:tcW w:w="139"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518"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11,792,391 </w:t>
            </w:r>
          </w:p>
        </w:tc>
        <w:tc>
          <w:tcPr>
            <w:tcW w:w="187"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See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44855"/>
                <wp:effectExtent l="0" t="0" r="0" b="0"/>
                <wp:wrapNone/>
                <wp:docPr id="4" name="Frame4"/>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366" w:type="dxa"/>
                              <w:jc w:val="left"/>
                              <w:tblInd w:w="0" w:type="dxa"/>
                              <w:tblLayout w:type="fixed"/>
                              <w:tblCellMar>
                                <w:top w:w="28" w:type="dxa"/>
                                <w:left w:w="28" w:type="dxa"/>
                                <w:bottom w:w="28" w:type="dxa"/>
                                <w:right w:w="28" w:type="dxa"/>
                              </w:tblCellMar>
                            </w:tblPr>
                            <w:tblGrid>
                              <w:gridCol w:w="124"/>
                              <w:gridCol w:w="109"/>
                              <w:gridCol w:w="109"/>
                              <w:gridCol w:w="592"/>
                              <w:gridCol w:w="592"/>
                              <w:gridCol w:w="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2</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366" w:type="dxa"/>
                        <w:jc w:val="left"/>
                        <w:tblInd w:w="0" w:type="dxa"/>
                        <w:tblLayout w:type="fixed"/>
                        <w:tblCellMar>
                          <w:top w:w="28" w:type="dxa"/>
                          <w:left w:w="28" w:type="dxa"/>
                          <w:bottom w:w="28" w:type="dxa"/>
                          <w:right w:w="28" w:type="dxa"/>
                        </w:tblCellMar>
                      </w:tblPr>
                      <w:tblGrid>
                        <w:gridCol w:w="124"/>
                        <w:gridCol w:w="109"/>
                        <w:gridCol w:w="109"/>
                        <w:gridCol w:w="592"/>
                        <w:gridCol w:w="592"/>
                        <w:gridCol w:w="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2</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INC. RETIREMENT PLAN</w:t>
      </w:r>
    </w:p>
    <w:p>
      <w:pPr>
        <w:pStyle w:val="TextBody"/>
        <w:bidi w:val="0"/>
        <w:spacing w:lineRule="auto" w:line="288" w:before="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STATEMENT OF CHANGES IN NET ASSETS AVAILABLE FOR BENEFITS</w:t>
      </w:r>
    </w:p>
    <w:p>
      <w:pPr>
        <w:pStyle w:val="TextBody"/>
        <w:bidi w:val="0"/>
        <w:spacing w:before="200" w:after="120"/>
        <w:jc w:val="left"/>
        <w:rPr/>
      </w:pPr>
      <w:r>
        <w:rPr/>
      </w:r>
    </w:p>
    <w:p>
      <w:pPr>
        <w:pStyle w:val="TextBody"/>
        <w:bidi w:val="0"/>
        <w:spacing w:before="120" w:after="283"/>
        <w:jc w:val="center"/>
        <w:rPr/>
      </w:pPr>
      <w:r>
        <w:rPr/>
      </w:r>
    </w:p>
    <w:tbl>
      <w:tblPr>
        <w:tblW w:w="9101" w:type="dxa"/>
        <w:jc w:val="center"/>
        <w:tblInd w:w="0" w:type="dxa"/>
        <w:tblLayout w:type="fixed"/>
        <w:tblCellMar>
          <w:top w:w="28" w:type="dxa"/>
          <w:left w:w="28" w:type="dxa"/>
          <w:bottom w:w="28" w:type="dxa"/>
          <w:right w:w="28" w:type="dxa"/>
        </w:tblCellMar>
      </w:tblPr>
      <w:tblGrid>
        <w:gridCol w:w="2416"/>
        <w:gridCol w:w="2126"/>
        <w:gridCol w:w="2133"/>
        <w:gridCol w:w="109"/>
        <w:gridCol w:w="109"/>
        <w:gridCol w:w="109"/>
        <w:gridCol w:w="286"/>
        <w:gridCol w:w="1618"/>
        <w:gridCol w:w="195"/>
      </w:tblGrid>
      <w:tr>
        <w:trPr/>
        <w:tc>
          <w:tcPr>
            <w:tcW w:w="2416"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000000"/>
                <w:sz w:val="18"/>
              </w:rPr>
            </w:pPr>
            <w:r>
              <w:rPr>
                <w:rFonts w:ascii="Avenir LT Pro 95 Black;sans-serif" w:hAnsi="Avenir LT Pro 95 Black;sans-serif"/>
                <w:b/>
                <w:color w:val="000000"/>
                <w:sz w:val="18"/>
              </w:rPr>
              <w:t>Year Ended</w:t>
            </w:r>
          </w:p>
        </w:tc>
      </w:tr>
      <w:tr>
        <w:trPr/>
        <w:tc>
          <w:tcPr>
            <w:tcW w:w="6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December 31, 2025</w:t>
            </w:r>
          </w:p>
        </w:tc>
      </w:tr>
      <w:tr>
        <w:trPr/>
        <w:tc>
          <w:tcPr>
            <w:tcW w:w="6675"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ADDITIONS:</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4"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Investment income:</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Plan interest in Leidos, Inc. Master Trust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618" w:type="dxa"/>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1,723,610</w:t>
            </w:r>
            <w:r>
              <w:rPr>
                <w:color w:val="000000"/>
              </w:rPr>
              <w:t> </w:t>
            </w:r>
          </w:p>
        </w:tc>
        <w:tc>
          <w:tcPr>
            <w:tcW w:w="195"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Interest income on notes receivable from participants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6,660</w:t>
            </w:r>
            <w:r>
              <w:rPr>
                <w:color w:val="000000"/>
              </w:rPr>
              <w:t> </w:t>
            </w:r>
          </w:p>
        </w:tc>
        <w:tc>
          <w:tcPr>
            <w:tcW w:w="195"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Contributions: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Participants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404,271</w:t>
            </w:r>
            <w:r>
              <w:rPr>
                <w:color w:val="000000"/>
              </w:rPr>
              <w:t> </w:t>
            </w:r>
          </w:p>
        </w:tc>
        <w:tc>
          <w:tcPr>
            <w:tcW w:w="195"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Employer</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200,132</w:t>
            </w:r>
            <w:r>
              <w:rPr>
                <w:color w:val="000000"/>
              </w:rPr>
              <w:t> </w:t>
            </w:r>
          </w:p>
        </w:tc>
        <w:tc>
          <w:tcPr>
            <w:tcW w:w="195"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Employee rollovers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85,567</w:t>
            </w:r>
            <w:r>
              <w:rPr>
                <w:color w:val="000000"/>
              </w:rPr>
              <w:t> </w:t>
            </w:r>
          </w:p>
        </w:tc>
        <w:tc>
          <w:tcPr>
            <w:tcW w:w="195"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contributions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689,970</w:t>
            </w:r>
            <w:r>
              <w:rPr>
                <w:color w:val="000000"/>
              </w:rPr>
              <w:t> </w:t>
            </w:r>
          </w:p>
        </w:tc>
        <w:tc>
          <w:tcPr>
            <w:tcW w:w="195" w:type="dxa"/>
            <w:tcBorders>
              <w:top w:val="single" w:sz="8"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additions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2,420,240</w:t>
            </w:r>
            <w:r>
              <w:rPr>
                <w:color w:val="000000"/>
              </w:rPr>
              <w:t> </w:t>
            </w:r>
          </w:p>
        </w:tc>
        <w:tc>
          <w:tcPr>
            <w:tcW w:w="195" w:type="dxa"/>
            <w:tcBorders>
              <w:top w:val="single" w:sz="8"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DEDUCTIONS: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901588"/>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Benefits paid to participants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2,339,967</w:t>
            </w:r>
            <w:r>
              <w:rPr>
                <w:color w:val="000000"/>
              </w:rPr>
              <w:t> </w:t>
            </w:r>
          </w:p>
        </w:tc>
        <w:tc>
          <w:tcPr>
            <w:tcW w:w="195"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Administrative expenses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1,659</w:t>
            </w:r>
            <w:r>
              <w:rPr>
                <w:color w:val="000000"/>
              </w:rPr>
              <w:t> </w:t>
            </w:r>
          </w:p>
        </w:tc>
        <w:tc>
          <w:tcPr>
            <w:tcW w:w="195"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deductions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2,341,626</w:t>
            </w:r>
            <w:r>
              <w:rPr>
                <w:color w:val="000000"/>
              </w:rPr>
              <w:t> </w:t>
            </w:r>
          </w:p>
        </w:tc>
        <w:tc>
          <w:tcPr>
            <w:tcW w:w="195" w:type="dxa"/>
            <w:tcBorders>
              <w:top w:val="single" w:sz="8"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INCREASE IN NET ASSETS AVAILABLE FOR BENEFITS BEFORE TRANSFER</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78,614</w:t>
            </w:r>
            <w:r>
              <w:rPr>
                <w:color w:val="000000"/>
              </w:rPr>
              <w:t> </w:t>
            </w:r>
          </w:p>
        </w:tc>
        <w:tc>
          <w:tcPr>
            <w:tcW w:w="195" w:type="dxa"/>
            <w:tcBorders>
              <w:top w:val="single" w:sz="8"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PLAN TO PLAN TRANSFER IN (NOTE 1)</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72,562</w:t>
            </w:r>
            <w:r>
              <w:rPr>
                <w:color w:val="000000"/>
              </w:rPr>
              <w:t> </w:t>
            </w:r>
          </w:p>
        </w:tc>
        <w:tc>
          <w:tcPr>
            <w:tcW w:w="195"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INCREASE IN NET ASSETS AVAILABLE FOR BENEFITS AFTER TRANSFER</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151,176</w:t>
            </w:r>
            <w:r>
              <w:rPr>
                <w:color w:val="000000"/>
              </w:rPr>
              <w:t> </w:t>
            </w:r>
          </w:p>
        </w:tc>
        <w:tc>
          <w:tcPr>
            <w:tcW w:w="195" w:type="dxa"/>
            <w:tcBorders>
              <w:top w:val="single" w:sz="8"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ASSETS AVAILABLE FOR BENEFITS: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4" w:space="0" w:color="B2B2B2"/>
            </w:tcBorders>
            <w:shd w:fill="F4E8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Beginning of year</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11,792,391</w:t>
            </w:r>
            <w:r>
              <w:rPr>
                <w:color w:val="000000"/>
              </w:rPr>
              <w:t> </w:t>
            </w:r>
          </w:p>
        </w:tc>
        <w:tc>
          <w:tcPr>
            <w:tcW w:w="195"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4" w:space="0" w:color="B2B2B2"/>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End of year</w:t>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618"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11,943,567</w:t>
            </w:r>
            <w:r>
              <w:rPr>
                <w:color w:val="000000"/>
              </w:rPr>
              <w:t> </w:t>
            </w:r>
          </w:p>
        </w:tc>
        <w:tc>
          <w:tcPr>
            <w:tcW w:w="195"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See notes to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40410"/>
                <wp:effectExtent l="0" t="0" r="0" b="0"/>
                <wp:wrapNone/>
                <wp:docPr id="5" name="Frame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471" w:type="dxa"/>
                              <w:jc w:val="left"/>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471" w:type="dxa"/>
                        <w:jc w:val="left"/>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INC. RETIREMENT PLAN</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 xml:space="preserve">NOTES TO FINANCIAL STATEMENTS </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DECEMBER 31, 2025 AND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1–Description of the Plan</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following brief description of the Leidos, Inc. Retirement Plan (the “Plan”) is for general information purposes only. Participants should refer to the Plan document for more complete information regarding the Plan. Within these financial statements, Leidos, Inc. (the “Company”) refers to the sponsoring employer, and Leidos Holdings, Inc. (“Leidos”) refers to the publicly-traded parent of the sponsoring employer.</w:t>
      </w:r>
    </w:p>
    <w:p>
      <w:pPr>
        <w:pStyle w:val="TextBody"/>
        <w:bidi w:val="0"/>
        <w:spacing w:lineRule="auto" w:line="312" w:before="12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GENERAL</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Plan is a defined contribution plan sponsored by the Company and is subject to the provisions of the Employee Retirement Income Security Act of 1974, as amended (“ERISA”). The Plan is a defined contribution 401(k) plan with profit-sharing and employee stock ownership plan (“ESOP”) features. Contributions to the Plan from participants and the Company are held in a qualified retirement trust fund. The Leidos, Inc. Retirement Plans Committee is the Plan’s named fiduciary for purposes of Section 402(a) of ERISA.</w:t>
      </w:r>
    </w:p>
    <w:p>
      <w:pPr>
        <w:pStyle w:val="TextBody"/>
        <w:bidi w:val="0"/>
        <w:spacing w:lineRule="auto" w:line="312" w:before="120" w:after="120"/>
        <w:jc w:val="left"/>
        <w:rPr/>
      </w:pPr>
      <w:r>
        <w:rPr>
          <w:rFonts w:ascii="Avenir LT Pro 45 Book;sans-serif" w:hAnsi="Avenir LT Pro 45 Book;sans-serif"/>
          <w:b w:val="false"/>
          <w:color w:val="000000"/>
          <w:sz w:val="18"/>
        </w:rPr>
        <w:t xml:space="preserve">Effective July 9, 2025, the Plan transitioned its recordkeeping and trustee services from The Vanguard Group, Inc. and Vanguard Fiduciary Trust Company ("Vanguard") to Empower Retirement, LLC and Empower Annuity Insurance Company of America ("Empower"). In connection with the transfer, all plan assets were transferred from </w:t>
      </w:r>
      <w:r>
        <w:rPr>
          <w:rFonts w:ascii="Avenir LT Pro 45 Book;sans-serif" w:hAnsi="Avenir LT Pro 45 Book;sans-serif"/>
          <w:b w:val="false"/>
          <w:color w:val="010202"/>
          <w:sz w:val="18"/>
        </w:rPr>
        <w:t xml:space="preserve">Vanguard </w:t>
      </w:r>
      <w:r>
        <w:rPr>
          <w:rFonts w:ascii="Avenir LT Pro 45 Book;sans-serif" w:hAnsi="Avenir LT Pro 45 Book;sans-serif"/>
          <w:b w:val="false"/>
          <w:color w:val="000000"/>
          <w:sz w:val="18"/>
        </w:rPr>
        <w:t>to Empower. The transfer was completed primarily on an in-kind basis. Participant account balances were transferred based on account values as of July 9, 2025. Participant transactions were temporarily restricted during the transition period.</w:t>
      </w:r>
    </w:p>
    <w:p>
      <w:pPr>
        <w:pStyle w:val="TextBody"/>
        <w:bidi w:val="0"/>
        <w:spacing w:lineRule="auto" w:line="312" w:before="12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INVESTMENT FUNDS</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As of December 31, 2025 and 2024, the Plan held an interest in the Leidos, Inc. Master Trust (“Master Trust”).</w:t>
      </w:r>
    </w:p>
    <w:p>
      <w:pPr>
        <w:pStyle w:val="TextBody"/>
        <w:bidi w:val="0"/>
        <w:spacing w:lineRule="auto" w:line="312" w:before="12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ELIGIBILITY</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Employees of the Company and its subsidiaries that have adopted the Plan are eligible to participate in the Plan. Employees must be in an eligible fringe benefit package to be eligible to receive Company matching 401(k) contributions, profit sharing contributions, and ESOP contributions. Employees may make elective contributions and receive Company matching 401(k) contributions upon commencing employment.</w:t>
      </w:r>
    </w:p>
    <w:p>
      <w:pPr>
        <w:pStyle w:val="TextBody"/>
        <w:bidi w:val="0"/>
        <w:spacing w:lineRule="auto" w:line="312" w:before="12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PARTICIPANT CONTRIBUTIONS</w:t>
      </w:r>
    </w:p>
    <w:p>
      <w:pPr>
        <w:pStyle w:val="TextBody"/>
        <w:bidi w:val="0"/>
        <w:spacing w:lineRule="auto" w:line="312" w:before="120" w:after="120"/>
        <w:jc w:val="left"/>
        <w:rPr/>
      </w:pPr>
      <w:r>
        <w:rPr>
          <w:rFonts w:ascii="Avenir LT Pro 45 Book;sans-serif" w:hAnsi="Avenir LT Pro 45 Book;sans-serif"/>
          <w:b w:val="false"/>
          <w:color w:val="010202"/>
          <w:sz w:val="18"/>
        </w:rPr>
        <w:t xml:space="preserve">As defined by the Plan, participants may contribute up to </w:t>
      </w:r>
      <w:r>
        <w:rPr>
          <w:rFonts w:ascii="Avenir LT Pro 45 Book;sans-serif" w:hAnsi="Avenir LT Pro 45 Book;sans-serif"/>
          <w:b w:val="false"/>
          <w:color w:val="000000"/>
          <w:sz w:val="18"/>
        </w:rPr>
        <w:t>100%</w:t>
      </w:r>
      <w:r>
        <w:rPr>
          <w:color w:val="010202"/>
        </w:rPr>
        <w:t xml:space="preserve"> </w:t>
      </w:r>
      <w:r>
        <w:rPr>
          <w:rFonts w:ascii="Avenir LT Pro 45 Book;sans-serif" w:hAnsi="Avenir LT Pro 45 Book;sans-serif"/>
          <w:b w:val="false"/>
          <w:color w:val="010202"/>
          <w:sz w:val="18"/>
        </w:rPr>
        <w:t xml:space="preserve">of their eligible compensation on a pre-tax basis unless designated as Roth deferrals and/or as traditional after-tax contributions, subject to statutory limitations. Participants who have attained the age of 50 before the end of the plan year are eligible to make catch-up contributions. Certain participants within their collective bargaining agreement with the Company may make an additional elective contribution that is deducted from their Cash or Deferral Agreement. Participants may also contribute amounts representing rollovers from other qualified plans. Participant contributions are invested according to participant direction into any of the available investment funds of the Plan. Participant contributions and rollovers to the Leidos Common Stock Fund are limited to a maximum </w:t>
      </w:r>
      <w:r>
        <w:rPr>
          <w:rFonts w:ascii="Avenir LT Pro 45 Book;sans-serif" w:hAnsi="Avenir LT Pro 45 Book;sans-serif"/>
          <w:b w:val="false"/>
          <w:color w:val="000000"/>
          <w:sz w:val="18"/>
        </w:rPr>
        <w:t>50%</w:t>
      </w:r>
      <w:r>
        <w:rPr>
          <w:color w:val="010202"/>
        </w:rPr>
        <w:t xml:space="preserve"> </w:t>
      </w:r>
      <w:r>
        <w:rPr>
          <w:rFonts w:ascii="Avenir LT Pro 45 Book;sans-serif" w:hAnsi="Avenir LT Pro 45 Book;sans-serif"/>
          <w:b w:val="false"/>
          <w:color w:val="010202"/>
          <w:sz w:val="18"/>
        </w:rPr>
        <w:t>of the employee deferral or rollover, as applicable.</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PLAN TRANSFERS</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Effective December 31, 2025, the Kudu Dynamics 401(k) Retirement Plan merged into the Plan. In connection with the merger, assets totaling approximately $72,562,000, including participant notes receivable of $156,000 were liquidated from T. Rowe Price on December 31, 2025, transferred and accepted by Empower on January 2 and January 5, 2026, and formally settled on January 8, 2026.</w:t>
      </w:r>
    </w:p>
    <w:p>
      <w:pPr>
        <w:pStyle w:val="TextBody"/>
        <w:bidi w:val="0"/>
        <w:spacing w:lineRule="auto" w:line="312" w:before="12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EMPLOYER CONTRIBUTIONS</w:t>
      </w:r>
    </w:p>
    <w:p>
      <w:pPr>
        <w:pStyle w:val="TextBody"/>
        <w:bidi w:val="0"/>
        <w:spacing w:lineRule="auto" w:line="312" w:before="120" w:after="120"/>
        <w:jc w:val="left"/>
        <w:rPr/>
      </w:pPr>
      <w:r>
        <w:rPr>
          <w:rFonts w:ascii="Avenir LT Pro 45 Book;sans-serif" w:hAnsi="Avenir LT Pro 45 Book;sans-serif"/>
          <w:b w:val="false"/>
          <w:color w:val="010202"/>
          <w:sz w:val="18"/>
        </w:rPr>
        <w:t xml:space="preserve">The Company may make discretionary contributions, which include matching 401(k) contributions, non-elective contributions, and ESOP contributions. Effective January 1, 2025, eligible participants may receive Company matching 401(k) contributions based on a maximum percentage of </w:t>
      </w:r>
      <w:r>
        <w:rPr>
          <w:rFonts w:ascii="Avenir LT Pro 45 Book;sans-serif" w:hAnsi="Avenir LT Pro 45 Book;sans-serif"/>
          <w:b w:val="false"/>
          <w:color w:val="000000"/>
          <w:sz w:val="18"/>
        </w:rPr>
        <w:t>100%</w:t>
      </w:r>
      <w:r>
        <w:rPr>
          <w:rFonts w:ascii="Avenir LT Pro 45 Book;sans-serif" w:hAnsi="Avenir LT Pro 45 Book;sans-serif"/>
          <w:b w:val="false"/>
          <w:color w:val="010202"/>
          <w:sz w:val="18"/>
        </w:rPr>
        <w:t xml:space="preserve">, depending on fringe level, of the first </w:t>
      </w:r>
      <w:r>
        <w:rPr>
          <w:rFonts w:ascii="Avenir LT Pro 45 Book;sans-serif" w:hAnsi="Avenir LT Pro 45 Book;sans-serif"/>
          <w:b w:val="false"/>
          <w:color w:val="000000"/>
          <w:sz w:val="18"/>
        </w:rPr>
        <w:t>6%</w:t>
      </w:r>
      <w:r>
        <w:rPr>
          <w:color w:val="010202"/>
        </w:rPr>
        <w:t xml:space="preserve"> </w:t>
      </w:r>
      <w:r>
        <w:rPr>
          <w:rFonts w:ascii="Avenir LT Pro 45 Book;sans-serif" w:hAnsi="Avenir LT Pro 45 Book;sans-serif"/>
          <w:b w:val="false"/>
          <w:color w:val="010202"/>
          <w:sz w:val="18"/>
        </w:rPr>
        <w:t xml:space="preserve">of eligible compensation contributed to the Plan with investments directed by each participant. Prior to January 1, 2025, eligible participants were eligible to receive Company matching 401(k) contributions based on a maximum percentage of </w:t>
      </w:r>
      <w:r>
        <w:rPr>
          <w:rFonts w:ascii="Avenir LT Pro 45 Book;sans-serif" w:hAnsi="Avenir LT Pro 45 Book;sans-serif"/>
          <w:b w:val="false"/>
          <w:color w:val="000000"/>
          <w:sz w:val="18"/>
        </w:rPr>
        <w:t>100%</w:t>
      </w:r>
      <w:r>
        <w:rPr>
          <w:rFonts w:ascii="Avenir LT Pro 45 Book;sans-serif" w:hAnsi="Avenir LT Pro 45 Book;sans-serif"/>
          <w:b w:val="false"/>
          <w:color w:val="010202"/>
          <w:sz w:val="18"/>
        </w:rPr>
        <w:t xml:space="preserve">, depending on fringe level, of the first </w:t>
      </w:r>
      <w:r>
        <w:rPr>
          <w:rFonts w:ascii="Avenir LT Pro 45 Book;sans-serif" w:hAnsi="Avenir LT Pro 45 Book;sans-serif"/>
          <w:b w:val="false"/>
          <w:color w:val="000000"/>
          <w:sz w:val="18"/>
        </w:rPr>
        <w:t>5%</w:t>
      </w:r>
      <w:r>
        <w:rPr>
          <w:color w:val="010202"/>
        </w:rPr>
        <w:t xml:space="preserve"> </w:t>
      </w:r>
      <w:r>
        <w:rPr>
          <w:rFonts w:ascii="Avenir LT Pro 45 Book;sans-serif" w:hAnsi="Avenir LT Pro 45 Book;sans-serif"/>
          <w:b w:val="false"/>
          <w:color w:val="010202"/>
          <w:sz w:val="18"/>
        </w:rPr>
        <w:t xml:space="preserve">of eligible compensation contributed to the Plan (a maximum match of </w:t>
      </w:r>
      <w:r>
        <w:rPr>
          <w:rFonts w:ascii="Avenir LT Pro 45 Book;sans-serif" w:hAnsi="Avenir LT Pro 45 Book;sans-serif"/>
          <w:b w:val="false"/>
          <w:color w:val="000000"/>
          <w:sz w:val="18"/>
        </w:rPr>
        <w:t>5%</w:t>
      </w:r>
      <w:r>
        <w:rPr>
          <w:rFonts w:ascii="Avenir LT Pro 45 Book;sans-serif" w:hAnsi="Avenir LT Pro 45 Book;sans-serif"/>
          <w:b w:val="false"/>
          <w:color w:val="010202"/>
          <w:sz w:val="18"/>
        </w:rPr>
        <w:t xml:space="preserve">). These matching contributions were invested according to each participant’s direction through 2024. </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 xml:space="preserve">The Company, at its discretion, may also make additional contributions to the Plan for the benefit of non-highly compensated participants in order to comply with Section 401(k)(3) of the Internal Revenue Code. The Company made no additional contributions for the benefit of non-highly compensated participants for the year ended December 31, 2025. Matching 401(k)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44855"/>
                <wp:effectExtent l="0" t="0" r="0" b="0"/>
                <wp:wrapNone/>
                <wp:docPr id="6" name="Frame6"/>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366" w:type="dxa"/>
                              <w:jc w:val="left"/>
                              <w:tblInd w:w="0" w:type="dxa"/>
                              <w:tblLayout w:type="fixed"/>
                              <w:tblCellMar>
                                <w:top w:w="28" w:type="dxa"/>
                                <w:left w:w="28" w:type="dxa"/>
                                <w:bottom w:w="28" w:type="dxa"/>
                                <w:right w:w="28" w:type="dxa"/>
                              </w:tblCellMar>
                            </w:tblPr>
                            <w:tblGrid>
                              <w:gridCol w:w="124"/>
                              <w:gridCol w:w="109"/>
                              <w:gridCol w:w="109"/>
                              <w:gridCol w:w="592"/>
                              <w:gridCol w:w="592"/>
                              <w:gridCol w:w="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4</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366" w:type="dxa"/>
                        <w:jc w:val="left"/>
                        <w:tblInd w:w="0" w:type="dxa"/>
                        <w:tblLayout w:type="fixed"/>
                        <w:tblCellMar>
                          <w:top w:w="28" w:type="dxa"/>
                          <w:left w:w="28" w:type="dxa"/>
                          <w:bottom w:w="28" w:type="dxa"/>
                          <w:right w:w="28" w:type="dxa"/>
                        </w:tblCellMar>
                      </w:tblPr>
                      <w:tblGrid>
                        <w:gridCol w:w="124"/>
                        <w:gridCol w:w="109"/>
                        <w:gridCol w:w="109"/>
                        <w:gridCol w:w="592"/>
                        <w:gridCol w:w="592"/>
                        <w:gridCol w:w="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4</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INC. RETIREMENT PLAN</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NOTES TO FINANCIAL STATEMENTS</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DECEMBER 31, 2025 AND 2024</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 xml:space="preserve">company contributions to the Plan for the year ended December 31, 2025, were made in cash and transfers from the forfeiture account. </w:t>
      </w:r>
    </w:p>
    <w:p>
      <w:pPr>
        <w:pStyle w:val="TextBody"/>
        <w:bidi w:val="0"/>
        <w:spacing w:lineRule="auto" w:line="312" w:before="12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PARTICIPANT ACCOUNTS</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In accordance with Plan provisions, individual accounts are maintained for each Plan participant. Each participant’s account is credited with the participant’s contributions, and if eligible, allocations of Company discretionary contributions. Allocations are based on participant eligible compensation, as defined in the Plan document. Participant accounts also reflect changes from investment income and losses and from distributions. The benefit to which a participant is entitled is the vested balance of his or her account.</w:t>
      </w:r>
    </w:p>
    <w:p>
      <w:pPr>
        <w:pStyle w:val="TextBody"/>
        <w:bidi w:val="0"/>
        <w:spacing w:lineRule="auto" w:line="312" w:before="12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VESTING AND FORFEITURES</w:t>
      </w:r>
    </w:p>
    <w:p>
      <w:pPr>
        <w:pStyle w:val="TextBody"/>
        <w:bidi w:val="0"/>
        <w:spacing w:lineRule="auto" w:line="312" w:before="0" w:after="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 xml:space="preserve">Effective January 1, 2025, eligible participants who perform at least one hour of service on or after January 1, 2025, become 100% vested in all Company matching contributions, profit sharing, non-elective contributions, and ESOP contributions. Participants who terminated employment before January 1, 2025, and did not work an hour of service on or after that date are not eligible for the accelerated vesting. </w:t>
      </w:r>
    </w:p>
    <w:p>
      <w:pPr>
        <w:pStyle w:val="TextBody"/>
        <w:bidi w:val="0"/>
        <w:spacing w:lineRule="auto" w:line="312" w:before="120" w:after="120"/>
        <w:jc w:val="left"/>
        <w:rPr/>
      </w:pPr>
      <w:r>
        <w:rPr>
          <w:rFonts w:ascii="Avenir LT Pro 45 Book;sans-serif" w:hAnsi="Avenir LT Pro 45 Book;sans-serif"/>
          <w:b w:val="false"/>
          <w:color w:val="010202"/>
          <w:sz w:val="18"/>
        </w:rPr>
        <w:t xml:space="preserve">Prior to January 1, 2025, a participant’s elective deferrals and rollover contributions, together with all related earnings, vested immediately. Company contributions were vested under a graded schedule: participants earned </w:t>
      </w:r>
      <w:r>
        <w:rPr>
          <w:rFonts w:ascii="Avenir LT Pro 45 Book;sans-serif" w:hAnsi="Avenir LT Pro 45 Book;sans-serif"/>
          <w:b w:val="false"/>
          <w:color w:val="000000"/>
          <w:sz w:val="18"/>
        </w:rPr>
        <w:t>25%</w:t>
      </w:r>
      <w:r>
        <w:rPr>
          <w:color w:val="010202"/>
        </w:rPr>
        <w:t xml:space="preserve"> </w:t>
      </w:r>
      <w:r>
        <w:rPr>
          <w:rFonts w:ascii="Avenir LT Pro 45 Book;sans-serif" w:hAnsi="Avenir LT Pro 45 Book;sans-serif"/>
          <w:b w:val="false"/>
          <w:color w:val="010202"/>
          <w:sz w:val="18"/>
        </w:rPr>
        <w:t>vesting for each of the first two calendar years in which they completed at least 850 hours of service and became fully vested after three years of vesting service, as defined by the Plan. While employed, participants also became fully vested in Company contributions upon reaching age 59½, experiencing a permanent disability, or death. Upon termination of employment, any portion of Company contributions that remained unvested was forfeited when the participant took a full distribution or after five consecutive one</w:t>
        <w:noBreakHyphen/>
        <w:t>year breaks in service.</w:t>
      </w:r>
    </w:p>
    <w:p>
      <w:pPr>
        <w:pStyle w:val="TextBody"/>
        <w:bidi w:val="0"/>
        <w:spacing w:lineRule="auto" w:line="312" w:before="0" w:after="0"/>
        <w:jc w:val="left"/>
        <w:rPr/>
      </w:pPr>
      <w:r>
        <w:rPr>
          <w:rFonts w:ascii="Avenir LT Pro 45 Book;sans-serif" w:hAnsi="Avenir LT Pro 45 Book;sans-serif"/>
          <w:b w:val="false"/>
          <w:color w:val="010202"/>
          <w:sz w:val="18"/>
        </w:rPr>
        <w:t xml:space="preserve">Forfeitures may be applied to future Company matching 401(k) contributions, to provide reinstatement due to military leave, to increase profit sharing contributions, or to pay Plan expenses. During the year ended December 31, 2025, the Company applied forfeited non-vested amounts of approximately </w:t>
      </w:r>
      <w:r>
        <w:rPr>
          <w:rFonts w:ascii="Avenir LT Pro 45 Book;sans-serif" w:hAnsi="Avenir LT Pro 45 Book;sans-serif"/>
          <w:b w:val="false"/>
          <w:color w:val="000000"/>
          <w:sz w:val="18"/>
        </w:rPr>
        <w:t>$3,071,000</w:t>
      </w:r>
      <w:r>
        <w:rPr>
          <w:color w:val="010202"/>
        </w:rPr>
        <w:t xml:space="preserve"> </w:t>
      </w:r>
      <w:r>
        <w:rPr>
          <w:rFonts w:ascii="Avenir LT Pro 45 Book;sans-serif" w:hAnsi="Avenir LT Pro 45 Book;sans-serif"/>
          <w:b w:val="false"/>
          <w:color w:val="010202"/>
          <w:sz w:val="18"/>
        </w:rPr>
        <w:t xml:space="preserve">primarily toward Company matching 401(k) contributions. As of December 31, 2025 and 2024, forfeited non-vested accounts available for application by the Company totaled approximately </w:t>
      </w:r>
      <w:r>
        <w:rPr>
          <w:rFonts w:ascii="Avenir LT Pro 45 Book;sans-serif" w:hAnsi="Avenir LT Pro 45 Book;sans-serif"/>
          <w:b w:val="false"/>
          <w:color w:val="000000"/>
          <w:sz w:val="18"/>
        </w:rPr>
        <w:t>$1,658,000</w:t>
      </w:r>
      <w:r>
        <w:rPr>
          <w:color w:val="010202"/>
        </w:rPr>
        <w:t xml:space="preserve"> </w:t>
      </w:r>
      <w:r>
        <w:rPr>
          <w:rFonts w:ascii="Avenir LT Pro 45 Book;sans-serif" w:hAnsi="Avenir LT Pro 45 Book;sans-serif"/>
          <w:b w:val="false"/>
          <w:color w:val="010202"/>
          <w:sz w:val="18"/>
        </w:rPr>
        <w:t xml:space="preserve">and </w:t>
      </w:r>
      <w:r>
        <w:rPr>
          <w:rFonts w:ascii="Avenir LT Pro 45 Book;sans-serif" w:hAnsi="Avenir LT Pro 45 Book;sans-serif"/>
          <w:b w:val="false"/>
          <w:color w:val="000000"/>
          <w:sz w:val="18"/>
        </w:rPr>
        <w:t>$744,000</w:t>
      </w:r>
      <w:r>
        <w:rPr>
          <w:rFonts w:ascii="Avenir LT Pro 45 Book;sans-serif" w:hAnsi="Avenir LT Pro 45 Book;sans-serif"/>
          <w:b w:val="false"/>
          <w:color w:val="010202"/>
          <w:sz w:val="18"/>
        </w:rPr>
        <w:t>, respectively.</w:t>
      </w:r>
    </w:p>
    <w:p>
      <w:pPr>
        <w:pStyle w:val="TextBody"/>
        <w:bidi w:val="0"/>
        <w:spacing w:lineRule="auto" w:line="312" w:before="12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NOTES RECEIVABLE FROM PARTICIPANTS</w:t>
      </w:r>
    </w:p>
    <w:p>
      <w:pPr>
        <w:pStyle w:val="TextBody"/>
        <w:bidi w:val="0"/>
        <w:spacing w:lineRule="auto" w:line="312" w:before="120" w:after="120"/>
        <w:jc w:val="left"/>
        <w:rPr/>
      </w:pPr>
      <w:r>
        <w:rPr>
          <w:rFonts w:ascii="Avenir LT Pro 45 Book;sans-serif" w:hAnsi="Avenir LT Pro 45 Book;sans-serif"/>
          <w:b w:val="false"/>
          <w:color w:val="010202"/>
          <w:sz w:val="18"/>
        </w:rPr>
        <w:t xml:space="preserve">Participants may borrow up to </w:t>
      </w:r>
      <w:r>
        <w:rPr>
          <w:rFonts w:ascii="Avenir LT Pro 45 Book;sans-serif" w:hAnsi="Avenir LT Pro 45 Book;sans-serif"/>
          <w:b w:val="false"/>
          <w:color w:val="000000"/>
          <w:sz w:val="18"/>
        </w:rPr>
        <w:t>50%</w:t>
      </w:r>
      <w:r>
        <w:rPr>
          <w:color w:val="010202"/>
        </w:rPr>
        <w:t xml:space="preserve"> </w:t>
      </w:r>
      <w:r>
        <w:rPr>
          <w:rFonts w:ascii="Avenir LT Pro 45 Book;sans-serif" w:hAnsi="Avenir LT Pro 45 Book;sans-serif"/>
          <w:b w:val="false"/>
          <w:color w:val="010202"/>
          <w:sz w:val="18"/>
        </w:rPr>
        <w:t xml:space="preserve">of their vested account balance, up to a maximum of </w:t>
      </w:r>
      <w:r>
        <w:rPr>
          <w:rFonts w:ascii="Avenir LT Pro 45 Book;sans-serif" w:hAnsi="Avenir LT Pro 45 Book;sans-serif"/>
          <w:b w:val="false"/>
          <w:color w:val="000000"/>
          <w:sz w:val="18"/>
        </w:rPr>
        <w:t>$50,000</w:t>
      </w:r>
      <w:r>
        <w:rPr>
          <w:rFonts w:ascii="Avenir LT Pro 45 Book;sans-serif" w:hAnsi="Avenir LT Pro 45 Book;sans-serif"/>
          <w:b w:val="false"/>
          <w:color w:val="010202"/>
          <w:sz w:val="18"/>
        </w:rPr>
        <w:t xml:space="preserve">. Loan repayment periods may not exceed 60 months except for loans used to acquire a principal residence, in which case the repayment period may not exceed 30 years. The loans are secured by the vested account balance in the participant’s account and bear interest at a rate commensurate with local prevailing rates as determined monthly by the Plan administrator. The loans are recorded at amortized cost, which is the remaining unpaid principal balance plus any accrued but unpaid interest. Principal and interest are collected ratably through payroll deductions or through direct payments from terminated employees who have loans. Delinquent loans are reclassified as distributions based upon the terms of the Plan. As of December 31, 2025, outstanding loans bear interest at rates ranging from </w:t>
      </w:r>
      <w:r>
        <w:rPr>
          <w:rFonts w:ascii="Avenir LT Pro 45 Book;sans-serif" w:hAnsi="Avenir LT Pro 45 Book;sans-serif"/>
          <w:b w:val="false"/>
          <w:color w:val="000000"/>
          <w:sz w:val="18"/>
        </w:rPr>
        <w:t>4.25%</w:t>
      </w:r>
      <w:r>
        <w:rPr>
          <w:color w:val="010202"/>
        </w:rPr>
        <w:t xml:space="preserve"> </w:t>
      </w:r>
      <w:r>
        <w:rPr>
          <w:rFonts w:ascii="Avenir LT Pro 45 Book;sans-serif" w:hAnsi="Avenir LT Pro 45 Book;sans-serif"/>
          <w:b w:val="false"/>
          <w:color w:val="010202"/>
          <w:sz w:val="18"/>
        </w:rPr>
        <w:t xml:space="preserve">to </w:t>
      </w:r>
      <w:r>
        <w:rPr>
          <w:rFonts w:ascii="Avenir LT Pro 45 Book;sans-serif" w:hAnsi="Avenir LT Pro 45 Book;sans-serif"/>
          <w:b w:val="false"/>
          <w:color w:val="000000"/>
          <w:sz w:val="18"/>
        </w:rPr>
        <w:t>9.50%</w:t>
      </w:r>
      <w:r>
        <w:rPr>
          <w:color w:val="010202"/>
        </w:rPr>
        <w:t xml:space="preserve"> </w:t>
      </w:r>
      <w:r>
        <w:rPr>
          <w:rFonts w:ascii="Avenir LT Pro 45 Book;sans-serif" w:hAnsi="Avenir LT Pro 45 Book;sans-serif"/>
          <w:b w:val="false"/>
          <w:color w:val="010202"/>
          <w:sz w:val="18"/>
        </w:rPr>
        <w:t xml:space="preserve">and have maturities from January 2026 through January 2056. As of December 31, 2024, outstanding loans had interest at rates ranging from </w:t>
      </w:r>
      <w:r>
        <w:rPr>
          <w:rFonts w:ascii="Avenir LT Pro 45 Book;sans-serif" w:hAnsi="Avenir LT Pro 45 Book;sans-serif"/>
          <w:b w:val="false"/>
          <w:color w:val="000000"/>
          <w:sz w:val="18"/>
        </w:rPr>
        <w:t>4.25%</w:t>
      </w:r>
      <w:r>
        <w:rPr>
          <w:color w:val="010202"/>
        </w:rPr>
        <w:t xml:space="preserve"> </w:t>
      </w:r>
      <w:r>
        <w:rPr>
          <w:rFonts w:ascii="Avenir LT Pro 45 Book;sans-serif" w:hAnsi="Avenir LT Pro 45 Book;sans-serif"/>
          <w:b w:val="false"/>
          <w:color w:val="010202"/>
          <w:sz w:val="18"/>
        </w:rPr>
        <w:t xml:space="preserve">to </w:t>
      </w:r>
      <w:r>
        <w:rPr>
          <w:rFonts w:ascii="Avenir LT Pro 45 Book;sans-serif" w:hAnsi="Avenir LT Pro 45 Book;sans-serif"/>
          <w:b w:val="false"/>
          <w:color w:val="000000"/>
          <w:sz w:val="18"/>
        </w:rPr>
        <w:t>9.50%</w:t>
      </w:r>
      <w:r>
        <w:rPr>
          <w:color w:val="010202"/>
        </w:rPr>
        <w:t xml:space="preserve"> </w:t>
      </w:r>
      <w:r>
        <w:rPr>
          <w:rFonts w:ascii="Avenir LT Pro 45 Book;sans-serif" w:hAnsi="Avenir LT Pro 45 Book;sans-serif"/>
          <w:b w:val="false"/>
          <w:color w:val="010202"/>
          <w:sz w:val="18"/>
        </w:rPr>
        <w:t>and maturities from January 2025 through November 2054.</w:t>
      </w:r>
    </w:p>
    <w:p>
      <w:pPr>
        <w:pStyle w:val="TextBody"/>
        <w:bidi w:val="0"/>
        <w:spacing w:lineRule="auto" w:line="312" w:before="12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DISTRIBUTIONS TO PARTICIPANTS</w:t>
      </w:r>
    </w:p>
    <w:p>
      <w:pPr>
        <w:pStyle w:val="TextBody"/>
        <w:bidi w:val="0"/>
        <w:spacing w:lineRule="auto" w:line="312" w:before="0" w:after="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Effective July 9, 2025, for vested account balances greater than $0.01 but less than $7,000, the participant’s balance will automatically be rolled over to an IRA following the close of the quarter in which the participant terminates employment. The balance will be invested in an Empower Target Date Fund, unless the participant elects a distribution within the required timeframe.</w:t>
      </w:r>
    </w:p>
    <w:p>
      <w:pPr>
        <w:pStyle w:val="TextBody"/>
        <w:bidi w:val="0"/>
        <w:spacing w:lineRule="auto" w:line="312" w:before="120" w:after="120"/>
        <w:jc w:val="left"/>
        <w:rPr/>
      </w:pPr>
      <w:r>
        <w:rPr>
          <w:rFonts w:ascii="Avenir LT Pro 45 Book;sans-serif" w:hAnsi="Avenir LT Pro 45 Book;sans-serif"/>
          <w:b w:val="false"/>
          <w:color w:val="010202"/>
          <w:sz w:val="18"/>
        </w:rPr>
        <w:t>Prior to July 9, 2025, vested balances o</w:t>
      </w:r>
      <w:r>
        <w:rPr>
          <w:rFonts w:ascii="Avenir LT Pro 45 Book;sans-serif" w:hAnsi="Avenir LT Pro 45 Book;sans-serif"/>
          <w:b w:val="false"/>
          <w:color w:val="000000"/>
          <w:sz w:val="18"/>
        </w:rPr>
        <w:t>f $1,000 or less, participants received their entire balance in a single lump sum within 16 calendar months following termination of employment with the Company. For balances over $1,000 and up to $5,000, participants elected either a cash distribution or a rollover to another eligible plan within 16 calendar months following termination. If no election was made, the balance was automatically rolled over to a Vanguard Individual Retirement Account ("IRA"). For vested balances greater than $5,000, no distribution was made unless the participant elected to receive one after terminating employment with the Company.</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Regardless of the existing account balance, distributions are made to participants who die or become permanently disabled while employed by the Company. After attaining age 59-1/2, a participant may make withdrawals even if still employed by the Company. A participant may make withdrawals from the Plan to their rollover account prior to attaining age 59-1/2, after-tax account or if the participant incurs a financial hardship, as specified by the Plan. Former employees, regardless of their age, may elect to receive unlimited distributions in any given plan year, of all or a portion of their account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40410"/>
                <wp:effectExtent l="0" t="0" r="0" b="0"/>
                <wp:wrapNone/>
                <wp:docPr id="7" name="Frame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471" w:type="dxa"/>
                              <w:jc w:val="left"/>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471" w:type="dxa"/>
                        <w:jc w:val="left"/>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INC. RETIREMENT PLAN</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NOTES TO FINANCIAL STATEMENTS</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DECEMBER 31, 2025 AND 2024</w:t>
      </w:r>
    </w:p>
    <w:p>
      <w:pPr>
        <w:pStyle w:val="TextBody"/>
        <w:bidi w:val="0"/>
        <w:spacing w:lineRule="auto" w:line="312" w:before="12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TAX STATUS</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Internal Revenue Service (“IRS”) has determined and informed the Company by a letter dated February 21, 2024, that the Plan was designed in accordance with the applicable requirements of the Internal Revenue Code ("IRC") and that the Plan is exempt from federal income tax under Section 501(a) of the IRC. Accordingly, no provision for income taxes has been included in the Plan’s financial statements. Although the Plan has been amended since receiving the latest determination letter, the Plan administrator and the Plan’s tax counsel believe that the Plan is designed, and is currently being operated, in compliance with the applicable requirements of the IRC in all material respects. Therefore, the Company believes that the Plan was qualified, and the related trust is tax-exempt as of the financial statement dates.</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Accounting principles generally accepted in the United States of America ("GAAP") require Plan management to evaluate tax positions taken by the Plan and recognize a tax liability if the organization has taken an uncertain position that more likely than not would not be sustained upon examination by the Internal Revenue Service and other taxing authorities. The Plan is subject to routine audits by taxing jurisdictions; however, there are currently no audits for any tax periods in progress.</w:t>
      </w:r>
    </w:p>
    <w:p>
      <w:pPr>
        <w:pStyle w:val="TextBody"/>
        <w:bidi w:val="0"/>
        <w:spacing w:lineRule="auto" w:line="312" w:before="12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RELATED-PARTY AND PARTY-IN-INTEREST TRANSACTIONS</w:t>
      </w:r>
    </w:p>
    <w:p>
      <w:pPr>
        <w:pStyle w:val="TextBody"/>
        <w:bidi w:val="0"/>
        <w:spacing w:lineRule="auto" w:line="312" w:before="120" w:after="120"/>
        <w:jc w:val="left"/>
        <w:rPr/>
      </w:pPr>
      <w:r>
        <w:rPr>
          <w:rFonts w:ascii="Avenir LT Pro 45 Book;sans-serif" w:hAnsi="Avenir LT Pro 45 Book;sans-serif"/>
          <w:b w:val="false"/>
          <w:color w:val="010202"/>
          <w:sz w:val="18"/>
        </w:rPr>
        <w:t xml:space="preserve">Certain Plan investments were held in funds managed by affiliates of Vanguard, which served as the Plan’s trustee and record-keeper through July 8, 2025. Effective July 9, 2025, Empower was appointed as the Plan's trustee and record-keeper. These service providers qualify as party-in-interest transactions under ERISA. Fees paid to the record-keeper were approximately </w:t>
      </w:r>
      <w:r>
        <w:rPr>
          <w:rFonts w:ascii="Avenir LT Pro 45 Book;sans-serif" w:hAnsi="Avenir LT Pro 45 Book;sans-serif"/>
          <w:b w:val="false"/>
          <w:color w:val="000000"/>
          <w:sz w:val="18"/>
        </w:rPr>
        <w:t>$1,635,000</w:t>
      </w:r>
      <w:r>
        <w:rPr>
          <w:color w:val="010202"/>
        </w:rPr>
        <w:t xml:space="preserve"> </w:t>
      </w:r>
      <w:r>
        <w:rPr>
          <w:rFonts w:ascii="Avenir LT Pro 45 Book;sans-serif" w:hAnsi="Avenir LT Pro 45 Book;sans-serif"/>
          <w:b w:val="false"/>
          <w:color w:val="010202"/>
          <w:sz w:val="18"/>
        </w:rPr>
        <w:t xml:space="preserve">for the year ended December 31, 2025. There were </w:t>
      </w:r>
      <w:r>
        <w:rPr>
          <w:rFonts w:ascii="Avenir LT Pro 45 Book;sans-serif" w:hAnsi="Avenir LT Pro 45 Book;sans-serif"/>
          <w:b w:val="false"/>
          <w:color w:val="000000"/>
          <w:sz w:val="18"/>
        </w:rPr>
        <w:t>no</w:t>
      </w:r>
      <w:r>
        <w:rPr>
          <w:color w:val="010202"/>
        </w:rPr>
        <w:t xml:space="preserve"> </w:t>
      </w:r>
      <w:r>
        <w:rPr>
          <w:rFonts w:ascii="Avenir LT Pro 45 Book;sans-serif" w:hAnsi="Avenir LT Pro 45 Book;sans-serif"/>
          <w:b w:val="false"/>
          <w:color w:val="010202"/>
          <w:sz w:val="18"/>
        </w:rPr>
        <w:t xml:space="preserve">amounts payable to the Plan’s record-keeper as of December 31, 2025 and 2024. </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 xml:space="preserve">Members of the Company’s Retirement Committee are eligible to participate in the Plan. The Company pays directly any other fees related to the Plan’s operation. In addition, Charles Schwab is the custodian of selected assets, and therefore, transactions with these investments represent exempt party-in-interest transactions. </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A portion of the Plan's assets are invested in common stock of the Company. While the holding and acquisition of employer securities is generally prohibited by ERISA, the Plan meets the exception in ERISA section 407(b), which permits the acquisition and holding of employer securities by an eligible individual account plan.</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At December 31, 2025 and 2024, Leidos Holdings, Inc. common stock held by the Master Trust was as follows:</w:t>
      </w:r>
    </w:p>
    <w:tbl>
      <w:tblPr>
        <w:tblW w:w="5030" w:type="dxa"/>
        <w:jc w:val="left"/>
        <w:tblInd w:w="0" w:type="dxa"/>
        <w:tblLayout w:type="fixed"/>
        <w:tblCellMar>
          <w:top w:w="28" w:type="dxa"/>
          <w:left w:w="28" w:type="dxa"/>
          <w:bottom w:w="28" w:type="dxa"/>
          <w:right w:w="28" w:type="dxa"/>
        </w:tblCellMar>
      </w:tblPr>
      <w:tblGrid>
        <w:gridCol w:w="635"/>
        <w:gridCol w:w="558"/>
        <w:gridCol w:w="561"/>
        <w:gridCol w:w="109"/>
        <w:gridCol w:w="109"/>
        <w:gridCol w:w="109"/>
        <w:gridCol w:w="226"/>
        <w:gridCol w:w="961"/>
        <w:gridCol w:w="109"/>
        <w:gridCol w:w="109"/>
        <w:gridCol w:w="109"/>
        <w:gridCol w:w="109"/>
        <w:gridCol w:w="226"/>
        <w:gridCol w:w="94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4E8F3"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2024</w:t>
            </w:r>
          </w:p>
        </w:tc>
      </w:tr>
      <w:tr>
        <w:trPr/>
        <w:tc>
          <w:tcPr>
            <w:tcW w:w="1754"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Number of Shares</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5,013</w:t>
            </w:r>
            <w:r>
              <w:rPr>
                <w:color w:val="000000"/>
              </w:rPr>
              <w:t> </w:t>
            </w:r>
          </w:p>
        </w:tc>
        <w:tc>
          <w:tcPr>
            <w:tcW w:w="109" w:type="dxa"/>
            <w:tcBorders>
              <w:top w:val="single" w:sz="4"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5,823 </w:t>
            </w:r>
          </w:p>
        </w:tc>
        <w:tc>
          <w:tcPr>
            <w:tcW w:w="154" w:type="dxa"/>
            <w:tcBorders>
              <w:top w:val="single" w:sz="4"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Cost Basis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961" w:type="dxa"/>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368,263</w:t>
            </w:r>
            <w:r>
              <w:rPr>
                <w:color w:val="000000"/>
              </w:rPr>
              <w:t> </w:t>
            </w:r>
          </w:p>
        </w:tc>
        <w:tc>
          <w:tcPr>
            <w:tcW w:w="10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46" w:type="dxa"/>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289,536 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B2B2B2"/>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Fair Value</w:t>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bottom w:val="single" w:sz="4"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961" w:type="dxa"/>
            <w:tcBorders>
              <w:top w:val="single" w:sz="4" w:space="0" w:color="B2B2B2"/>
              <w:bottom w:val="single" w:sz="4"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904,135</w:t>
            </w:r>
            <w:r>
              <w:rPr>
                <w:color w:val="000000"/>
              </w:rPr>
              <w:t> </w:t>
            </w:r>
          </w:p>
        </w:tc>
        <w:tc>
          <w:tcPr>
            <w:tcW w:w="109" w:type="dxa"/>
            <w:tcBorders>
              <w:top w:val="single" w:sz="4" w:space="0" w:color="B2B2B2"/>
              <w:bottom w:val="single" w:sz="4" w:space="0" w:color="901588"/>
            </w:tcBorders>
            <w:shd w:fill="F4E8F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2B2B2"/>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46" w:type="dxa"/>
            <w:tcBorders>
              <w:top w:val="single" w:sz="4" w:space="0" w:color="B2B2B2"/>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838,435 </w:t>
            </w:r>
          </w:p>
        </w:tc>
        <w:tc>
          <w:tcPr>
            <w:tcW w:w="154" w:type="dxa"/>
            <w:tcBorders>
              <w:top w:val="single" w:sz="4" w:space="0" w:color="B2B2B2"/>
              <w:bottom w:val="single" w:sz="4" w:space="0" w:color="90158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TERMINATION OF THE PLAN</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Although it has not expressed any intent to do so, the Company has the right under the Plan to discontinue its contributions and to terminate the Plan at any time subject to the provisions of ERISA. Upon termination of the Plan, the participants become 100% vested in any unvested portion of their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2–Significant Accounting Policies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BASIS OF ACCOUNTING</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Plan’s financial statements are prepared on the accrual basis of accounting in accordance with accounting principles generally accepted in the United States of America. Investment transactions are accounted for on their trade dates.</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preparation of financial statements in conformity with GAAP requires Plan management to make estimates and assumptions that affect the reported amounts of assets and liabilities and disclosures of contingent assets and liabilities at the date of the financial statements, and the reported amounts of additions and deductions during the reporting periods. Actual results may differ from those estimates.</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 xml:space="preserve">INVESTMENT VALUATION AND INCOME RECOGNITION </w:t>
      </w:r>
    </w:p>
    <w:p>
      <w:pPr>
        <w:pStyle w:val="TextBody"/>
        <w:bidi w:val="0"/>
        <w:spacing w:lineRule="auto" w:line="312" w:before="120" w:after="120"/>
        <w:jc w:val="left"/>
        <w:rPr/>
      </w:pPr>
      <w:r>
        <w:rPr>
          <w:rFonts w:ascii="Avenir LT Pro 45 Book;sans-serif" w:hAnsi="Avenir LT Pro 45 Book;sans-serif"/>
          <w:b w:val="false"/>
          <w:color w:val="010202"/>
          <w:sz w:val="18"/>
        </w:rPr>
        <w:t>Investments are held by the Leidos, Inc. Master Trust as of December 31, 2025 and 2024, and are reported at fair value, except for fully benefit-responsive investment contracts. Fair value is the price that would have been received to sell an asset or paid to transfer a liability in an orderly transaction between market participants at the measurement date. As of December 31, 2025, the Master Trust held investments in Mutual Funds, Common Stock, a Self-Directed Brokerage Fund, a Separately Managed Account</w:t>
      </w:r>
      <w:r>
        <w:rPr>
          <w:rFonts w:ascii="Avenir LT Pro 45 Book;sans-serif" w:hAnsi="Avenir LT Pro 45 Book;sans-serif"/>
          <w:b w:val="false"/>
          <w:i/>
          <w:color w:val="010202"/>
          <w:sz w:val="18"/>
        </w:rPr>
        <w:t xml:space="preserve">, </w:t>
      </w:r>
      <w:r>
        <w:rPr>
          <w:rFonts w:ascii="Avenir LT Pro 45 Book;sans-serif" w:hAnsi="Avenir LT Pro 45 Book;sans-serif"/>
          <w:b w:val="false"/>
          <w:color w:val="010202"/>
          <w:sz w:val="18"/>
        </w:rPr>
        <w:t>Collective Trusts, and a Stable Value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44855"/>
                <wp:effectExtent l="0" t="0" r="0" b="0"/>
                <wp:wrapNone/>
                <wp:docPr id="8" name="Frame8"/>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366" w:type="dxa"/>
                              <w:jc w:val="left"/>
                              <w:tblInd w:w="0" w:type="dxa"/>
                              <w:tblLayout w:type="fixed"/>
                              <w:tblCellMar>
                                <w:top w:w="28" w:type="dxa"/>
                                <w:left w:w="28" w:type="dxa"/>
                                <w:bottom w:w="28" w:type="dxa"/>
                                <w:right w:w="28" w:type="dxa"/>
                              </w:tblCellMar>
                            </w:tblPr>
                            <w:tblGrid>
                              <w:gridCol w:w="124"/>
                              <w:gridCol w:w="109"/>
                              <w:gridCol w:w="109"/>
                              <w:gridCol w:w="592"/>
                              <w:gridCol w:w="592"/>
                              <w:gridCol w:w="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6</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366" w:type="dxa"/>
                        <w:jc w:val="left"/>
                        <w:tblInd w:w="0" w:type="dxa"/>
                        <w:tblLayout w:type="fixed"/>
                        <w:tblCellMar>
                          <w:top w:w="28" w:type="dxa"/>
                          <w:left w:w="28" w:type="dxa"/>
                          <w:bottom w:w="28" w:type="dxa"/>
                          <w:right w:w="28" w:type="dxa"/>
                        </w:tblCellMar>
                      </w:tblPr>
                      <w:tblGrid>
                        <w:gridCol w:w="124"/>
                        <w:gridCol w:w="109"/>
                        <w:gridCol w:w="109"/>
                        <w:gridCol w:w="592"/>
                        <w:gridCol w:w="592"/>
                        <w:gridCol w:w="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6</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INC. RETIREMENT PLAN</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NOTES TO FINANCIAL STATEMENTS</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DECEMBER 31, 2025 AND 2024</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Investment income is comprised of realized gains and losses, unrealized appreciation or depreciation, interest income and dividends. Realized gains and losses on sales of investments are calculated as the difference between the fair value of the investments upon sale and the fair value of the investments at purchase. Unrealized appreciation or depreciation is calculated as the difference between the fair value of the investments at the end of the year and the fair value of the investments at the beginning of the year or at purchase if purchased during the year. Interest income is recorded on the accrual basis of accounting. Dividends are recorded on the ex-dividend date.</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 xml:space="preserve">NOTES RECEIVABLE FROM PARTICIPANTS </w:t>
      </w:r>
    </w:p>
    <w:p>
      <w:pPr>
        <w:pStyle w:val="TextBody"/>
        <w:bidi w:val="0"/>
        <w:spacing w:lineRule="auto" w:line="312" w:before="120" w:after="120"/>
        <w:jc w:val="left"/>
        <w:rPr/>
      </w:pPr>
      <w:r>
        <w:rPr>
          <w:rFonts w:ascii="Avenir LT Pro 45 Book;sans-serif" w:hAnsi="Avenir LT Pro 45 Book;sans-serif"/>
          <w:b w:val="false"/>
          <w:color w:val="010202"/>
          <w:sz w:val="18"/>
        </w:rPr>
        <w:t>Notes receivable from participants are carried at the aggregate unpaid principal balance of loans outstanding.</w:t>
      </w:r>
      <w:r>
        <w:rPr>
          <w:color w:val="000000"/>
        </w:rPr>
        <w:t xml:space="preserve"> </w:t>
      </w:r>
      <w:r>
        <w:rPr>
          <w:rFonts w:ascii="Avenir LT Pro 45 Book;sans-serif" w:hAnsi="Avenir LT Pro 45 Book;sans-serif"/>
          <w:b w:val="false"/>
          <w:color w:val="010202"/>
          <w:sz w:val="18"/>
        </w:rPr>
        <w:t>Interest income is recorded on the accrual basis. Related fees are recorded as administrative expenses and are expensed when incurred.</w:t>
      </w:r>
      <w:r>
        <w:rPr>
          <w:color w:val="000000"/>
        </w:rPr>
        <w:t xml:space="preserve"> </w:t>
      </w:r>
      <w:r>
        <w:rPr>
          <w:rFonts w:ascii="Avenir LT Pro 45 Book;sans-serif" w:hAnsi="Avenir LT Pro 45 Book;sans-serif"/>
          <w:b w:val="false"/>
          <w:color w:val="010202"/>
          <w:sz w:val="18"/>
        </w:rPr>
        <w:t>If a participant ceases to make loan repayments and the plan administrator deems the participant loan to be in default, the participant loan balance is reduced and a benefit payment is recorded.</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 xml:space="preserve">ADMINISTRATIVE EXPENSES </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Administrative expenses of the Plan are paid by the Plan sponsor or Plan participants as provided in the Plan document.</w:t>
      </w:r>
    </w:p>
    <w:p>
      <w:pPr>
        <w:pStyle w:val="TextBody"/>
        <w:bidi w:val="0"/>
        <w:spacing w:lineRule="auto" w:line="288" w:before="200" w:after="120"/>
        <w:jc w:val="left"/>
        <w:rPr>
          <w:rFonts w:ascii="Avenir LT Pro 95 Black;sans-serif" w:hAnsi="Avenir LT Pro 95 Black;sans-serif"/>
          <w:b/>
          <w:color w:val="901588"/>
          <w:sz w:val="20"/>
        </w:rPr>
      </w:pPr>
      <w:r>
        <w:rPr>
          <w:rFonts w:ascii="Avenir LT Pro 95 Black;sans-serif" w:hAnsi="Avenir LT Pro 95 Black;sans-serif"/>
          <w:b/>
          <w:color w:val="901588"/>
          <w:sz w:val="20"/>
        </w:rPr>
        <w:t xml:space="preserve">SUBSEQUENT EVENTS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Plan has evaluated subsequent events through the date of this filing. Other than the events mentioned below, no significant events were identified during the period.</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 January 8, 2026, the Plan completed the settlement of Kudu Dynamics 401(k) Retirement Plan merger. The assets, liquidated from T. Rowe Price on December 31, 2025, were transferred to and accepted by Empower on January 2 and January 5, 2026, pursuant to the settlement of the Kudu Dynamics 401(k) Retirement Plan merger. See Note 1 – Description of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3–Fair Value Measurements</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Accounting guidance has been issued that establishes a framework for measuring fair value. That framework provides a fair value hierarchy that prioritizes the inputs to valuation techniques used to measure fair value. The three levels of the fair value hierarchy are described below:</w:t>
      </w:r>
    </w:p>
    <w:p>
      <w:pPr>
        <w:pStyle w:val="TextBody"/>
        <w:bidi w:val="0"/>
        <w:spacing w:lineRule="auto" w:line="312" w:before="120" w:after="120"/>
        <w:ind w:left="0" w:right="0" w:hanging="108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Level 1    Observable inputs such as quoted prices in active markets.</w:t>
      </w:r>
    </w:p>
    <w:p>
      <w:pPr>
        <w:pStyle w:val="TextBody"/>
        <w:bidi w:val="0"/>
        <w:spacing w:lineRule="auto" w:line="312" w:before="120" w:after="120"/>
        <w:ind w:left="0" w:right="0" w:hanging="108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Level 2    Inputs other than quoted prices in active markets for identical assets or liabilities that are observable either directly or indirectly or quoted prices that are not active.</w:t>
      </w:r>
    </w:p>
    <w:p>
      <w:pPr>
        <w:pStyle w:val="TextBody"/>
        <w:bidi w:val="0"/>
        <w:spacing w:lineRule="auto" w:line="312" w:before="120" w:after="120"/>
        <w:ind w:left="0" w:right="0" w:hanging="108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Level 3    Unobservable inputs in which there is little or no market data (e.g., discounted cash flow and other similar pricing models), which requires us to develop our own assumptions about the assumptions that market participants would use in pricing the asset or liability.</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end of the reporting period.</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Following is a description of the valuation methodologies used for assets measured at fair value.</w:t>
      </w:r>
    </w:p>
    <w:p>
      <w:pPr>
        <w:pStyle w:val="TextBody"/>
        <w:bidi w:val="0"/>
        <w:spacing w:lineRule="auto" w:line="312" w:before="120" w:after="120"/>
        <w:jc w:val="left"/>
        <w:rPr/>
      </w:pPr>
      <w:r>
        <w:rPr>
          <w:rFonts w:ascii="Avenir LT Pro 45 Book;sans-serif" w:hAnsi="Avenir LT Pro 45 Book;sans-serif"/>
          <w:b w:val="false"/>
          <w:i/>
          <w:color w:val="010202"/>
          <w:sz w:val="18"/>
        </w:rPr>
        <w:t>Investment in Mutual Funds</w:t>
      </w:r>
      <w:r>
        <w:rPr>
          <w:color w:val="010202"/>
        </w:rPr>
        <w:t>—</w:t>
      </w:r>
      <w:r>
        <w:rPr>
          <w:rFonts w:ascii="Avenir LT Pro 45 Book;sans-serif" w:hAnsi="Avenir LT Pro 45 Book;sans-serif"/>
          <w:b w:val="false"/>
          <w:color w:val="010202"/>
          <w:sz w:val="18"/>
        </w:rPr>
        <w:t>Investments in mutual funds are stated at fair value using the closing market price on the last business day of each period presented.</w:t>
      </w:r>
    </w:p>
    <w:p>
      <w:pPr>
        <w:pStyle w:val="TextBody"/>
        <w:bidi w:val="0"/>
        <w:spacing w:lineRule="auto" w:line="312" w:before="120" w:after="120"/>
        <w:jc w:val="left"/>
        <w:rPr/>
      </w:pPr>
      <w:r>
        <w:rPr>
          <w:rFonts w:ascii="Avenir LT Pro 45 Book;sans-serif" w:hAnsi="Avenir LT Pro 45 Book;sans-serif"/>
          <w:b w:val="false"/>
          <w:i/>
          <w:color w:val="010202"/>
          <w:sz w:val="18"/>
        </w:rPr>
        <w:t>Investment in Common Stock</w:t>
      </w:r>
      <w:r>
        <w:rPr>
          <w:color w:val="010202"/>
        </w:rPr>
        <w:t>—</w:t>
      </w:r>
      <w:r>
        <w:rPr>
          <w:rFonts w:ascii="Avenir LT Pro 45 Book;sans-serif" w:hAnsi="Avenir LT Pro 45 Book;sans-serif"/>
          <w:b w:val="false"/>
          <w:color w:val="010202"/>
          <w:sz w:val="18"/>
        </w:rPr>
        <w:t>Investments in shares of Leidos Holdings, Inc. common stock which is publicly traded on the New York Stock Exchange, is recorded at its publicly-traded quoted market price as of the last business day of the plan year.</w:t>
      </w:r>
    </w:p>
    <w:p>
      <w:pPr>
        <w:pStyle w:val="TextBody"/>
        <w:bidi w:val="0"/>
        <w:spacing w:lineRule="auto" w:line="312" w:before="120" w:after="120"/>
        <w:jc w:val="left"/>
        <w:rPr/>
      </w:pPr>
      <w:r>
        <w:rPr>
          <w:rFonts w:ascii="Avenir LT Pro 45 Book;sans-serif" w:hAnsi="Avenir LT Pro 45 Book;sans-serif"/>
          <w:b w:val="false"/>
          <w:i/>
          <w:color w:val="010202"/>
          <w:sz w:val="18"/>
        </w:rPr>
        <w:t>Investment in a Self-Directed Brokerage Fund</w:t>
      </w:r>
      <w:r>
        <w:rPr>
          <w:color w:val="010202"/>
        </w:rPr>
        <w:t>—</w:t>
      </w:r>
      <w:r>
        <w:rPr>
          <w:rFonts w:ascii="Avenir LT Pro 45 Book;sans-serif" w:hAnsi="Avenir LT Pro 45 Book;sans-serif"/>
          <w:b w:val="false"/>
          <w:color w:val="010202"/>
          <w:sz w:val="18"/>
        </w:rPr>
        <w:t xml:space="preserve">Investments in the self-directed brokerage fund ("SDBF") are stated at fair value based on quoted market prices or market data obtained from external independent sources. The SDBF primarily consists of stocks, cash, mutual funds, bonds, certificate of deposits, and preferred debt. </w:t>
      </w:r>
    </w:p>
    <w:p>
      <w:pPr>
        <w:pStyle w:val="TextBody"/>
        <w:bidi w:val="0"/>
        <w:spacing w:lineRule="auto" w:line="312" w:before="120" w:after="120"/>
        <w:jc w:val="left"/>
        <w:rPr/>
      </w:pPr>
      <w:r>
        <w:rPr>
          <w:rFonts w:ascii="Avenir LT Pro 45 Book;sans-serif" w:hAnsi="Avenir LT Pro 45 Book;sans-serif"/>
          <w:b w:val="false"/>
          <w:i/>
          <w:color w:val="010202"/>
          <w:sz w:val="18"/>
        </w:rPr>
        <w:t>Investment in Separately Managed Account</w:t>
      </w:r>
      <w:r>
        <w:rPr>
          <w:color w:val="010202"/>
        </w:rPr>
        <w:t>—</w:t>
      </w:r>
      <w:r>
        <w:rPr>
          <w:rFonts w:ascii="Avenir LT Pro 45 Book;sans-serif" w:hAnsi="Avenir LT Pro 45 Book;sans-serif"/>
          <w:b w:val="false"/>
          <w:color w:val="010202"/>
          <w:sz w:val="18"/>
        </w:rPr>
        <w:t>A portfolio of individual securities, including short term securities and common stock, that is managed on the participant's behalf. Investments in separately managed accounts are stated at fair value based on quoted market prices.</w:t>
      </w:r>
    </w:p>
    <w:p>
      <w:pPr>
        <w:pStyle w:val="TextBody"/>
        <w:bidi w:val="0"/>
        <w:spacing w:lineRule="auto" w:line="312" w:before="120" w:after="120"/>
        <w:jc w:val="left"/>
        <w:rPr/>
      </w:pPr>
      <w:r>
        <w:rPr>
          <w:rFonts w:ascii="Avenir LT Pro 45 Book;sans-serif" w:hAnsi="Avenir LT Pro 45 Book;sans-serif"/>
          <w:b w:val="false"/>
          <w:i/>
          <w:color w:val="010202"/>
          <w:sz w:val="18"/>
        </w:rPr>
        <w:t>Investment in Collective Trusts</w:t>
      </w:r>
      <w:r>
        <w:rPr>
          <w:color w:val="010202"/>
        </w:rPr>
        <w:t>—</w:t>
      </w:r>
      <w:r>
        <w:rPr>
          <w:rFonts w:ascii="Avenir LT Pro 45 Book;sans-serif" w:hAnsi="Avenir LT Pro 45 Book;sans-serif"/>
          <w:b w:val="false"/>
          <w:color w:val="010202"/>
          <w:sz w:val="18"/>
        </w:rPr>
        <w:t>Investments in collective trusts are stated at the net asset value ("NAV"), which is determined by the trustee using the fair value of the underlying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40410"/>
                <wp:effectExtent l="0" t="0" r="0" b="0"/>
                <wp:wrapNone/>
                <wp:docPr id="9" name="Frame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471" w:type="dxa"/>
                              <w:jc w:val="left"/>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471" w:type="dxa"/>
                        <w:jc w:val="left"/>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INC. RETIREMENT PLAN</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NOTES TO FINANCIAL STATEMENTS</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DECEMBER 31, 2025 AND 2024</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following table sets forth by level, within the fair value hierarchy, the assets of the Master Trust at their fair value as of December 31, 2025: </w:t>
      </w:r>
    </w:p>
    <w:tbl>
      <w:tblPr>
        <w:tblW w:w="8859" w:type="dxa"/>
        <w:jc w:val="left"/>
        <w:tblInd w:w="0" w:type="dxa"/>
        <w:tblLayout w:type="fixed"/>
        <w:tblCellMar>
          <w:top w:w="28" w:type="dxa"/>
          <w:left w:w="28" w:type="dxa"/>
          <w:bottom w:w="28" w:type="dxa"/>
          <w:right w:w="28" w:type="dxa"/>
        </w:tblCellMar>
      </w:tblPr>
      <w:tblGrid>
        <w:gridCol w:w="1286"/>
        <w:gridCol w:w="1132"/>
        <w:gridCol w:w="1137"/>
        <w:gridCol w:w="109"/>
        <w:gridCol w:w="109"/>
        <w:gridCol w:w="109"/>
        <w:gridCol w:w="226"/>
        <w:gridCol w:w="1156"/>
        <w:gridCol w:w="109"/>
        <w:gridCol w:w="109"/>
        <w:gridCol w:w="109"/>
        <w:gridCol w:w="109"/>
        <w:gridCol w:w="226"/>
        <w:gridCol w:w="841"/>
        <w:gridCol w:w="109"/>
        <w:gridCol w:w="109"/>
        <w:gridCol w:w="109"/>
        <w:gridCol w:w="109"/>
        <w:gridCol w:w="226"/>
        <w:gridCol w:w="127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4E8F3"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Total</w:t>
            </w:r>
          </w:p>
        </w:tc>
      </w:tr>
      <w:tr>
        <w:trPr/>
        <w:tc>
          <w:tcPr>
            <w:tcW w:w="3555"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Mutual funds</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15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975,058</w:t>
            </w:r>
            <w:r>
              <w:rPr>
                <w:color w:val="000000"/>
              </w:rPr>
              <w:t> </w:t>
            </w:r>
          </w:p>
        </w:tc>
        <w:tc>
          <w:tcPr>
            <w:tcW w:w="109" w:type="dxa"/>
            <w:tcBorders>
              <w:top w:val="single" w:sz="4"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76"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975,058</w:t>
            </w:r>
            <w:r>
              <w:rPr>
                <w:color w:val="000000"/>
              </w:rPr>
              <w:t> </w:t>
            </w:r>
          </w:p>
        </w:tc>
        <w:tc>
          <w:tcPr>
            <w:tcW w:w="154" w:type="dxa"/>
            <w:tcBorders>
              <w:top w:val="single" w:sz="4"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Common stock</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904,135</w:t>
            </w:r>
            <w:r>
              <w:rPr>
                <w:color w:val="000000"/>
              </w:rPr>
              <w:t>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904,135</w:t>
            </w:r>
            <w:r>
              <w:rPr>
                <w:color w:val="000000"/>
              </w:rPr>
              <w:t> </w:t>
            </w:r>
          </w:p>
        </w:tc>
        <w:tc>
          <w:tcPr>
            <w:tcW w:w="154"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Self-directed brokerage fund</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186,251</w:t>
            </w:r>
            <w:r>
              <w:rPr>
                <w:color w:val="000000"/>
              </w:rPr>
              <w:t>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13,242</w:t>
            </w:r>
            <w:r>
              <w:rPr>
                <w:color w:val="000000"/>
              </w:rPr>
              <w:t>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199,493</w:t>
            </w:r>
            <w:r>
              <w:rPr>
                <w:color w:val="000000"/>
              </w:rPr>
              <w:t> </w:t>
            </w:r>
          </w:p>
        </w:tc>
        <w:tc>
          <w:tcPr>
            <w:tcW w:w="154"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Separately managed account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753,524</w:t>
            </w:r>
            <w:r>
              <w:rPr>
                <w:color w:val="000000"/>
              </w:rPr>
              <w:t>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753,524</w:t>
            </w:r>
            <w:r>
              <w:rPr>
                <w:color w:val="000000"/>
              </w:rPr>
              <w:t> </w:t>
            </w:r>
          </w:p>
        </w:tc>
        <w:tc>
          <w:tcPr>
            <w:tcW w:w="154"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assets in the fair value hierarchy</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156"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2,818,968</w:t>
            </w:r>
            <w:r>
              <w:rPr>
                <w:color w:val="000000"/>
              </w:rPr>
              <w:t> </w:t>
            </w:r>
          </w:p>
        </w:tc>
        <w:tc>
          <w:tcPr>
            <w:tcW w:w="109" w:type="dxa"/>
            <w:tcBorders>
              <w:top w:val="single" w:sz="8"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841"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13,242</w:t>
            </w:r>
            <w:r>
              <w:rPr>
                <w:color w:val="000000"/>
              </w:rPr>
              <w:t> </w:t>
            </w:r>
          </w:p>
        </w:tc>
        <w:tc>
          <w:tcPr>
            <w:tcW w:w="109" w:type="dxa"/>
            <w:tcBorders>
              <w:top w:val="single" w:sz="8"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76" w:type="dxa"/>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2,832,210</w:t>
            </w:r>
            <w:r>
              <w:rPr>
                <w:color w:val="000000"/>
              </w:rPr>
              <w:t> </w:t>
            </w:r>
          </w:p>
        </w:tc>
        <w:tc>
          <w:tcPr>
            <w:tcW w:w="154" w:type="dxa"/>
            <w:tcBorders>
              <w:top w:val="single" w:sz="8"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Investments measured at NAV</w:t>
            </w:r>
            <w:r>
              <w:rPr>
                <w:rFonts w:ascii="Avenir LT Pro 35 Light;sans-serif" w:hAnsi="Avenir LT Pro 35 Light;sans-serif"/>
                <w:b w:val="false"/>
                <w:color w:val="000000"/>
                <w:sz w:val="12"/>
              </w:rPr>
              <w:t>(1)</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9,235,568</w:t>
            </w:r>
            <w:r>
              <w:rPr>
                <w:color w:val="000000"/>
              </w:rPr>
              <w:t> </w:t>
            </w:r>
          </w:p>
        </w:tc>
        <w:tc>
          <w:tcPr>
            <w:tcW w:w="154" w:type="dxa"/>
            <w:tcBorders>
              <w:top w:val="single" w:sz="8"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B2B2B2"/>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Investments at fair value</w:t>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76"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12,067,778</w:t>
            </w:r>
            <w:r>
              <w:rPr>
                <w:color w:val="000000"/>
              </w:rPr>
              <w:t> </w:t>
            </w:r>
          </w:p>
        </w:tc>
        <w:tc>
          <w:tcPr>
            <w:tcW w:w="154"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following table sets forth by level, within the fair value hierarchy, the assets at fair value of the Master Trust as of December 31, 2024:</w:t>
      </w:r>
    </w:p>
    <w:tbl>
      <w:tblPr>
        <w:tblW w:w="8784" w:type="dxa"/>
        <w:jc w:val="left"/>
        <w:tblInd w:w="0" w:type="dxa"/>
        <w:tblLayout w:type="fixed"/>
        <w:tblCellMar>
          <w:top w:w="28" w:type="dxa"/>
          <w:left w:w="28" w:type="dxa"/>
          <w:bottom w:w="28" w:type="dxa"/>
          <w:right w:w="28" w:type="dxa"/>
        </w:tblCellMar>
      </w:tblPr>
      <w:tblGrid>
        <w:gridCol w:w="1286"/>
        <w:gridCol w:w="1132"/>
        <w:gridCol w:w="1137"/>
        <w:gridCol w:w="109"/>
        <w:gridCol w:w="109"/>
        <w:gridCol w:w="109"/>
        <w:gridCol w:w="226"/>
        <w:gridCol w:w="1126"/>
        <w:gridCol w:w="109"/>
        <w:gridCol w:w="109"/>
        <w:gridCol w:w="109"/>
        <w:gridCol w:w="109"/>
        <w:gridCol w:w="226"/>
        <w:gridCol w:w="826"/>
        <w:gridCol w:w="109"/>
        <w:gridCol w:w="109"/>
        <w:gridCol w:w="109"/>
        <w:gridCol w:w="109"/>
        <w:gridCol w:w="226"/>
        <w:gridCol w:w="124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r>
      <w:tr>
        <w:trPr/>
        <w:tc>
          <w:tcPr>
            <w:tcW w:w="3555"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Mutual funds</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2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952,431 </w:t>
            </w:r>
          </w:p>
        </w:tc>
        <w:tc>
          <w:tcPr>
            <w:tcW w:w="109" w:type="dxa"/>
            <w:tcBorders>
              <w:top w:val="single" w:sz="4"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4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952,431 </w:t>
            </w:r>
          </w:p>
        </w:tc>
        <w:tc>
          <w:tcPr>
            <w:tcW w:w="154" w:type="dxa"/>
            <w:tcBorders>
              <w:top w:val="single" w:sz="4"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Common stock</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838,435 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838,435 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Self-directed brokerage fund</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148,390 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14,107 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162,497 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Separately managed account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767,754 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767,754 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 assets in the fair value hierarchy</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126"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2,707,010 </w:t>
            </w:r>
          </w:p>
        </w:tc>
        <w:tc>
          <w:tcPr>
            <w:tcW w:w="109" w:type="dxa"/>
            <w:tcBorders>
              <w:top w:val="single" w:sz="8"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26"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14,107 </w:t>
            </w:r>
          </w:p>
        </w:tc>
        <w:tc>
          <w:tcPr>
            <w:tcW w:w="109" w:type="dxa"/>
            <w:tcBorders>
              <w:top w:val="single" w:sz="8"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46" w:type="dxa"/>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2,721,117 </w:t>
            </w:r>
          </w:p>
        </w:tc>
        <w:tc>
          <w:tcPr>
            <w:tcW w:w="154" w:type="dxa"/>
            <w:tcBorders>
              <w:top w:val="single" w:sz="8"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35 Light;sans-serif" w:hAnsi="Avenir LT Pro 35 Light;sans-serif"/>
                <w:b w:val="false"/>
                <w:color w:val="000000"/>
                <w:sz w:val="18"/>
              </w:rPr>
              <w:t>Investments measured at NAV</w:t>
            </w:r>
            <w:r>
              <w:rPr>
                <w:rFonts w:ascii="Avenir LT Pro 35 Light;sans-serif" w:hAnsi="Avenir LT Pro 35 Light;sans-serif"/>
                <w:b w:val="false"/>
                <w:color w:val="000000"/>
                <w:sz w:val="12"/>
              </w:rPr>
              <w:t>(1)</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9,099,674 </w:t>
            </w:r>
          </w:p>
        </w:tc>
        <w:tc>
          <w:tcPr>
            <w:tcW w:w="154" w:type="dxa"/>
            <w:tcBorders>
              <w:top w:val="single" w:sz="8"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B2B2B2"/>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Investments at fair value</w:t>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46"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11,820,791 </w:t>
            </w:r>
          </w:p>
        </w:tc>
        <w:tc>
          <w:tcPr>
            <w:tcW w:w="154"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ind w:left="0" w:right="0" w:hanging="288"/>
        <w:jc w:val="left"/>
        <w:rPr/>
      </w:pPr>
      <w:r>
        <w:rPr>
          <w:rFonts w:ascii="Avenir LT Pro 45 Book;sans-serif" w:hAnsi="Avenir LT Pro 45 Book;sans-serif"/>
          <w:b w:val="false"/>
          <w:color w:val="000000"/>
          <w:sz w:val="16"/>
        </w:rPr>
        <w:t>(1)</w:t>
      </w:r>
      <w:r>
        <w:rPr>
          <w:rFonts w:ascii="Avenir LT Pro 45 Book;sans-serif" w:hAnsi="Avenir LT Pro 45 Book;sans-serif"/>
          <w:b w:val="false"/>
          <w:color w:val="010202"/>
          <w:sz w:val="16"/>
        </w:rPr>
        <w:t>Investments measured at NAV per share or its equivalent are not classified in the fair value hierarchy. The fair value amounts presented in this table are intended to permit reconciliation of the fair value hierarchy to the line items presented in the statements of net assets available for benefits. These investments, which represent the Master Trust’s investments in collective trusts, have no unfunded commitments, have a daily redemption frequency and do not have a redemption notice period.</w:t>
      </w:r>
      <w:r>
        <w:rPr>
          <w:color w:val="010202"/>
        </w:rPr>
        <w:t xml:space="preserve"> </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We evaluate the significance of transfers between levels based upon the nature of the financial instrument and size of the transfer relative to total net assets available for benefits. The Plan did not have any level 3 investments or significant transfers in or out of level 3 investments for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ind w:left="0" w:right="0" w:hanging="180"/>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4–Plan Interest In Master Trust</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Plan’s investments are included in the investments of the Leidos, Inc. Master Trust. Each participant in the retirement plan directs their investments into the funds within the Master Trust. The Plan’s record keeper maintains supporting records for the purpose of allocating net assets and net gains and losses of each of the investments of the Plans and to each participant’s account based on participant direction. The Master Trust also includes investment assets of the QTC Management, Inc. Retirement Savings Plan, Leidos Biomedical Research Capital Accumulation Plan and the Leidos Biomedical Research Employee Savings Plan.</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following table presents the investments of the Master Trust and the Plan's interest in the Master Trust, as of December 31, 2025 and 2024:</w:t>
      </w:r>
    </w:p>
    <w:tbl>
      <w:tblPr>
        <w:tblW w:w="10205" w:type="dxa"/>
        <w:jc w:val="left"/>
        <w:tblInd w:w="0" w:type="dxa"/>
        <w:tblLayout w:type="fixed"/>
        <w:tblCellMar>
          <w:top w:w="28" w:type="dxa"/>
          <w:left w:w="28" w:type="dxa"/>
          <w:bottom w:w="28" w:type="dxa"/>
          <w:right w:w="28" w:type="dxa"/>
        </w:tblCellMar>
      </w:tblPr>
      <w:tblGrid>
        <w:gridCol w:w="936"/>
        <w:gridCol w:w="745"/>
        <w:gridCol w:w="748"/>
        <w:gridCol w:w="226"/>
        <w:gridCol w:w="1276"/>
        <w:gridCol w:w="109"/>
        <w:gridCol w:w="109"/>
        <w:gridCol w:w="109"/>
        <w:gridCol w:w="109"/>
        <w:gridCol w:w="226"/>
        <w:gridCol w:w="1246"/>
        <w:gridCol w:w="109"/>
        <w:gridCol w:w="109"/>
        <w:gridCol w:w="109"/>
        <w:gridCol w:w="109"/>
        <w:gridCol w:w="249"/>
        <w:gridCol w:w="1406"/>
        <w:gridCol w:w="119"/>
        <w:gridCol w:w="119"/>
        <w:gridCol w:w="119"/>
        <w:gridCol w:w="119"/>
        <w:gridCol w:w="249"/>
        <w:gridCol w:w="1374"/>
        <w:gridCol w:w="176"/>
      </w:tblGrid>
      <w:tr>
        <w:trPr/>
        <w:tc>
          <w:tcPr>
            <w:tcW w:w="93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Master Trust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Plan’s Interest in Master Trust Balances</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thousands)</w:t>
            </w:r>
          </w:p>
        </w:tc>
        <w:tc>
          <w:tcPr>
            <w:tcW w:w="1611" w:type="dxa"/>
            <w:gridSpan w:val="3"/>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2025</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2025</w:t>
            </w:r>
          </w:p>
        </w:tc>
        <w:tc>
          <w:tcPr>
            <w:tcW w:w="35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2024</w:t>
            </w:r>
          </w:p>
        </w:tc>
      </w:tr>
      <w:tr>
        <w:trPr/>
        <w:tc>
          <w:tcPr>
            <w:tcW w:w="2429"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Mutual funds</w:t>
            </w:r>
          </w:p>
        </w:tc>
        <w:tc>
          <w:tcPr>
            <w:tcW w:w="226"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76"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975,058</w:t>
            </w:r>
            <w:r>
              <w:rPr>
                <w:color w:val="000000"/>
              </w:rPr>
              <w:t> </w:t>
            </w:r>
          </w:p>
        </w:tc>
        <w:tc>
          <w:tcPr>
            <w:tcW w:w="109" w:type="dxa"/>
            <w:tcBorders>
              <w:top w:val="single" w:sz="4"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4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952,431 </w:t>
            </w:r>
          </w:p>
        </w:tc>
        <w:tc>
          <w:tcPr>
            <w:tcW w:w="109" w:type="dxa"/>
            <w:tcBorders>
              <w:top w:val="single" w:sz="4"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406"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940,991</w:t>
            </w:r>
            <w:r>
              <w:rPr>
                <w:color w:val="000000"/>
              </w:rPr>
              <w:t> </w:t>
            </w:r>
          </w:p>
        </w:tc>
        <w:tc>
          <w:tcPr>
            <w:tcW w:w="119" w:type="dxa"/>
            <w:tcBorders>
              <w:top w:val="single" w:sz="4"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74"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924,820 </w:t>
            </w:r>
          </w:p>
        </w:tc>
        <w:tc>
          <w:tcPr>
            <w:tcW w:w="176" w:type="dxa"/>
            <w:tcBorders>
              <w:top w:val="single" w:sz="4"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Leidos Holdings, Inc. common stock</w:t>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904,135</w:t>
            </w:r>
            <w:r>
              <w:rPr>
                <w:color w:val="000000"/>
              </w:rPr>
              <w:t> </w:t>
            </w:r>
          </w:p>
        </w:tc>
        <w:tc>
          <w:tcPr>
            <w:tcW w:w="10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838,435 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904,135</w:t>
            </w:r>
            <w:r>
              <w:rPr>
                <w:color w:val="000000"/>
              </w:rPr>
              <w:t> </w:t>
            </w:r>
          </w:p>
        </w:tc>
        <w:tc>
          <w:tcPr>
            <w:tcW w:w="11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838,435 </w:t>
            </w:r>
          </w:p>
        </w:tc>
        <w:tc>
          <w:tcPr>
            <w:tcW w:w="1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Collective trusts</w:t>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9,235,568</w:t>
            </w:r>
            <w:r>
              <w:rPr>
                <w:color w:val="000000"/>
              </w:rPr>
              <w:t> </w:t>
            </w:r>
          </w:p>
        </w:tc>
        <w:tc>
          <w:tcPr>
            <w:tcW w:w="10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9,099,674 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8,518,573</w:t>
            </w:r>
            <w:r>
              <w:rPr>
                <w:color w:val="000000"/>
              </w:rPr>
              <w:t> </w:t>
            </w:r>
          </w:p>
        </w:tc>
        <w:tc>
          <w:tcPr>
            <w:tcW w:w="11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8,461,450 </w:t>
            </w:r>
          </w:p>
        </w:tc>
        <w:tc>
          <w:tcPr>
            <w:tcW w:w="1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Self-directed brokerage fund</w:t>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199,493</w:t>
            </w:r>
            <w:r>
              <w:rPr>
                <w:color w:val="000000"/>
              </w:rPr>
              <w:t> </w:t>
            </w:r>
          </w:p>
        </w:tc>
        <w:tc>
          <w:tcPr>
            <w:tcW w:w="10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162,497 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191,610</w:t>
            </w:r>
            <w:r>
              <w:rPr>
                <w:color w:val="000000"/>
              </w:rPr>
              <w:t> </w:t>
            </w:r>
          </w:p>
        </w:tc>
        <w:tc>
          <w:tcPr>
            <w:tcW w:w="11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157,707 </w:t>
            </w:r>
          </w:p>
        </w:tc>
        <w:tc>
          <w:tcPr>
            <w:tcW w:w="1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Separately managed account</w:t>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753,524</w:t>
            </w:r>
            <w:r>
              <w:rPr>
                <w:color w:val="000000"/>
              </w:rPr>
              <w:t> </w:t>
            </w:r>
          </w:p>
        </w:tc>
        <w:tc>
          <w:tcPr>
            <w:tcW w:w="10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767,754 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712,596</w:t>
            </w:r>
            <w:r>
              <w:rPr>
                <w:color w:val="000000"/>
              </w:rPr>
              <w:t> </w:t>
            </w:r>
          </w:p>
        </w:tc>
        <w:tc>
          <w:tcPr>
            <w:tcW w:w="11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731,017 </w:t>
            </w:r>
          </w:p>
        </w:tc>
        <w:tc>
          <w:tcPr>
            <w:tcW w:w="1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venir LT Pro 35 Light;sans-serif" w:hAnsi="Avenir LT Pro 35 Light;sans-serif"/>
                <w:b w:val="false"/>
                <w:color w:val="000000"/>
                <w:sz w:val="18"/>
              </w:rPr>
              <w:t>Total investments at fair value</w:t>
            </w:r>
          </w:p>
        </w:tc>
        <w:tc>
          <w:tcPr>
            <w:tcW w:w="1502" w:type="dxa"/>
            <w:gridSpan w:val="2"/>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12,067,778</w:t>
            </w:r>
            <w:r>
              <w:rPr>
                <w:color w:val="000000"/>
              </w:rPr>
              <w:t> </w:t>
            </w:r>
          </w:p>
        </w:tc>
        <w:tc>
          <w:tcPr>
            <w:tcW w:w="109" w:type="dxa"/>
            <w:tcBorders>
              <w:top w:val="single" w:sz="8"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11,820,791 </w:t>
            </w:r>
          </w:p>
        </w:tc>
        <w:tc>
          <w:tcPr>
            <w:tcW w:w="109" w:type="dxa"/>
            <w:tcBorders>
              <w:top w:val="single" w:sz="8"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11,267,905</w:t>
            </w:r>
            <w:r>
              <w:rPr>
                <w:color w:val="000000"/>
              </w:rPr>
              <w:t> </w:t>
            </w:r>
          </w:p>
        </w:tc>
        <w:tc>
          <w:tcPr>
            <w:tcW w:w="119" w:type="dxa"/>
            <w:tcBorders>
              <w:top w:val="single" w:sz="8"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8"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11,113,429 </w:t>
            </w:r>
          </w:p>
        </w:tc>
        <w:tc>
          <w:tcPr>
            <w:tcW w:w="176" w:type="dxa"/>
            <w:tcBorders>
              <w:top w:val="single" w:sz="8"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Stable value fund at contract value</w:t>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563,580</w:t>
            </w:r>
            <w:r>
              <w:rPr>
                <w:color w:val="000000"/>
              </w:rPr>
              <w:t> </w:t>
            </w:r>
          </w:p>
        </w:tc>
        <w:tc>
          <w:tcPr>
            <w:tcW w:w="10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650,764 </w:t>
            </w:r>
          </w:p>
        </w:tc>
        <w:tc>
          <w:tcPr>
            <w:tcW w:w="109"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517,826</w:t>
            </w:r>
            <w:r>
              <w:rPr>
                <w:color w:val="000000"/>
              </w:rPr>
              <w:t> </w:t>
            </w:r>
          </w:p>
        </w:tc>
        <w:tc>
          <w:tcPr>
            <w:tcW w:w="11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600,404 </w:t>
            </w:r>
          </w:p>
        </w:tc>
        <w:tc>
          <w:tcPr>
            <w:tcW w:w="176"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2B2B2"/>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Avenir LT Pro 35 Light;sans-serif" w:hAnsi="Avenir LT Pro 35 Light;sans-serif"/>
                <w:b w:val="false"/>
                <w:color w:val="000000"/>
                <w:sz w:val="18"/>
              </w:rPr>
              <w:t>Total investments</w:t>
            </w:r>
          </w:p>
        </w:tc>
        <w:tc>
          <w:tcPr>
            <w:tcW w:w="226"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76"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12,631,358</w:t>
            </w:r>
            <w:r>
              <w:rPr>
                <w:color w:val="000000"/>
              </w:rPr>
              <w:t> </w:t>
            </w:r>
          </w:p>
        </w:tc>
        <w:tc>
          <w:tcPr>
            <w:tcW w:w="109"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46"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12,471,555 </w:t>
            </w:r>
          </w:p>
        </w:tc>
        <w:tc>
          <w:tcPr>
            <w:tcW w:w="109"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406"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11,785,731</w:t>
            </w:r>
            <w:r>
              <w:rPr>
                <w:color w:val="000000"/>
              </w:rPr>
              <w:t> </w:t>
            </w:r>
          </w:p>
        </w:tc>
        <w:tc>
          <w:tcPr>
            <w:tcW w:w="119"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374"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11,713,833 </w:t>
            </w:r>
          </w:p>
        </w:tc>
        <w:tc>
          <w:tcPr>
            <w:tcW w:w="176"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44855"/>
                <wp:effectExtent l="0" t="0" r="0" b="0"/>
                <wp:wrapNone/>
                <wp:docPr id="10" name="Frame10"/>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366" w:type="dxa"/>
                              <w:jc w:val="left"/>
                              <w:tblInd w:w="0" w:type="dxa"/>
                              <w:tblLayout w:type="fixed"/>
                              <w:tblCellMar>
                                <w:top w:w="28" w:type="dxa"/>
                                <w:left w:w="28" w:type="dxa"/>
                                <w:bottom w:w="28" w:type="dxa"/>
                                <w:right w:w="28" w:type="dxa"/>
                              </w:tblCellMar>
                            </w:tblPr>
                            <w:tblGrid>
                              <w:gridCol w:w="124"/>
                              <w:gridCol w:w="109"/>
                              <w:gridCol w:w="109"/>
                              <w:gridCol w:w="592"/>
                              <w:gridCol w:w="592"/>
                              <w:gridCol w:w="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8</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366" w:type="dxa"/>
                        <w:jc w:val="left"/>
                        <w:tblInd w:w="0" w:type="dxa"/>
                        <w:tblLayout w:type="fixed"/>
                        <w:tblCellMar>
                          <w:top w:w="28" w:type="dxa"/>
                          <w:left w:w="28" w:type="dxa"/>
                          <w:bottom w:w="28" w:type="dxa"/>
                          <w:right w:w="28" w:type="dxa"/>
                        </w:tblCellMar>
                      </w:tblPr>
                      <w:tblGrid>
                        <w:gridCol w:w="124"/>
                        <w:gridCol w:w="109"/>
                        <w:gridCol w:w="109"/>
                        <w:gridCol w:w="592"/>
                        <w:gridCol w:w="592"/>
                        <w:gridCol w:w="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8</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INC. RETIREMENT PLAN</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NOTES TO FINANCIAL STATEMENTS</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DECEMBER 31, 2025 AND 2024</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following table represents the changes in net assets in the Master Trust for the year ended December 31, 2025:</w:t>
      </w:r>
    </w:p>
    <w:tbl>
      <w:tblPr>
        <w:tblW w:w="6325" w:type="dxa"/>
        <w:jc w:val="left"/>
        <w:tblInd w:w="0" w:type="dxa"/>
        <w:tblLayout w:type="fixed"/>
        <w:tblCellMar>
          <w:top w:w="28" w:type="dxa"/>
          <w:left w:w="28" w:type="dxa"/>
          <w:bottom w:w="28" w:type="dxa"/>
          <w:right w:w="28" w:type="dxa"/>
        </w:tblCellMar>
      </w:tblPr>
      <w:tblGrid>
        <w:gridCol w:w="1493"/>
        <w:gridCol w:w="1313"/>
        <w:gridCol w:w="1318"/>
        <w:gridCol w:w="109"/>
        <w:gridCol w:w="109"/>
        <w:gridCol w:w="109"/>
        <w:gridCol w:w="226"/>
        <w:gridCol w:w="1276"/>
        <w:gridCol w:w="109"/>
        <w:gridCol w:w="109"/>
        <w:gridCol w:w="154"/>
      </w:tblGrid>
      <w:tr>
        <w:trPr/>
        <w:tc>
          <w:tcPr>
            <w:tcW w:w="149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4E8F3"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appreciation in fair value of investments</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76"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1,735,906</w:t>
            </w:r>
            <w:r>
              <w:rPr>
                <w:color w:val="000000"/>
              </w:rPr>
              <w:t> </w:t>
            </w:r>
          </w:p>
        </w:tc>
        <w:tc>
          <w:tcPr>
            <w:tcW w:w="109" w:type="dxa"/>
            <w:tcBorders>
              <w:top w:val="single" w:sz="4"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Interest and dividend income</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101,162</w:t>
            </w:r>
            <w:r>
              <w:rPr>
                <w:color w:val="000000"/>
              </w:rPr>
              <w:t> </w:t>
            </w:r>
          </w:p>
        </w:tc>
        <w:tc>
          <w:tcPr>
            <w:tcW w:w="10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venir LT Pro 35 Light;sans-serif" w:hAnsi="Avenir LT Pro 35 Light;sans-serif"/>
                <w:b w:val="false"/>
                <w:color w:val="000000"/>
                <w:sz w:val="18"/>
              </w:rPr>
              <w:t xml:space="preserve">Total investment income </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1,837,068</w:t>
            </w:r>
            <w:r>
              <w:rPr>
                <w:color w:val="000000"/>
              </w:rPr>
              <w:t> </w:t>
            </w:r>
          </w:p>
        </w:tc>
        <w:tc>
          <w:tcPr>
            <w:tcW w:w="109" w:type="dxa"/>
            <w:tcBorders>
              <w:top w:val="single" w:sz="8"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transfers out of Master Trust</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(1,677,265)</w:t>
            </w:r>
          </w:p>
        </w:tc>
        <w:tc>
          <w:tcPr>
            <w:tcW w:w="10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Master Trust net assets:</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venir LT Pro 35 Light;sans-serif" w:hAnsi="Avenir LT Pro 35 Light;sans-serif"/>
                <w:b w:val="false"/>
                <w:color w:val="000000"/>
                <w:sz w:val="18"/>
              </w:rPr>
              <w:t>Beginning</w:t>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12,471,555</w:t>
            </w:r>
            <w:r>
              <w:rPr>
                <w:color w:val="000000"/>
              </w:rPr>
              <w:t> </w:t>
            </w:r>
          </w:p>
        </w:tc>
        <w:tc>
          <w:tcPr>
            <w:tcW w:w="10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B2B2B2"/>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Avenir LT Pro 35 Light;sans-serif" w:hAnsi="Avenir LT Pro 35 Light;sans-serif"/>
                <w:b w:val="false"/>
                <w:color w:val="000000"/>
                <w:sz w:val="18"/>
              </w:rPr>
              <w:t>Ending</w:t>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76"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12,631,358</w:t>
            </w:r>
            <w:r>
              <w:rPr>
                <w:color w:val="000000"/>
              </w:rPr>
              <w:t> </w:t>
            </w:r>
          </w:p>
        </w:tc>
        <w:tc>
          <w:tcPr>
            <w:tcW w:w="109"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Avenir LT Pro 45 Book;sans-serif" w:hAnsi="Avenir LT Pro 45 Book;sans-serif"/>
          <w:b w:val="false"/>
          <w:color w:val="010202"/>
          <w:sz w:val="18"/>
        </w:rPr>
        <w:t xml:space="preserve">During 2025, the Plan received an allocation of </w:t>
      </w:r>
      <w:r>
        <w:rPr>
          <w:rFonts w:ascii="Avenir LT Pro 45 Book;sans-serif" w:hAnsi="Avenir LT Pro 45 Book;sans-serif"/>
          <w:b w:val="false"/>
          <w:color w:val="000000"/>
          <w:sz w:val="18"/>
        </w:rPr>
        <w:t>94%</w:t>
      </w:r>
      <w:r>
        <w:rPr>
          <w:color w:val="010202"/>
        </w:rPr>
        <w:t xml:space="preserve"> </w:t>
      </w:r>
      <w:r>
        <w:rPr>
          <w:rFonts w:ascii="Avenir LT Pro 45 Book;sans-serif" w:hAnsi="Avenir LT Pro 45 Book;sans-serif"/>
          <w:b w:val="false"/>
          <w:color w:val="010202"/>
          <w:sz w:val="18"/>
        </w:rPr>
        <w:t>on the net investment income in the Master Trust. Investment income is allocated to each plan based on the plan’s specific interest attributed to the underlying assets of the Master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5–Fully Benefit-Responsive Investment Contracts</w:t>
      </w:r>
    </w:p>
    <w:p>
      <w:pPr>
        <w:pStyle w:val="TextBody"/>
        <w:bidi w:val="0"/>
        <w:spacing w:lineRule="auto" w:line="312" w:before="120" w:after="120"/>
        <w:jc w:val="left"/>
        <w:rPr/>
      </w:pPr>
      <w:r>
        <w:rPr>
          <w:rFonts w:ascii="Avenir LT Pro 45 Book;sans-serif" w:hAnsi="Avenir LT Pro 45 Book;sans-serif"/>
          <w:b w:val="false"/>
          <w:color w:val="010202"/>
          <w:sz w:val="18"/>
        </w:rPr>
        <w:t>The Master Trust invests in a stable value fund which holds traditional and synthetic guaranteed investment contracts ("GICs") that are reported at contract value. Managed separate account GICs are investment contracts invested in insurance company separate accounts, established for the sole benefit of the stable value fund participants. Investment contracts accrue interest based on credit rates established by contract issuers. The synthetic GICs simulate the performance of guaranteed investment contracts through an issuer’s guarant</w:t>
      </w:r>
      <w:r>
        <w:rPr>
          <w:rFonts w:ascii="Avenir LT Pro 45 Book;sans-serif" w:hAnsi="Avenir LT Pro 45 Book;sans-serif"/>
          <w:b w:val="false"/>
          <w:color w:val="000000"/>
          <w:sz w:val="18"/>
        </w:rPr>
        <w:t xml:space="preserve">ee of a specific interest rate (the wrapper contract) and a portfolio of financial instruments which include intermediate bond funds and money market funds. </w:t>
      </w:r>
      <w:r>
        <w:rPr>
          <w:rFonts w:ascii="Avenir LT Pro 45 Book;sans-serif" w:hAnsi="Avenir LT Pro 45 Book;sans-serif"/>
          <w:b w:val="false"/>
          <w:color w:val="010202"/>
          <w:sz w:val="18"/>
        </w:rPr>
        <w:t xml:space="preserve">Contract value is the relevant measurement attributable to a GIC because it is the amount participants would receive if they were to initiate permitted transactions under the terms of the plan. </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Certain events can limit the ability of the Plan to transact at contract value. Such events include, but are not limited to, complete or partial termination of the Plan or merger with another plan, divestitures of a subsidiary that cause a significant withdrawal from the Plan, or failure of the Plan or Master Trust to qualify for exemption from federal income taxes or any required prohibited transaction exemption under ERISA.</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Investment contracts generally impose conditions on the Plan. If an event of default occurs and is not cured, the issuer may terminate the contract. These events may include a breach of material obligation under the contract or a material amendment to the Plan agreement that is not approved and accepted by the issuer. These events may limit the ability of the plan to transact at contract value. Plan management believes that the occurrence of an event that would cause the Master Trust to transact at less than contract value is not probable.</w:t>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were investment contracts held by the Master Trust:</w:t>
      </w:r>
    </w:p>
    <w:tbl>
      <w:tblPr>
        <w:tblW w:w="6366"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26"/>
        <w:gridCol w:w="961"/>
        <w:gridCol w:w="109"/>
        <w:gridCol w:w="109"/>
        <w:gridCol w:w="109"/>
        <w:gridCol w:w="109"/>
        <w:gridCol w:w="226"/>
        <w:gridCol w:w="94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4E8F3"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2024</w:t>
            </w:r>
          </w:p>
        </w:tc>
      </w:tr>
      <w:tr>
        <w:trPr/>
        <w:tc>
          <w:tcPr>
            <w:tcW w:w="3090"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Traditional Investment Contracts</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961"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17,013</w:t>
            </w:r>
            <w:r>
              <w:rPr>
                <w:color w:val="000000"/>
              </w:rPr>
              <w:t> </w:t>
            </w:r>
          </w:p>
        </w:tc>
        <w:tc>
          <w:tcPr>
            <w:tcW w:w="109" w:type="dxa"/>
            <w:tcBorders>
              <w:top w:val="single" w:sz="4"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4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31,964 </w:t>
            </w:r>
          </w:p>
        </w:tc>
        <w:tc>
          <w:tcPr>
            <w:tcW w:w="154" w:type="dxa"/>
            <w:tcBorders>
              <w:top w:val="single" w:sz="4"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Synthetic GICs</w:t>
            </w:r>
          </w:p>
        </w:tc>
        <w:tc>
          <w:tcPr>
            <w:tcW w:w="327" w:type="dxa"/>
            <w:gridSpan w:val="3"/>
            <w:tcBorders>
              <w:top w:val="single" w:sz="4" w:space="0" w:color="B2B2B2"/>
              <w:bottom w:val="single" w:sz="4" w:space="0" w:color="B2B2B2"/>
            </w:tcBorders>
            <w:tcMar>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546,567</w:t>
            </w:r>
            <w:r>
              <w:rPr>
                <w:color w:val="000000"/>
              </w:rPr>
              <w:t> </w:t>
            </w:r>
          </w:p>
        </w:tc>
        <w:tc>
          <w:tcPr>
            <w:tcW w:w="10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618,800 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6"/>
            <w:tcBorders>
              <w:top w:val="single" w:sz="4" w:space="0" w:color="B2B2B2"/>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Total</w:t>
            </w:r>
          </w:p>
        </w:tc>
        <w:tc>
          <w:tcPr>
            <w:tcW w:w="226"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961"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563,580</w:t>
            </w:r>
            <w:r>
              <w:rPr>
                <w:color w:val="000000"/>
              </w:rPr>
              <w:t> </w:t>
            </w:r>
          </w:p>
        </w:tc>
        <w:tc>
          <w:tcPr>
            <w:tcW w:w="109"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46"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650,764 </w:t>
            </w:r>
          </w:p>
        </w:tc>
        <w:tc>
          <w:tcPr>
            <w:tcW w:w="154"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40410"/>
                <wp:effectExtent l="0" t="0" r="0" b="0"/>
                <wp:wrapNone/>
                <wp:docPr id="11" name="Frame1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471" w:type="dxa"/>
                              <w:jc w:val="left"/>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471" w:type="dxa"/>
                        <w:jc w:val="left"/>
                        <w:tblInd w:w="0" w:type="dxa"/>
                        <w:tblLayout w:type="fixed"/>
                        <w:tblCellMar>
                          <w:top w:w="28" w:type="dxa"/>
                          <w:left w:w="28" w:type="dxa"/>
                          <w:bottom w:w="28" w:type="dxa"/>
                          <w:right w:w="28" w:type="dxa"/>
                        </w:tblCellMar>
                      </w:tblPr>
                      <w:tblGrid>
                        <w:gridCol w:w="761"/>
                        <w:gridCol w:w="668"/>
                        <w:gridCol w:w="670"/>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INC. RETIREMENT PLAN</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NOTES TO FINANCIAL STATEMENTS</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DECEMBER 31, 2025 AND 2024</w:t>
      </w: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6–Reconciliation of Financial Statements to Form 5500</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following is a reconciliation of net assets available for benefits as reported in the financial statements to net assets per Schedule H on Form 5500:</w:t>
      </w:r>
    </w:p>
    <w:tbl>
      <w:tblPr>
        <w:tblW w:w="9772" w:type="dxa"/>
        <w:jc w:val="left"/>
        <w:tblInd w:w="0" w:type="dxa"/>
        <w:tblLayout w:type="fixed"/>
        <w:tblCellMar>
          <w:top w:w="28" w:type="dxa"/>
          <w:left w:w="28" w:type="dxa"/>
          <w:bottom w:w="28" w:type="dxa"/>
          <w:right w:w="28" w:type="dxa"/>
        </w:tblCellMar>
      </w:tblPr>
      <w:tblGrid>
        <w:gridCol w:w="1832"/>
        <w:gridCol w:w="1610"/>
        <w:gridCol w:w="1617"/>
        <w:gridCol w:w="383"/>
        <w:gridCol w:w="383"/>
        <w:gridCol w:w="383"/>
        <w:gridCol w:w="226"/>
        <w:gridCol w:w="1276"/>
        <w:gridCol w:w="109"/>
        <w:gridCol w:w="109"/>
        <w:gridCol w:w="109"/>
        <w:gridCol w:w="109"/>
        <w:gridCol w:w="226"/>
        <w:gridCol w:w="1246"/>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thousands)</w:t>
            </w:r>
          </w:p>
        </w:tc>
        <w:tc>
          <w:tcPr>
            <w:tcW w:w="1149"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4E8F3"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2024</w:t>
            </w:r>
          </w:p>
        </w:tc>
      </w:tr>
      <w:tr>
        <w:trPr/>
        <w:tc>
          <w:tcPr>
            <w:tcW w:w="6208" w:type="dxa"/>
            <w:gridSpan w:val="6"/>
            <w:tcBorders>
              <w:top w:val="single" w:sz="4" w:space="0" w:color="901588"/>
              <w:bottom w:val="single" w:sz="4" w:space="0" w:color="B2B2B2"/>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assets available for benefits as reported in financial statements</w:t>
            </w:r>
          </w:p>
        </w:tc>
        <w:tc>
          <w:tcPr>
            <w:tcW w:w="226"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76"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11,943,567</w:t>
            </w:r>
            <w:r>
              <w:rPr>
                <w:color w:val="000000"/>
              </w:rPr>
              <w:t> </w:t>
            </w:r>
          </w:p>
        </w:tc>
        <w:tc>
          <w:tcPr>
            <w:tcW w:w="109" w:type="dxa"/>
            <w:tcBorders>
              <w:top w:val="single" w:sz="4"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46" w:type="dxa"/>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11,792,391 </w:t>
            </w:r>
          </w:p>
        </w:tc>
        <w:tc>
          <w:tcPr>
            <w:tcW w:w="154" w:type="dxa"/>
            <w:tcBorders>
              <w:top w:val="single" w:sz="4"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6"/>
            <w:tcBorders>
              <w:top w:val="single" w:sz="4" w:space="0" w:color="B2B2B2"/>
              <w:bottom w:val="single" w:sz="4" w:space="0" w:color="B2B2B2"/>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Adjustment for assets related to plan merger not yet transferred</w:t>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(72,562)</w:t>
            </w:r>
          </w:p>
        </w:tc>
        <w:tc>
          <w:tcPr>
            <w:tcW w:w="10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6"/>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Participant loans deemed distributed</w:t>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(7,467)</w:t>
            </w:r>
          </w:p>
        </w:tc>
        <w:tc>
          <w:tcPr>
            <w:tcW w:w="10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(1,638)</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Deemed loans repaid</w:t>
            </w:r>
          </w:p>
        </w:tc>
        <w:tc>
          <w:tcPr>
            <w:tcW w:w="1149" w:type="dxa"/>
            <w:gridSpan w:val="3"/>
            <w:tcBorders>
              <w:top w:val="single" w:sz="4" w:space="0" w:color="B2B2B2"/>
              <w:bottom w:val="single" w:sz="4" w:space="0" w:color="B2B2B2"/>
            </w:tcBorders>
            <w:tcMar>
              <w:left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14</w:t>
            </w:r>
            <w:r>
              <w:rPr>
                <w:color w:val="000000"/>
              </w:rPr>
              <w:t> </w:t>
            </w:r>
          </w:p>
        </w:tc>
        <w:tc>
          <w:tcPr>
            <w:tcW w:w="109"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190 </w:t>
            </w:r>
          </w:p>
        </w:tc>
        <w:tc>
          <w:tcPr>
            <w:tcW w:w="154" w:type="dxa"/>
            <w:tcBorders>
              <w:top w:val="single" w:sz="4" w:space="0" w:color="B2B2B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6"/>
            <w:tcBorders>
              <w:top w:val="single" w:sz="4" w:space="0" w:color="B2B2B2"/>
              <w:bottom w:val="single" w:sz="4" w:space="0" w:color="901588"/>
            </w:tcBorders>
            <w:tcMar>
              <w:top w:w="3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assets reported on Schedule H on Form 5500</w:t>
            </w:r>
          </w:p>
        </w:tc>
        <w:tc>
          <w:tcPr>
            <w:tcW w:w="226"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1276"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11,863,552</w:t>
            </w:r>
            <w:r>
              <w:rPr>
                <w:color w:val="000000"/>
              </w:rPr>
              <w:t> </w:t>
            </w:r>
          </w:p>
        </w:tc>
        <w:tc>
          <w:tcPr>
            <w:tcW w:w="109"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2B2B2"/>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1246"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11,790,943 </w:t>
            </w:r>
          </w:p>
        </w:tc>
        <w:tc>
          <w:tcPr>
            <w:tcW w:w="154" w:type="dxa"/>
            <w:tcBorders>
              <w:top w:val="single" w:sz="8" w:space="0" w:color="901588"/>
              <w:bottom w:val="double" w:sz="8" w:space="0" w:color="90158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following is a reconciliation of changes in net assets available for benefits as reported in the financial statements to net income per Schedule H on Form 5500:</w:t>
      </w:r>
    </w:p>
    <w:tbl>
      <w:tblPr>
        <w:tblW w:w="9305" w:type="dxa"/>
        <w:jc w:val="left"/>
        <w:tblInd w:w="0" w:type="dxa"/>
        <w:tblLayout w:type="fixed"/>
        <w:tblCellMar>
          <w:top w:w="28" w:type="dxa"/>
          <w:left w:w="28" w:type="dxa"/>
          <w:bottom w:w="28" w:type="dxa"/>
          <w:right w:w="28" w:type="dxa"/>
        </w:tblCellMar>
      </w:tblPr>
      <w:tblGrid>
        <w:gridCol w:w="2438"/>
        <w:gridCol w:w="2143"/>
        <w:gridCol w:w="2153"/>
        <w:gridCol w:w="410"/>
        <w:gridCol w:w="410"/>
        <w:gridCol w:w="410"/>
        <w:gridCol w:w="226"/>
        <w:gridCol w:w="961"/>
        <w:gridCol w:w="154"/>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bottom w:val="single" w:sz="4" w:space="0" w:color="901588"/>
            </w:tcBorders>
            <w:tcMar>
              <w:top w:w="0" w:type="dxa"/>
              <w:left w:w="0" w:type="dxa"/>
              <w:bottom w:w="30" w:type="dxa"/>
              <w:right w:w="0" w:type="dxa"/>
            </w:tcMar>
            <w:vAlign w:val="center"/>
          </w:tcPr>
          <w:p>
            <w:pPr>
              <w:pStyle w:val="TableContents"/>
              <w:bidi w:val="0"/>
              <w:spacing w:lineRule="auto" w:line="288" w:before="0" w:after="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 thousands)</w:t>
            </w:r>
          </w:p>
        </w:tc>
        <w:tc>
          <w:tcPr>
            <w:tcW w:w="1230"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4E8F3" w:val="clear"/>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2025</w:t>
            </w:r>
          </w:p>
        </w:tc>
      </w:tr>
      <w:tr>
        <w:trPr/>
        <w:tc>
          <w:tcPr>
            <w:tcW w:w="796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Increase in net assets available for benefits per the financial statements</w:t>
            </w:r>
          </w:p>
        </w:tc>
        <w:tc>
          <w:tcPr>
            <w:tcW w:w="226"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961" w:type="dxa"/>
            <w:tcBorders>
              <w:top w:val="single" w:sz="4" w:space="0" w:color="901588"/>
            </w:tcBorders>
            <w:shd w:fill="F4E8F3" w:val="clear"/>
            <w:tcMar>
              <w:top w:w="30" w:type="dxa"/>
              <w:left w:w="0" w:type="dxa"/>
              <w:bottom w:w="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151,176</w:t>
            </w:r>
            <w:r>
              <w:rPr>
                <w:color w:val="000000"/>
              </w:rPr>
              <w:t> </w:t>
            </w:r>
          </w:p>
        </w:tc>
        <w:tc>
          <w:tcPr>
            <w:tcW w:w="154" w:type="dxa"/>
            <w:tcBorders>
              <w:top w:val="single" w:sz="4" w:space="0" w:color="901588"/>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Adjustment for change in plan merger assets not transferred at year end</w:t>
            </w:r>
          </w:p>
        </w:tc>
        <w:tc>
          <w:tcPr>
            <w:tcW w:w="123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(72,562)</w:t>
            </w:r>
          </w:p>
        </w:tc>
        <w:tc>
          <w:tcPr>
            <w:tcW w:w="154"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change in participant loans deemed distributed</w:t>
            </w:r>
          </w:p>
        </w:tc>
        <w:tc>
          <w:tcPr>
            <w:tcW w:w="1230" w:type="dxa"/>
            <w:gridSpan w:val="3"/>
            <w:tcBorders>
              <w:top w:val="single" w:sz="4" w:space="0" w:color="B2B2B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(5,829)</w:t>
            </w:r>
          </w:p>
        </w:tc>
        <w:tc>
          <w:tcPr>
            <w:tcW w:w="154"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change in deemed loans repaid</w:t>
            </w:r>
          </w:p>
        </w:tc>
        <w:tc>
          <w:tcPr>
            <w:tcW w:w="1230" w:type="dxa"/>
            <w:gridSpan w:val="3"/>
            <w:tcBorders>
              <w:top w:val="single" w:sz="4" w:space="0" w:color="B2B2B2"/>
              <w:bottom w:val="single" w:sz="4" w:space="0" w:color="B2B2B2"/>
            </w:tcBorders>
            <w:tcMar>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2B2B2"/>
            </w:tcBorders>
            <w:shd w:fill="F4E8F3" w:val="clear"/>
            <w:tcMar>
              <w:top w:w="3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000000"/>
                <w:sz w:val="18"/>
              </w:rPr>
            </w:pPr>
            <w:r>
              <w:rPr>
                <w:rFonts w:ascii="Avenir LT Pro 95 Black;sans-serif" w:hAnsi="Avenir LT Pro 95 Black;sans-serif"/>
                <w:b/>
                <w:color w:val="000000"/>
                <w:sz w:val="18"/>
              </w:rPr>
              <w:t>(176)</w:t>
            </w:r>
          </w:p>
        </w:tc>
        <w:tc>
          <w:tcPr>
            <w:tcW w:w="154" w:type="dxa"/>
            <w:tcBorders>
              <w:top w:val="single" w:sz="4" w:space="0" w:color="B2B2B2"/>
            </w:tcBorders>
            <w:shd w:fill="F4E8F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4" w:type="dxa"/>
            <w:gridSpan w:val="6"/>
            <w:tcBorders>
              <w:top w:val="single" w:sz="4" w:space="0" w:color="B2B2B2"/>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Net income per Schedule H on Form 5500</w:t>
            </w:r>
          </w:p>
        </w:tc>
        <w:tc>
          <w:tcPr>
            <w:tcW w:w="226"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w:t>
            </w:r>
          </w:p>
        </w:tc>
        <w:tc>
          <w:tcPr>
            <w:tcW w:w="961"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lineRule="auto" w:line="288" w:before="0" w:after="283"/>
              <w:jc w:val="right"/>
              <w:rPr/>
            </w:pPr>
            <w:r>
              <w:rPr>
                <w:rFonts w:ascii="Avenir LT Pro 95 Black;sans-serif" w:hAnsi="Avenir LT Pro 95 Black;sans-serif"/>
                <w:b/>
                <w:color w:val="000000"/>
                <w:sz w:val="18"/>
              </w:rPr>
              <w:t>72,609</w:t>
            </w:r>
            <w:r>
              <w:rPr>
                <w:color w:val="000000"/>
              </w:rPr>
              <w:t> </w:t>
            </w:r>
          </w:p>
        </w:tc>
        <w:tc>
          <w:tcPr>
            <w:tcW w:w="154" w:type="dxa"/>
            <w:tcBorders>
              <w:top w:val="single" w:sz="8" w:space="0" w:color="901588"/>
              <w:bottom w:val="double" w:sz="8" w:space="0" w:color="901588"/>
            </w:tcBorders>
            <w:shd w:fill="F4E8F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Avenir LT Pro 95 Black;sans-serif" w:hAnsi="Avenir LT Pro 95 Black;sans-serif"/>
          <w:b/>
          <w:color w:val="B15BAC"/>
          <w:sz w:val="22"/>
        </w:rPr>
      </w:pPr>
      <w:r>
        <w:rPr>
          <w:rFonts w:ascii="Avenir LT Pro 95 Black;sans-serif" w:hAnsi="Avenir LT Pro 95 Black;sans-serif"/>
          <w:b/>
          <w:color w:val="B15BAC"/>
          <w:sz w:val="22"/>
        </w:rPr>
        <w:t>Note 7–Risks and Uncertainties</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The Plan invests in various securities. Investment securities, in general, are exposed to various risks, such as interest rate risk, credit risk, and overall market volatility. The Plan attempts to limit these risks by authorizing and offering participants a broad range of investment options that are invested in high quality securities or are offered and administered by reputable and known investment companies. Due to the level of risk associated with investment securities, it is reasonably possible that changes in the values of certain investment securities will occur in the near term and that such change could materially affect the amounts reported in the statements of net assets available for benefits. The Plan's exposure to a concentration of risk is limited by the diversification of investments across multiple investment fund options. Additionally, the investments within each investment fund option are further diversified into varied financial instruments. See Note 2 –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44855"/>
                <wp:effectExtent l="0" t="0" r="0" b="0"/>
                <wp:wrapNone/>
                <wp:docPr id="12" name="Frame12"/>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385" w:type="dxa"/>
                              <w:jc w:val="left"/>
                              <w:tblInd w:w="0" w:type="dxa"/>
                              <w:tblLayout w:type="fixed"/>
                              <w:tblCellMar>
                                <w:top w:w="28" w:type="dxa"/>
                                <w:left w:w="28" w:type="dxa"/>
                                <w:bottom w:w="28" w:type="dxa"/>
                                <w:right w:w="28" w:type="dxa"/>
                              </w:tblCellMar>
                            </w:tblPr>
                            <w:tblGrid>
                              <w:gridCol w:w="130"/>
                              <w:gridCol w:w="115"/>
                              <w:gridCol w:w="116"/>
                              <w:gridCol w:w="592"/>
                              <w:gridCol w:w="592"/>
                              <w:gridCol w:w="8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10</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385" w:type="dxa"/>
                        <w:jc w:val="left"/>
                        <w:tblInd w:w="0" w:type="dxa"/>
                        <w:tblLayout w:type="fixed"/>
                        <w:tblCellMar>
                          <w:top w:w="28" w:type="dxa"/>
                          <w:left w:w="28" w:type="dxa"/>
                          <w:bottom w:w="28" w:type="dxa"/>
                          <w:right w:w="28" w:type="dxa"/>
                        </w:tblCellMar>
                      </w:tblPr>
                      <w:tblGrid>
                        <w:gridCol w:w="130"/>
                        <w:gridCol w:w="115"/>
                        <w:gridCol w:w="116"/>
                        <w:gridCol w:w="592"/>
                        <w:gridCol w:w="592"/>
                        <w:gridCol w:w="8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10</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left"/>
        <w:rPr>
          <w:rFonts w:ascii="Avenir LT Pro 95 Black;sans-serif" w:hAnsi="Avenir LT Pro 95 Black;sans-serif"/>
          <w:b/>
          <w:color w:val="901588"/>
          <w:sz w:val="20"/>
        </w:rPr>
      </w:pPr>
      <w:r>
        <w:rPr>
          <w:rFonts w:ascii="Avenir LT Pro 95 Black;sans-serif" w:hAnsi="Avenir LT Pro 95 Black;sans-serif"/>
          <w:b/>
          <w:color w:val="901588"/>
          <w:sz w:val="20"/>
        </w:rPr>
        <w:t>SUPPLEMENTAL SCHEDULE</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INC. RETIREMENT PLAN</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FORM 5500, SCHEDULE H, PART IV, LINE 4a—SCHEDULE OF DELINQUENT PARTICIPANT CONTRIBUTIONS YEAR ENDED DECEMBER 31, 2025 (in thousands)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217"/>
        <w:gridCol w:w="190"/>
        <w:gridCol w:w="194"/>
        <w:gridCol w:w="665"/>
        <w:gridCol w:w="843"/>
        <w:gridCol w:w="322"/>
        <w:gridCol w:w="109"/>
        <w:gridCol w:w="109"/>
        <w:gridCol w:w="109"/>
        <w:gridCol w:w="478"/>
        <w:gridCol w:w="859"/>
        <w:gridCol w:w="231"/>
        <w:gridCol w:w="111"/>
        <w:gridCol w:w="111"/>
        <w:gridCol w:w="111"/>
        <w:gridCol w:w="583"/>
        <w:gridCol w:w="739"/>
        <w:gridCol w:w="282"/>
        <w:gridCol w:w="111"/>
        <w:gridCol w:w="111"/>
        <w:gridCol w:w="111"/>
        <w:gridCol w:w="875"/>
        <w:gridCol w:w="586"/>
        <w:gridCol w:w="158"/>
        <w:gridCol w:w="109"/>
        <w:gridCol w:w="109"/>
        <w:gridCol w:w="109"/>
        <w:gridCol w:w="475"/>
        <w:gridCol w:w="853"/>
        <w:gridCol w:w="335"/>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4" w:space="0" w:color="901588"/>
            </w:tcBorders>
            <w:tcMar>
              <w:top w:w="0" w:type="dxa"/>
              <w:left w:w="0" w:type="dxa"/>
              <w:bottom w:w="3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8"/>
              </w:rPr>
            </w:pPr>
            <w:r>
              <w:rPr>
                <w:rFonts w:ascii="Avenir LT Pro 95 Black;sans-serif" w:hAnsi="Avenir LT Pro 95 Black;sans-serif"/>
                <w:b/>
                <w:color w:val="000000"/>
                <w:sz w:val="18"/>
              </w:rPr>
              <w:t>EIN: 95-3630868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8"/>
              </w:rPr>
            </w:pPr>
            <w:r>
              <w:rPr>
                <w:rFonts w:ascii="Avenir LT Pro 95 Black;sans-serif" w:hAnsi="Avenir LT Pro 95 Black;sans-serif"/>
                <w:b/>
                <w:color w:val="000000"/>
                <w:sz w:val="18"/>
              </w:rPr>
              <w:t>Plan #004</w:t>
            </w:r>
          </w:p>
        </w:tc>
      </w:tr>
      <w:tr>
        <w:trPr/>
        <w:tc>
          <w:tcPr>
            <w:tcW w:w="601" w:type="dxa"/>
            <w:gridSpan w:val="3"/>
            <w:vMerge w:val="restart"/>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Year</w:t>
            </w:r>
          </w:p>
        </w:tc>
        <w:tc>
          <w:tcPr>
            <w:tcW w:w="1830" w:type="dxa"/>
            <w:gridSpan w:val="3"/>
            <w:vMerge w:val="restart"/>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Participant Contributions Transferred Late to the Plan (Participant Loan Repayments are Included)</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Totals That Constitute Nonexempt Prohibited Transactions</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vMerge w:val="restart"/>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Total Fully Corrected Under Voluntary Fiduciary Correction Program (VFCP) and Prohibited Transition Exemption 2002-51</w:t>
            </w:r>
          </w:p>
        </w:tc>
      </w:tr>
      <w:tr>
        <w:trPr/>
        <w:tc>
          <w:tcPr>
            <w:tcW w:w="601" w:type="dxa"/>
            <w:gridSpan w:val="3"/>
            <w:vMerge w:val="continue"/>
            <w:tcBorders>
              <w:top w:val="single" w:sz="4" w:space="0" w:color="901588"/>
            </w:tcBorders>
            <w:tcMar>
              <w:top w:w="30" w:type="dxa"/>
              <w:left w:w="0" w:type="dxa"/>
              <w:bottom w:w="0" w:type="dxa"/>
              <w:right w:w="0" w:type="dxa"/>
            </w:tcMar>
            <w:vAlign w:val="center"/>
          </w:tcPr>
          <w:p>
            <w:pPr>
              <w:pStyle w:val="Normal"/>
              <w:bidi w:val="0"/>
              <w:jc w:val="left"/>
              <w:rPr/>
            </w:pPr>
            <w:r>
              <w:rPr/>
            </w:r>
          </w:p>
        </w:tc>
        <w:tc>
          <w:tcPr>
            <w:tcW w:w="1830" w:type="dxa"/>
            <w:gridSpan w:val="3"/>
            <w:vMerge w:val="continue"/>
            <w:tcBorders>
              <w:top w:val="single" w:sz="4" w:space="0" w:color="901588"/>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Contributions Not Corrected</w:t>
            </w:r>
          </w:p>
        </w:tc>
        <w:tc>
          <w:tcPr>
            <w:tcW w:w="333"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Contributions Corrected Outside VFCP</w:t>
            </w:r>
          </w:p>
        </w:tc>
        <w:tc>
          <w:tcPr>
            <w:tcW w:w="333"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Contributions Pending Correction in VFCP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vMerge w:val="continue"/>
            <w:tcBorders>
              <w:top w:val="single" w:sz="4" w:space="0" w:color="901588"/>
            </w:tcBorders>
            <w:tcMar>
              <w:top w:w="30" w:type="dxa"/>
              <w:left w:w="0" w:type="dxa"/>
              <w:bottom w:w="0" w:type="dxa"/>
              <w:right w:w="0" w:type="dxa"/>
            </w:tcMar>
            <w:vAlign w:val="center"/>
          </w:tcPr>
          <w:p>
            <w:pPr>
              <w:pStyle w:val="Normal"/>
              <w:bidi w:val="0"/>
              <w:jc w:val="left"/>
              <w:rPr/>
            </w:pPr>
            <w:r>
              <w:rPr/>
            </w:r>
          </w:p>
        </w:tc>
      </w:tr>
      <w:tr>
        <w:trPr/>
        <w:tc>
          <w:tcPr>
            <w:tcW w:w="601" w:type="dxa"/>
            <w:gridSpan w:val="3"/>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2024</w:t>
            </w:r>
          </w:p>
        </w:tc>
        <w:tc>
          <w:tcPr>
            <w:tcW w:w="665"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43"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322"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59"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901588"/>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739"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1 </w:t>
            </w:r>
          </w:p>
        </w:tc>
        <w:tc>
          <w:tcPr>
            <w:tcW w:w="282"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901588"/>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875"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586"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01588"/>
              <w:bottom w:val="single" w:sz="4" w:space="0" w:color="901588"/>
            </w:tcBorders>
            <w:tcMar>
              <w:left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853"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top w:val="single" w:sz="4" w:space="0" w:color="901588"/>
              <w:bottom w:val="single" w:sz="4" w:space="0" w:color="90158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80"/>
        <w:jc w:val="left"/>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40410"/>
                <wp:effectExtent l="0" t="0" r="0" b="0"/>
                <wp:wrapNone/>
                <wp:docPr id="13" name="Frame1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490" w:type="dxa"/>
                              <w:jc w:val="left"/>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left"/>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left"/>
        <w:rPr>
          <w:rFonts w:ascii="Avenir LT Pro 95 Black;sans-serif" w:hAnsi="Avenir LT Pro 95 Black;sans-serif"/>
          <w:b/>
          <w:color w:val="901588"/>
          <w:sz w:val="20"/>
        </w:rPr>
      </w:pPr>
      <w:r>
        <w:rPr>
          <w:rFonts w:ascii="Avenir LT Pro 95 Black;sans-serif" w:hAnsi="Avenir LT Pro 95 Black;sans-serif"/>
          <w:b/>
          <w:color w:val="901588"/>
          <w:sz w:val="20"/>
        </w:rPr>
        <w:t>SUPPLEMENTAL SCHEDULE</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LEIDOS, INC. RETIREMENT PLAN</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 xml:space="preserve">FORM 5500, SCHEDULE H, PART IV, LINE 4i—SCHEDULE OF ASSETS (HELD AT END OF YEAR) </w:t>
      </w:r>
    </w:p>
    <w:p>
      <w:pPr>
        <w:pStyle w:val="TextBody"/>
        <w:bidi w:val="0"/>
        <w:spacing w:lineRule="auto" w:line="288" w:before="0" w:after="0"/>
        <w:jc w:val="left"/>
        <w:rPr>
          <w:rFonts w:ascii="Avenir LT Pro 95 Black;sans-serif" w:hAnsi="Avenir LT Pro 95 Black;sans-serif"/>
          <w:b/>
          <w:color w:val="901588"/>
          <w:sz w:val="20"/>
        </w:rPr>
      </w:pPr>
      <w:r>
        <w:rPr>
          <w:rFonts w:ascii="Avenir LT Pro 95 Black;sans-serif" w:hAnsi="Avenir LT Pro 95 Black;sans-serif"/>
          <w:b/>
          <w:color w:val="901588"/>
          <w:sz w:val="20"/>
        </w:rPr>
        <w:t>AS OF DECEMBER 31, 2025 (in thousands)</w:t>
      </w:r>
    </w:p>
    <w:p>
      <w:pPr>
        <w:pStyle w:val="TextBody"/>
        <w:bidi w:val="0"/>
        <w:spacing w:before="9" w:after="283"/>
        <w:jc w:val="righ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8"/>
        <w:gridCol w:w="113"/>
        <w:gridCol w:w="113"/>
        <w:gridCol w:w="109"/>
        <w:gridCol w:w="109"/>
        <w:gridCol w:w="109"/>
        <w:gridCol w:w="975"/>
        <w:gridCol w:w="728"/>
        <w:gridCol w:w="731"/>
        <w:gridCol w:w="109"/>
        <w:gridCol w:w="109"/>
        <w:gridCol w:w="109"/>
        <w:gridCol w:w="1458"/>
        <w:gridCol w:w="1259"/>
        <w:gridCol w:w="1244"/>
        <w:gridCol w:w="109"/>
        <w:gridCol w:w="109"/>
        <w:gridCol w:w="109"/>
        <w:gridCol w:w="245"/>
        <w:gridCol w:w="245"/>
        <w:gridCol w:w="247"/>
        <w:gridCol w:w="109"/>
        <w:gridCol w:w="109"/>
        <w:gridCol w:w="109"/>
        <w:gridCol w:w="263"/>
        <w:gridCol w:w="961"/>
        <w:gridCol w:w="187"/>
      </w:tblGrid>
      <w:tr>
        <w:trPr/>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venir LT Pro 35 Light;sans-serif" w:hAnsi="Avenir LT Pro 35 Light;sans-serif"/>
                <w:b w:val="false"/>
                <w:color w:val="000000"/>
                <w:sz w:val="18"/>
              </w:rPr>
              <w:t xml:space="preserve">EIN: 95-3630868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Plan #004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(a)</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0"/>
              <w:jc w:val="center"/>
              <w:rPr>
                <w:rFonts w:ascii="Avenir LT Pro 95 Black;sans-serif" w:hAnsi="Avenir LT Pro 95 Black;sans-serif"/>
                <w:b/>
                <w:color w:val="000000"/>
                <w:sz w:val="18"/>
              </w:rPr>
            </w:pPr>
            <w:r>
              <w:rPr>
                <w:rFonts w:ascii="Avenir LT Pro 95 Black;sans-serif" w:hAnsi="Avenir LT Pro 95 Black;sans-serif"/>
                <w:b/>
                <w:color w:val="000000"/>
                <w:sz w:val="18"/>
              </w:rPr>
              <w:t>(b) Identity of Issue, Borrower, Lessor or Similar Party</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(c) Description of Investment Including Maturity Date, Rate of Interest, Collateral, Par or Maturity Value</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(d) Cost</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center"/>
              <w:rPr>
                <w:rFonts w:ascii="Avenir LT Pro 95 Black;sans-serif" w:hAnsi="Avenir LT Pro 95 Black;sans-serif"/>
                <w:b/>
                <w:color w:val="000000"/>
                <w:sz w:val="18"/>
              </w:rPr>
            </w:pPr>
            <w:r>
              <w:rPr>
                <w:rFonts w:ascii="Avenir LT Pro 95 Black;sans-serif" w:hAnsi="Avenir LT Pro 95 Black;sans-serif"/>
                <w:b/>
                <w:color w:val="000000"/>
                <w:sz w:val="18"/>
              </w:rPr>
              <w:t>(e) Current Value</w:t>
            </w:r>
          </w:p>
        </w:tc>
      </w:tr>
      <w:tr>
        <w:trPr/>
        <w:tc>
          <w:tcPr>
            <w:tcW w:w="354"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Notes Receivable from Participants</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Loans/Interest rates from 4.25% to 9.50%; maturities from January 2026 to January 2056</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center"/>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-0-</w:t>
            </w:r>
          </w:p>
        </w:tc>
        <w:tc>
          <w:tcPr>
            <w:tcW w:w="327" w:type="dxa"/>
            <w:gridSpan w:val="3"/>
            <w:tcBorders>
              <w:top w:val="single" w:sz="4" w:space="0" w:color="90158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901588"/>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85,044 </w:t>
            </w:r>
          </w:p>
        </w:tc>
        <w:tc>
          <w:tcPr>
            <w:tcW w:w="187" w:type="dxa"/>
            <w:tcBorders>
              <w:top w:val="single" w:sz="4" w:space="0" w:color="90158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0158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w:t>
            </w:r>
          </w:p>
        </w:tc>
        <w:tc>
          <w:tcPr>
            <w:tcW w:w="961" w:type="dxa"/>
            <w:tcBorders>
              <w:top w:val="single" w:sz="4" w:space="0" w:color="901588"/>
              <w:bottom w:val="double" w:sz="8" w:space="0" w:color="901588"/>
            </w:tcBorders>
            <w:tcMar>
              <w:top w:w="3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85,044 </w:t>
            </w:r>
          </w:p>
        </w:tc>
        <w:tc>
          <w:tcPr>
            <w:tcW w:w="187" w:type="dxa"/>
            <w:tcBorders>
              <w:top w:val="single" w:sz="4" w:space="0" w:color="901588"/>
              <w:bottom w:val="double" w:sz="8" w:space="0" w:color="90158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Indicates party-in-interest to the Plan.</w:t>
      </w:r>
    </w:p>
    <w:p>
      <w:pPr>
        <w:pStyle w:val="TextBody"/>
        <w:bidi w:val="0"/>
        <w:spacing w:before="120" w:after="120"/>
        <w:jc w:val="left"/>
        <w:rPr/>
      </w:pPr>
      <w:r>
        <w:rPr/>
      </w:r>
    </w:p>
    <w:p>
      <w:pPr>
        <w:pStyle w:val="TextBody"/>
        <w:bidi w:val="0"/>
        <w:spacing w:before="120" w:after="120"/>
        <w:jc w:val="center"/>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44855"/>
                <wp:effectExtent l="0" t="0" r="0" b="0"/>
                <wp:wrapNone/>
                <wp:docPr id="14" name="Frame14"/>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385" w:type="dxa"/>
                              <w:jc w:val="left"/>
                              <w:tblInd w:w="0" w:type="dxa"/>
                              <w:tblLayout w:type="fixed"/>
                              <w:tblCellMar>
                                <w:top w:w="28" w:type="dxa"/>
                                <w:left w:w="28" w:type="dxa"/>
                                <w:bottom w:w="28" w:type="dxa"/>
                                <w:right w:w="28" w:type="dxa"/>
                              </w:tblCellMar>
                            </w:tblPr>
                            <w:tblGrid>
                              <w:gridCol w:w="130"/>
                              <w:gridCol w:w="115"/>
                              <w:gridCol w:w="116"/>
                              <w:gridCol w:w="592"/>
                              <w:gridCol w:w="592"/>
                              <w:gridCol w:w="8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12</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385" w:type="dxa"/>
                        <w:jc w:val="left"/>
                        <w:tblInd w:w="0" w:type="dxa"/>
                        <w:tblLayout w:type="fixed"/>
                        <w:tblCellMar>
                          <w:top w:w="28" w:type="dxa"/>
                          <w:left w:w="28" w:type="dxa"/>
                          <w:bottom w:w="28" w:type="dxa"/>
                          <w:right w:w="28" w:type="dxa"/>
                        </w:tblCellMar>
                      </w:tblPr>
                      <w:tblGrid>
                        <w:gridCol w:w="130"/>
                        <w:gridCol w:w="115"/>
                        <w:gridCol w:w="116"/>
                        <w:gridCol w:w="592"/>
                        <w:gridCol w:w="592"/>
                        <w:gridCol w:w="8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12</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0" w:after="0"/>
        <w:jc w:val="left"/>
        <w:rPr/>
      </w:pPr>
      <w:r>
        <w:rPr/>
      </w:r>
    </w:p>
    <w:p>
      <w:pPr>
        <w:pStyle w:val="TextBody"/>
        <w:bidi w:val="0"/>
        <w:spacing w:lineRule="auto" w:line="288" w:before="0" w:after="320"/>
        <w:jc w:val="left"/>
        <w:rPr>
          <w:rFonts w:ascii="Avenir LT Pro 35 Light;sans-serif" w:hAnsi="Avenir LT Pro 35 Light;sans-serif"/>
          <w:b w:val="false"/>
          <w:color w:val="000000"/>
          <w:sz w:val="32"/>
        </w:rPr>
      </w:pPr>
      <w:r>
        <w:rPr>
          <w:rFonts w:ascii="Avenir LT Pro 35 Light;sans-serif" w:hAnsi="Avenir LT Pro 35 Light;sans-serif"/>
          <w:b w:val="false"/>
          <w:color w:val="000000"/>
          <w:sz w:val="32"/>
        </w:rPr>
        <w:t>SIGNATURE</w:t>
      </w:r>
    </w:p>
    <w:p>
      <w:pPr>
        <w:pStyle w:val="TextBody"/>
        <w:bidi w:val="0"/>
        <w:spacing w:lineRule="auto" w:line="312" w:before="120" w:after="120"/>
        <w:jc w:val="left"/>
        <w:rPr>
          <w:rFonts w:ascii="Avenir LT Pro 45 Book;sans-serif" w:hAnsi="Avenir LT Pro 45 Book;sans-serif"/>
          <w:b w:val="false"/>
          <w:color w:val="010202"/>
          <w:sz w:val="18"/>
        </w:rPr>
      </w:pPr>
      <w:r>
        <w:rPr>
          <w:rFonts w:ascii="Avenir LT Pro 45 Book;sans-serif" w:hAnsi="Avenir LT Pro 45 Book;sans-serif"/>
          <w:b w:val="false"/>
          <w:color w:val="010202"/>
          <w:sz w:val="18"/>
        </w:rPr>
        <w:t>Pursuant to the requirements of the Securities Exchange Act of 1934, the Leidos, Inc. Retirement Plans Committee as Plan Administrator has duly caused this annual report to be signed on its behalf by the undersigned hereunto duly authorized.</w:t>
      </w:r>
    </w:p>
    <w:p>
      <w:pPr>
        <w:pStyle w:val="TextBody"/>
        <w:bidi w:val="0"/>
        <w:spacing w:before="1" w:after="283"/>
        <w:jc w:val="left"/>
        <w:rPr/>
      </w:pPr>
      <w:r>
        <w:rPr/>
      </w:r>
    </w:p>
    <w:tbl>
      <w:tblPr>
        <w:tblW w:w="5218" w:type="dxa"/>
        <w:jc w:val="left"/>
        <w:tblInd w:w="0" w:type="dxa"/>
        <w:tblLayout w:type="fixed"/>
        <w:tblCellMar>
          <w:top w:w="28" w:type="dxa"/>
          <w:left w:w="28" w:type="dxa"/>
          <w:bottom w:w="28" w:type="dxa"/>
          <w:right w:w="28" w:type="dxa"/>
        </w:tblCellMar>
      </w:tblPr>
      <w:tblGrid>
        <w:gridCol w:w="709"/>
        <w:gridCol w:w="624"/>
        <w:gridCol w:w="631"/>
        <w:gridCol w:w="953"/>
        <w:gridCol w:w="953"/>
        <w:gridCol w:w="1348"/>
      </w:tblGrid>
      <w:tr>
        <w:trPr/>
        <w:tc>
          <w:tcPr>
            <w:tcW w:w="7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venir LT Pro 45 Book;sans-serif" w:hAnsi="Avenir LT Pro 45 Book;sans-serif"/>
                <w:b w:val="false"/>
                <w:color w:val="000000"/>
                <w:sz w:val="20"/>
              </w:rPr>
            </w:pPr>
            <w:r>
              <w:rPr>
                <w:rFonts w:ascii="Avenir LT Pro 45 Book;sans-serif" w:hAnsi="Avenir LT Pro 45 Book;sans-serif"/>
                <w:b w:val="false"/>
                <w:color w:val="000000"/>
                <w:sz w:val="20"/>
              </w:rPr>
              <w:t>LEIDOS, INC. RETIREMENT PLAN</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Date: June 18, 2026</w:t>
            </w:r>
          </w:p>
        </w:tc>
        <w:tc>
          <w:tcPr>
            <w:tcW w:w="3254"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 Peter Berl</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4" w:space="0" w:color="B2B2B2"/>
            </w:tcBorders>
            <w:tcMar>
              <w:top w:w="30" w:type="dxa"/>
              <w:left w:w="0" w:type="dxa"/>
              <w:bottom w:w="0" w:type="dxa"/>
              <w:right w:w="0" w:type="dxa"/>
            </w:tcMar>
            <w:vAlign w:val="center"/>
          </w:tcPr>
          <w:p>
            <w:pPr>
              <w:pStyle w:val="TableContents"/>
              <w:bidi w:val="0"/>
              <w:spacing w:lineRule="auto" w:line="312" w:before="120" w:after="120"/>
              <w:jc w:val="center"/>
              <w:rPr>
                <w:rFonts w:ascii="Avenir LT Pro 95 Black;sans-serif" w:hAnsi="Avenir LT Pro 95 Black;sans-serif"/>
                <w:b/>
                <w:color w:val="000000"/>
                <w:sz w:val="18"/>
              </w:rPr>
            </w:pPr>
            <w:r>
              <w:rPr>
                <w:rFonts w:ascii="Avenir LT Pro 95 Black;sans-serif" w:hAnsi="Avenir LT Pro 95 Black;sans-serif"/>
                <w:b/>
                <w:color w:val="000000"/>
                <w:sz w:val="18"/>
              </w:rPr>
              <w:t>Peter Berl</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312" w:before="120" w:after="120"/>
              <w:jc w:val="center"/>
              <w:rPr>
                <w:rFonts w:ascii="Avenir LT Pro 95 Black;sans-serif" w:hAnsi="Avenir LT Pro 95 Black;sans-serif"/>
                <w:b/>
                <w:color w:val="000000"/>
                <w:sz w:val="18"/>
              </w:rPr>
            </w:pPr>
            <w:r>
              <w:rPr>
                <w:rFonts w:ascii="Avenir LT Pro 95 Black;sans-serif" w:hAnsi="Avenir LT Pro 95 Black;sans-serif"/>
                <w:b/>
                <w:color w:val="000000"/>
                <w:sz w:val="18"/>
              </w:rPr>
              <w:t>Treasurer</w:t>
            </w:r>
          </w:p>
        </w:tc>
      </w:tr>
    </w:tbl>
    <w:p>
      <w:pPr>
        <w:pStyle w:val="TextBody"/>
        <w:bidi w:val="0"/>
        <w:spacing w:before="8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40410"/>
                <wp:effectExtent l="0" t="0" r="0" b="0"/>
                <wp:wrapNone/>
                <wp:docPr id="15" name="Frame1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490" w:type="dxa"/>
                              <w:jc w:val="left"/>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left"/>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0" w:after="0"/>
        <w:jc w:val="left"/>
        <w:rPr/>
      </w:pPr>
      <w:r>
        <w:rPr/>
      </w:r>
    </w:p>
    <w:p>
      <w:pPr>
        <w:pStyle w:val="TextBody"/>
        <w:bidi w:val="0"/>
        <w:spacing w:lineRule="auto" w:line="271" w:before="0" w:after="0"/>
        <w:jc w:val="left"/>
        <w:rPr>
          <w:rFonts w:ascii="Times New Roman;serif" w:hAnsi="Times New Roman;serif"/>
          <w:b/>
          <w:color w:val="050707"/>
          <w:sz w:val="20"/>
        </w:rPr>
      </w:pPr>
      <w:r>
        <w:rPr>
          <w:rFonts w:ascii="Times New Roman;serif" w:hAnsi="Times New Roman;serif"/>
          <w:b/>
          <w:color w:val="050707"/>
          <w:sz w:val="20"/>
        </w:rPr>
        <w:t>Exhibit Index</w:t>
      </w:r>
    </w:p>
    <w:p>
      <w:pPr>
        <w:pStyle w:val="TextBody"/>
        <w:bidi w:val="0"/>
        <w:spacing w:before="69" w:after="283"/>
        <w:jc w:val="center"/>
        <w:rPr/>
      </w:pPr>
      <w:r>
        <w:rPr/>
      </w:r>
    </w:p>
    <w:p>
      <w:pPr>
        <w:pStyle w:val="TextBody"/>
        <w:bidi w:val="0"/>
        <w:spacing w:lineRule="auto" w:line="312" w:before="120" w:after="200"/>
        <w:jc w:val="left"/>
        <w:rPr>
          <w:rFonts w:ascii="Times New Roman;serif" w:hAnsi="Times New Roman;serif"/>
          <w:b/>
          <w:color w:val="050707"/>
          <w:sz w:val="20"/>
        </w:rPr>
      </w:pPr>
      <w:r>
        <w:rPr>
          <w:rFonts w:ascii="Times New Roman;serif" w:hAnsi="Times New Roman;serif"/>
          <w:b/>
          <w:color w:val="050707"/>
          <w:sz w:val="20"/>
        </w:rPr>
        <w:t>Exhibit No.</w:t>
      </w:r>
    </w:p>
    <w:p>
      <w:pPr>
        <w:pStyle w:val="TextBody"/>
        <w:bidi w:val="0"/>
        <w:spacing w:lineRule="auto" w:line="288" w:before="120" w:after="200"/>
        <w:jc w:val="left"/>
        <w:rPr/>
      </w:pPr>
      <w:r>
        <w:rPr>
          <w:rFonts w:ascii="Times New Roman;serif" w:hAnsi="Times New Roman;serif"/>
          <w:b w:val="false"/>
          <w:color w:val="050707"/>
          <w:sz w:val="20"/>
        </w:rPr>
        <w:t>23.1        </w:t>
      </w:r>
      <w:hyperlink w:anchor="i02f93602fcfc44999bc9a4938cb675cf_31">
        <w:r>
          <w:rPr>
            <w:rStyle w:val="InternetLink"/>
            <w:rFonts w:ascii="Times New Roman;serif" w:hAnsi="Times New Roman;serif"/>
            <w:b w:val="false"/>
            <w:color w:val="0000FF"/>
            <w:sz w:val="20"/>
            <w:u w:val="single"/>
          </w:rPr>
          <w:t>Consent of Independent Registered Public Accounting Firm</w:t>
        </w:r>
      </w:hyperlink>
    </w:p>
    <w:p>
      <w:pPr>
        <w:pStyle w:val="TextBody"/>
        <w:bidi w:val="0"/>
        <w:spacing w:lineRule="auto" w:line="288" w:before="120" w:after="20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44855"/>
                <wp:effectExtent l="0" t="0" r="0" b="0"/>
                <wp:wrapNone/>
                <wp:docPr id="16" name="Frame16"/>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385" w:type="dxa"/>
                              <w:jc w:val="left"/>
                              <w:tblInd w:w="0" w:type="dxa"/>
                              <w:tblLayout w:type="fixed"/>
                              <w:tblCellMar>
                                <w:top w:w="28" w:type="dxa"/>
                                <w:left w:w="28" w:type="dxa"/>
                                <w:bottom w:w="28" w:type="dxa"/>
                                <w:right w:w="28" w:type="dxa"/>
                              </w:tblCellMar>
                            </w:tblPr>
                            <w:tblGrid>
                              <w:gridCol w:w="130"/>
                              <w:gridCol w:w="115"/>
                              <w:gridCol w:w="116"/>
                              <w:gridCol w:w="592"/>
                              <w:gridCol w:w="592"/>
                              <w:gridCol w:w="8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14</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385" w:type="dxa"/>
                        <w:jc w:val="left"/>
                        <w:tblInd w:w="0" w:type="dxa"/>
                        <w:tblLayout w:type="fixed"/>
                        <w:tblCellMar>
                          <w:top w:w="28" w:type="dxa"/>
                          <w:left w:w="28" w:type="dxa"/>
                          <w:bottom w:w="28" w:type="dxa"/>
                          <w:right w:w="28" w:type="dxa"/>
                        </w:tblCellMar>
                      </w:tblPr>
                      <w:tblGrid>
                        <w:gridCol w:w="130"/>
                        <w:gridCol w:w="115"/>
                        <w:gridCol w:w="116"/>
                        <w:gridCol w:w="592"/>
                        <w:gridCol w:w="592"/>
                        <w:gridCol w:w="8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95 Black;sans-serif" w:hAnsi="Avenir LT Pro 95 Black;sans-serif"/>
                                <w:b/>
                                <w:color w:val="901588"/>
                                <w:sz w:val="18"/>
                              </w:rPr>
                            </w:pPr>
                            <w:r>
                              <w:rPr>
                                <w:rFonts w:ascii="Avenir LT Pro 95 Black;sans-serif" w:hAnsi="Avenir LT Pro 95 Black;sans-serif"/>
                                <w:b/>
                                <w:color w:val="901588"/>
                                <w:sz w:val="18"/>
                              </w:rPr>
                              <w:t>14</w:t>
                            </w:r>
                          </w:p>
                        </w:tc>
                        <w:tc>
                          <w:tcPr>
                            <w:tcW w:w="202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Leidos Holdings, Inc.</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0" w:after="0"/>
        <w:jc w:val="left"/>
        <w:rPr/>
      </w:pPr>
      <w:r>
        <w:rPr/>
      </w:r>
    </w:p>
    <w:p>
      <w:pPr>
        <w:pStyle w:val="TextBody"/>
        <w:bidi w:val="0"/>
        <w:spacing w:lineRule="auto" w:line="312" w:before="80" w:after="80"/>
        <w:jc w:val="lef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80" w:after="8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0"/>
        </w:rPr>
        <w:t>We have issued our report dated June 18, 2026, with respect to the financial statements and supplemental information included in the Annual Report of Leidos, Inc. Retirement Plan on Form 11-K for the year ended December 31, 2025. We consent to the incorporation by reference of said report in the Registration Statements of Leidos Holdings, Inc. on Form S-8 (File No’s. 333-138095, 333-153360, 333-169693, and</w:t>
      </w:r>
      <w:r>
        <w:rPr>
          <w:color w:val="000000"/>
        </w:rPr>
        <w:t xml:space="preserve"> </w:t>
      </w:r>
      <w:r>
        <w:rPr>
          <w:rFonts w:ascii="Arial;sans-serif" w:hAnsi="Arial;sans-serif"/>
          <w:b w:val="false"/>
          <w:color w:val="000000"/>
          <w:sz w:val="20"/>
        </w:rPr>
        <w:t>333-218435).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GRANT THORNTON LLP</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Atlanta, Georgia</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June 18, 2026</w:t>
      </w:r>
    </w:p>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40410"/>
                <wp:effectExtent l="0" t="0" r="0" b="0"/>
                <wp:wrapNone/>
                <wp:docPr id="17" name="Frame1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r>
                                    <w:br w:type="page"/>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center"/>
                        <w:tblInd w:w="0" w:type="dxa"/>
                        <w:tblLayout w:type="fixed"/>
                        <w:tblCellMar>
                          <w:top w:w="28" w:type="dxa"/>
                          <w:left w:w="28" w:type="dxa"/>
                          <w:bottom w:w="28" w:type="dxa"/>
                          <w:right w:w="28" w:type="dxa"/>
                        </w:tblCellMar>
                      </w:tblPr>
                      <w:tblGrid>
                        <w:gridCol w:w="761"/>
                        <w:gridCol w:w="668"/>
                        <w:gridCol w:w="670"/>
                        <w:gridCol w:w="114"/>
                        <w:gridCol w:w="114"/>
                        <w:gridCol w:w="163"/>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95 Black;sans-serif" w:hAnsi="Avenir LT Pro 95 Black;sans-serif"/>
                                <w:b/>
                                <w:color w:val="901588"/>
                                <w:sz w:val="16"/>
                              </w:rPr>
                            </w:pPr>
                            <w:r>
                              <w:rPr>
                                <w:rFonts w:ascii="Avenir LT Pro 95 Black;sans-serif" w:hAnsi="Avenir LT Pro 95 Black;sans-serif"/>
                                <w:b/>
                                <w:color w:val="901588"/>
                                <w:sz w:val="16"/>
                              </w:rPr>
                              <w:t>Leidos Holdings, Inc.</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95 Black;sans-serif" w:hAnsi="Avenir LT Pro 95 Black;sans-serif"/>
                                <w:b/>
                                <w:color w:val="901588"/>
                                <w:sz w:val="16"/>
                              </w:rPr>
                            </w:pPr>
                            <w:r>
                              <w:rPr>
                                <w:rFonts w:ascii="Avenir LT Pro 95 Black;sans-serif" w:hAnsi="Avenir LT Pro 95 Black;sans-serif"/>
                                <w:b/>
                                <w:color w:val="901588"/>
                                <w:sz w:val="16"/>
                              </w:rPr>
                              <w:t>15</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venir LT Pro 45 Book">
    <w:altName w:val="sans-serif"/>
    <w:charset w:val="01"/>
    <w:family w:val="auto"/>
    <w:pitch w:val="default"/>
  </w:font>
  <w:font w:name="Avenir LT Pro 35 Light">
    <w:altName w:val="sans-serif"/>
    <w:charset w:val="01"/>
    <w:family w:val="auto"/>
    <w:pitch w:val="default"/>
  </w:font>
  <w:font w:name="Avenir LT Pro 95 Black">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5592</Words>
  <Characters>31282</Characters>
  <CharactersWithSpaces>36567</CharactersWithSpaces>
  <Paragraphs>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