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Date of Report (Date of Earliest Event Reported): August 4, 2026</w:t>
      </w:r>
    </w:p>
    <w:tbl>
      <w:tblPr>
        <w:tblW w:w="5978" w:type="dxa"/>
        <w:jc w:val="center"/>
        <w:tblInd w:w="0" w:type="dxa"/>
        <w:tblLayout w:type="fixed"/>
        <w:tblCellMar>
          <w:top w:w="28" w:type="dxa"/>
          <w:left w:w="28" w:type="dxa"/>
          <w:bottom w:w="28" w:type="dxa"/>
          <w:right w:w="28" w:type="dxa"/>
        </w:tblCellMar>
      </w:tblPr>
      <w:tblGrid>
        <w:gridCol w:w="124"/>
        <w:gridCol w:w="109"/>
        <w:gridCol w:w="109"/>
        <w:gridCol w:w="1754"/>
        <w:gridCol w:w="1754"/>
        <w:gridCol w:w="17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4"/>
              </w:rPr>
            </w:pPr>
            <w:r>
              <w:rPr>
                <w:rFonts w:ascii="Arial;sans-serif" w:hAnsi="Arial;sans-serif"/>
                <w:b/>
                <w:color w:val="000000"/>
                <w:sz w:val="44"/>
              </w:rPr>
              <w:t>LEIDOS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67"/>
        <w:gridCol w:w="675"/>
        <w:gridCol w:w="674"/>
        <w:gridCol w:w="357"/>
        <w:gridCol w:w="348"/>
        <w:gridCol w:w="328"/>
        <w:gridCol w:w="349"/>
        <w:gridCol w:w="328"/>
        <w:gridCol w:w="328"/>
        <w:gridCol w:w="328"/>
        <w:gridCol w:w="328"/>
        <w:gridCol w:w="328"/>
        <w:gridCol w:w="109"/>
        <w:gridCol w:w="109"/>
        <w:gridCol w:w="109"/>
        <w:gridCol w:w="644"/>
        <w:gridCol w:w="644"/>
        <w:gridCol w:w="651"/>
        <w:gridCol w:w="109"/>
        <w:gridCol w:w="109"/>
        <w:gridCol w:w="109"/>
        <w:gridCol w:w="724"/>
        <w:gridCol w:w="724"/>
        <w:gridCol w:w="1026"/>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1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001-33072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20-3562868</w:t>
            </w:r>
          </w:p>
        </w:tc>
      </w:tr>
      <w:tr>
        <w:trPr/>
        <w:tc>
          <w:tcPr>
            <w:tcW w:w="51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1750 Presidents Street,</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Reston,</w:t>
            </w:r>
          </w:p>
        </w:tc>
        <w:tc>
          <w:tcPr>
            <w:tcW w:w="1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20190</w:t>
            </w:r>
          </w:p>
        </w:tc>
      </w:tr>
      <w:tr>
        <w:trPr/>
        <w:tc>
          <w:tcPr>
            <w:tcW w:w="51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20"/>
        </w:rPr>
        <w:t xml:space="preserve">(571) 526-6000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r>
        <w:rPr>
          <w:color w:val="000000"/>
        </w:rPr>
        <w:t> </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66" w:type="dxa"/>
        <w:jc w:val="left"/>
        <w:tblInd w:w="0" w:type="dxa"/>
        <w:tblLayout w:type="fixed"/>
        <w:tblCellMar>
          <w:top w:w="28" w:type="dxa"/>
          <w:left w:w="28" w:type="dxa"/>
          <w:bottom w:w="28" w:type="dxa"/>
          <w:right w:w="28" w:type="dxa"/>
        </w:tblCellMar>
      </w:tblPr>
      <w:tblGrid>
        <w:gridCol w:w="1401"/>
        <w:gridCol w:w="1226"/>
        <w:gridCol w:w="1242"/>
        <w:gridCol w:w="109"/>
        <w:gridCol w:w="109"/>
        <w:gridCol w:w="109"/>
        <w:gridCol w:w="479"/>
        <w:gridCol w:w="479"/>
        <w:gridCol w:w="481"/>
        <w:gridCol w:w="109"/>
        <w:gridCol w:w="109"/>
        <w:gridCol w:w="109"/>
        <w:gridCol w:w="995"/>
        <w:gridCol w:w="995"/>
        <w:gridCol w:w="1414"/>
      </w:tblGrid>
      <w:tr>
        <w:trPr/>
        <w:tc>
          <w:tcPr>
            <w:tcW w:w="140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3009" w:type="dxa"/>
        <w:jc w:val="left"/>
        <w:tblInd w:w="0" w:type="dxa"/>
        <w:tblLayout w:type="fixed"/>
        <w:tblCellMar>
          <w:top w:w="28" w:type="dxa"/>
          <w:left w:w="28" w:type="dxa"/>
          <w:bottom w:w="28" w:type="dxa"/>
          <w:right w:w="28" w:type="dxa"/>
        </w:tblCellMar>
      </w:tblPr>
      <w:tblGrid>
        <w:gridCol w:w="124"/>
        <w:gridCol w:w="109"/>
        <w:gridCol w:w="109"/>
        <w:gridCol w:w="764"/>
        <w:gridCol w:w="764"/>
        <w:gridCol w:w="7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288" w:before="0" w:after="0"/>
        <w:jc w:val="left"/>
        <w:rPr>
          <w:color w:val="000000"/>
        </w:rPr>
      </w:pPr>
      <w:r>
        <w:rPr>
          <w:color w:val="000000"/>
        </w:rPr>
        <w:t> </w:t>
      </w:r>
    </w:p>
    <w:tbl>
      <w:tblPr>
        <w:tblW w:w="5534" w:type="dxa"/>
        <w:jc w:val="left"/>
        <w:tblInd w:w="0" w:type="dxa"/>
        <w:tblLayout w:type="fixed"/>
        <w:tblCellMar>
          <w:top w:w="28" w:type="dxa"/>
          <w:left w:w="28" w:type="dxa"/>
          <w:bottom w:w="28" w:type="dxa"/>
          <w:right w:w="28" w:type="dxa"/>
        </w:tblCellMar>
      </w:tblPr>
      <w:tblGrid>
        <w:gridCol w:w="369"/>
        <w:gridCol w:w="325"/>
        <w:gridCol w:w="326"/>
        <w:gridCol w:w="1322"/>
        <w:gridCol w:w="1322"/>
        <w:gridCol w:w="1870"/>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2.02.</w:t>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August 4, 2026, Leidos Holdings, Inc. (the "Company") issued a press release announcing its financial results for the second fiscal quarter ended July 3, 2026. A copy of the press release is furnished as Exhibit 99.1 to this report.</w:t>
      </w:r>
    </w:p>
    <w:p>
      <w:pPr>
        <w:pStyle w:val="TextBody"/>
        <w:bidi w:val="0"/>
        <w:spacing w:lineRule="auto" w:line="288" w:before="120" w:after="283"/>
        <w:ind w:left="0" w:right="0" w:firstLine="495"/>
        <w:jc w:val="left"/>
        <w:rPr/>
      </w:pPr>
      <w:r>
        <w:rPr>
          <w:rFonts w:ascii="Arial;sans-serif" w:hAnsi="Arial;sans-serif"/>
          <w:b w:val="false"/>
          <w:color w:val="000000"/>
          <w:sz w:val="20"/>
        </w:rPr>
        <w:t>The Company’s management will discuss operations and financial results in an earnings conference call beginning at 8:00 a.m. eastern on August 4, 2026. A live audio broadcast of the conference call along with a supplemental presentation will be available to the public through links on the Investor Relations section of the Company’s web site (</w:t>
      </w:r>
      <w:r>
        <w:rPr>
          <w:rFonts w:ascii="Arial;sans-serif" w:hAnsi="Arial;sans-serif"/>
          <w:b w:val="false"/>
          <w:color w:val="0000FF"/>
          <w:sz w:val="20"/>
          <w:u w:val="single"/>
        </w:rPr>
        <w:t>http://investors.leidos.com</w:t>
      </w:r>
      <w:r>
        <w:rPr>
          <w:rFonts w:ascii="Arial;sans-serif" w:hAnsi="Arial;sans-serif"/>
          <w:b w:val="false"/>
          <w:color w:val="000000"/>
          <w:sz w:val="20"/>
        </w:rPr>
        <w: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information contained in Item 2.02 of this report and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jc w:val="left"/>
        <w:rPr/>
      </w:pPr>
      <w:r>
        <w:rPr/>
      </w:r>
    </w:p>
    <w:tbl>
      <w:tblPr>
        <w:tblW w:w="4410" w:type="dxa"/>
        <w:jc w:val="left"/>
        <w:tblInd w:w="0" w:type="dxa"/>
        <w:tblLayout w:type="fixed"/>
        <w:tblCellMar>
          <w:top w:w="28" w:type="dxa"/>
          <w:left w:w="28" w:type="dxa"/>
          <w:bottom w:w="28" w:type="dxa"/>
          <w:right w:w="28" w:type="dxa"/>
        </w:tblCellMar>
      </w:tblPr>
      <w:tblGrid>
        <w:gridCol w:w="369"/>
        <w:gridCol w:w="325"/>
        <w:gridCol w:w="326"/>
        <w:gridCol w:w="992"/>
        <w:gridCol w:w="992"/>
        <w:gridCol w:w="140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p>
      <w:pPr>
        <w:pStyle w:val="TextBody"/>
        <w:bidi w:val="0"/>
        <w:spacing w:lineRule="auto" w:line="288" w:before="120" w:after="283"/>
        <w:ind w:left="0" w:right="0" w:hanging="360"/>
        <w:jc w:val="left"/>
        <w:rPr/>
      </w:pPr>
      <w:r>
        <w:rPr>
          <w:rFonts w:ascii="Arial;sans-serif" w:hAnsi="Arial;sans-serif"/>
          <w:b w:val="false"/>
          <w:i/>
          <w:color w:val="000000"/>
          <w:sz w:val="20"/>
        </w:rPr>
        <w:t>(i)</w:t>
      </w:r>
      <w:r>
        <w:rPr>
          <w:color w:val="000000"/>
        </w:rPr>
        <w:t xml:space="preserve"> </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419"/>
        <w:gridCol w:w="368"/>
        <w:gridCol w:w="369"/>
        <w:gridCol w:w="2647"/>
        <w:gridCol w:w="2645"/>
        <w:gridCol w:w="375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dos070326q2pressreleaseex.htm">
              <w:r>
                <w:rPr>
                  <w:rStyle w:val="InternetLink"/>
                  <w:rFonts w:ascii="Arial;sans-serif" w:hAnsi="Arial;sans-serif"/>
                  <w:b w:val="false"/>
                  <w:color w:val="000080"/>
                  <w:sz w:val="20"/>
                  <w:u w:val="single"/>
                </w:rPr>
                <w:t xml:space="preserve">Press Release dated </w:t>
              </w:r>
            </w:hyperlink>
            <w:hyperlink w:anchor="ldos070326q2pressreleaseex.htm">
              <w:r>
                <w:rPr>
                  <w:rStyle w:val="InternetLink"/>
                  <w:rFonts w:ascii="Arial;sans-serif" w:hAnsi="Arial;sans-serif"/>
                  <w:b w:val="false"/>
                  <w:color w:val="000080"/>
                  <w:sz w:val="20"/>
                  <w:u w:val="single"/>
                </w:rPr>
                <w:t>August</w:t>
              </w:r>
            </w:hyperlink>
            <w:hyperlink w:anchor="ldos070326q2pressreleaseex.htm">
              <w:r>
                <w:rPr>
                  <w:rStyle w:val="InternetLink"/>
                  <w:rFonts w:ascii="Arial;sans-serif" w:hAnsi="Arial;sans-serif"/>
                  <w:b w:val="false"/>
                  <w:color w:val="000080"/>
                  <w:sz w:val="20"/>
                  <w:u w:val="single"/>
                </w:rPr>
                <w:t xml:space="preserve"> </w:t>
              </w:r>
            </w:hyperlink>
            <w:hyperlink w:anchor="ldos070326q2pressreleaseex.htm">
              <w:r>
                <w:rPr>
                  <w:rStyle w:val="InternetLink"/>
                  <w:rFonts w:ascii="Arial;sans-serif" w:hAnsi="Arial;sans-serif"/>
                  <w:b w:val="false"/>
                  <w:color w:val="000080"/>
                  <w:sz w:val="20"/>
                  <w:u w:val="single"/>
                </w:rPr>
                <w:t>4</w:t>
              </w:r>
            </w:hyperlink>
            <w:hyperlink w:anchor="ldos070326q2pressreleaseex.htm">
              <w:r>
                <w:rPr>
                  <w:rStyle w:val="InternetLink"/>
                  <w:rFonts w:ascii="Arial;sans-serif" w:hAnsi="Arial;sans-serif"/>
                  <w:b w:val="false"/>
                  <w:color w:val="000080"/>
                  <w:sz w:val="20"/>
                  <w:u w:val="single"/>
                </w:rPr>
                <w:t>, 2026, issued by Leidos Holdings, Inc.</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in Inline XBRL and contained in Exhibit 101.</w:t>
            </w:r>
          </w:p>
        </w:tc>
      </w:tr>
    </w:tbl>
    <w:p>
      <w:pPr>
        <w:pStyle w:val="TextBody"/>
        <w:bidi w:val="0"/>
        <w:spacing w:before="120" w:after="283"/>
        <w:ind w:left="0" w:right="0" w:hanging="360"/>
        <w:jc w:val="left"/>
        <w:rPr/>
      </w:pPr>
      <w:r>
        <w:rPr/>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686"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261"/>
        <w:gridCol w:w="261"/>
        <w:gridCol w:w="261"/>
        <w:gridCol w:w="261"/>
        <w:gridCol w:w="261"/>
        <w:gridCol w:w="261"/>
        <w:gridCol w:w="1378"/>
        <w:gridCol w:w="1378"/>
        <w:gridCol w:w="202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LEIDOS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R. Cage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R. Cage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right"/>
        <w:rPr>
          <w:rFonts w:ascii="Avenir LT Pro 95 Black;sans-serif" w:hAnsi="Avenir LT Pro 95 Black;sans-serif"/>
          <w:b/>
          <w:color w:val="000000"/>
          <w:sz w:val="24"/>
        </w:rPr>
      </w:pPr>
      <w:r>
        <w:rPr>
          <w:rFonts w:ascii="Avenir LT Pro 95 Black;sans-serif" w:hAnsi="Avenir LT Pro 95 Black;sans-serif"/>
          <w:b/>
          <w:color w:val="000000"/>
          <w:sz w:val="24"/>
        </w:rPr>
        <w:t>EXHIBIT 99.1</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 xml:space="preserve">Leidos Delivers Strong Second Quarter and Enhances Full-Year Guidance </w:t>
      </w:r>
    </w:p>
    <w:p>
      <w:pPr>
        <w:pStyle w:val="TextBody"/>
        <w:bidi w:val="0"/>
        <w:spacing w:lineRule="auto" w:line="312" w:before="80" w:after="8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Revenues of $4.6 billion, up 7% year-over-year</w:t>
      </w:r>
    </w:p>
    <w:p>
      <w:pPr>
        <w:pStyle w:val="TextBody"/>
        <w:bidi w:val="0"/>
        <w:spacing w:lineRule="auto" w:line="312" w:before="80" w:after="8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Net income of $356 million or $2.81 per diluted share</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Adjusted EBITDA (non-GAAP) of $631 million and Adjusted EBITDA margin (non-GAAP) of 13.8%</w:t>
      </w:r>
    </w:p>
    <w:p>
      <w:pPr>
        <w:pStyle w:val="TextBody"/>
        <w:bidi w:val="0"/>
        <w:spacing w:lineRule="auto" w:line="312" w:before="80" w:after="8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Non-GAAP Diluted Earnings per Share of $3.26, up 2% year-over-year</w:t>
      </w:r>
    </w:p>
    <w:p>
      <w:pPr>
        <w:pStyle w:val="TextBody"/>
        <w:bidi w:val="0"/>
        <w:spacing w:lineRule="auto" w:line="312" w:before="80" w:after="8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Cash Flows from Operations of $793 million; Non-GAAP Free Cash Flow of $761 million</w:t>
      </w:r>
    </w:p>
    <w:p>
      <w:pPr>
        <w:pStyle w:val="TextBody"/>
        <w:bidi w:val="0"/>
        <w:spacing w:before="80" w:after="80"/>
        <w:ind w:left="0" w:right="0" w:firstLine="144"/>
        <w:jc w:val="left"/>
        <w:rPr/>
      </w:pPr>
      <w:r>
        <w:rPr/>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RESTON, Va., August 4, 2026 – Leidos Holdings, Inc. (NYSE: LDOS) today reported financial results for the second quarter of fiscal year 2026, highlighted by robust revenue growth and free cash flow generation.</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"I'm pleased to report another strong quarter for Leidos," said Chief Executive Officer Tom Bell. "In addition to achieving milestones for revenue and cash, we booked $5 billion of contract awards. We’re seeing meaningful growth emerge across our Defense Tech, Energy Infrastructure, and Cyber growth pillars. And we have greater visibility into the long-term role of our Managed Healthcare pillar. The strength of our balanced portfolio allows us to enhance our 2026 guidance for revenues, earnings, and cash.”</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SUMMARY OPERATING RESULTS</w:t>
      </w:r>
    </w:p>
    <w:tbl>
      <w:tblPr>
        <w:tblW w:w="10205" w:type="dxa"/>
        <w:jc w:val="left"/>
        <w:tblInd w:w="0" w:type="dxa"/>
        <w:tblLayout w:type="fixed"/>
        <w:tblCellMar>
          <w:top w:w="28" w:type="dxa"/>
          <w:left w:w="28" w:type="dxa"/>
          <w:bottom w:w="28" w:type="dxa"/>
          <w:right w:w="28" w:type="dxa"/>
        </w:tblCellMar>
      </w:tblPr>
      <w:tblGrid>
        <w:gridCol w:w="1817"/>
        <w:gridCol w:w="1475"/>
        <w:gridCol w:w="1487"/>
        <w:gridCol w:w="186"/>
        <w:gridCol w:w="186"/>
        <w:gridCol w:w="186"/>
        <w:gridCol w:w="393"/>
        <w:gridCol w:w="1259"/>
        <w:gridCol w:w="498"/>
        <w:gridCol w:w="186"/>
        <w:gridCol w:w="186"/>
        <w:gridCol w:w="186"/>
        <w:gridCol w:w="389"/>
        <w:gridCol w:w="1217"/>
        <w:gridCol w:w="554"/>
      </w:tblGrid>
      <w:tr>
        <w:trPr/>
        <w:tc>
          <w:tcPr>
            <w:tcW w:w="181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r>
      <w:tr>
        <w:trPr/>
        <w:tc>
          <w:tcPr>
            <w:tcW w:w="4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 except margin and per share data)</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558"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 2025</w:t>
            </w:r>
          </w:p>
        </w:tc>
      </w:tr>
      <w:tr>
        <w:trPr/>
        <w:tc>
          <w:tcPr>
            <w:tcW w:w="4779"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558"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498"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1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55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9"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1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margin</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7.8</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9.2 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earnings per share (EPS)</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9"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1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Non-GAAP Measures*:</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9"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631</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1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647 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13.8</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47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diluted EPS</w:t>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59"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3.26</w:t>
            </w:r>
            <w:r>
              <w:rPr>
                <w:color w:val="000000"/>
              </w:rPr>
              <w:t> </w:t>
            </w:r>
          </w:p>
        </w:tc>
        <w:tc>
          <w:tcPr>
            <w:tcW w:w="49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1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3.21 </w:t>
            </w:r>
          </w:p>
        </w:tc>
        <w:tc>
          <w:tcPr>
            <w:tcW w:w="5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 Non-GAAP financial measures should be considered in addition to, but not as a substitute for, the information provided in accordance with GAAP. Management believes that these non-GAAP measures provide another representation of Leidos' results of operations and financial condition, including its ability to comply with financial covenants. See Non-GAAP Financial Measures at the end of this press release for more information and a reconciliation of our selected reported results to these non-GAAP measures.</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Revenues for the quarter were $4.56 billion, up 7% compared to the second quarter of 2025, including 4% organically. Revenues grew year-over-year due to increased customer demand for defense tech products, energy and air traffic management solutions, and intelligence mission support.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the second quarter, net income was $356 million, or $2.81 per diluted share. Net income and diluted EPS were both down 9% and 7%, respectively, year-over-year; net income margin was 7.8% compared to 9.2% in the second quarter of 2025. Net income and diluted EPS for the quarter reflect $29 million in costs associated with the acquisition of ENTRUST Solutions Group ("Entrust") and the pending joint venture with Analogic Corporation, as well as restructuring costs associated with the NorthStar 2030 re-alignment. Adjusting for these and certain other items, non-GAAP net income decreased 1% year-over-year, to $413 million for the second quarter, and non-GAAP diluted EPS increased 2% to $3.26.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adjusted EBITDA was $631 million for the second quarter, down 2% year-over-year. Adjusted EBITDA margin of 13.8% decreased from 15.2% in the second quarter of 2025. Profitability in the current quarter reflected excellent program execution and disciplined cost management across the portfolio; profitability in the year-ago quarter benefited from several one-time, non-operational gains, including a $25 million insurance reimbursement for legal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40410"/>
                <wp:effectExtent l="0" t="0" r="0" b="0"/>
                <wp:wrapNone/>
                <wp:docPr id="4" name="Frame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CASH FLOW SUMMARY</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Net cash provided by operating activities for the quarter was $793 million for an operating cash flow conversion ratio of 224%. After adjusting for property, equipment, and software payments, quarterly free cash was $761 million for a free cash flow conversion ratio of 185%.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the quarter, Leidos used $38 million in investing activities, including $32 million in property, equipment and software payments. Leidos used $423 million in financing activities, consisting primarily of $300 million in debt paydown and $127 million returned to shareholders, including $72 million in share repurchases and $55 million as part of a regular quarterly cash dividend program. As of July 3, 2026, Leidos had $748 million in cash and cash equivalents and $6.0 billion of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NEW BUSINESS AWARDS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bookings totaled $4.9 billion in the quarter, representing a book-to-bill ratio of 1.1. As a result, backlog at the end of the quarter was $48.7 billion, of which $10.2 billion was funded. Trailing-twelve-month book-to-bill of 1.1 resulted in year-over-year growth in total and funded backlog of 5% and 44%, respectively. Quarterly bookings included several key awards:</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Avionics Intermediate Shop (AIS) Production Support Integration (PIS).</w:t>
      </w:r>
      <w:r>
        <w:rPr>
          <w:color w:val="000000"/>
        </w:rPr>
        <w:t xml:space="preserve"> </w:t>
      </w:r>
      <w:r>
        <w:rPr>
          <w:rFonts w:ascii="Avenir LT Pro 45 Book;sans-serif" w:hAnsi="Avenir LT Pro 45 Book;sans-serif"/>
          <w:b w:val="false"/>
          <w:color w:val="000000"/>
          <w:sz w:val="18"/>
        </w:rPr>
        <w:t xml:space="preserve">The U.S. Air Force Sustainment Center awarded Leidos a $475 million follow-on AIS PIS contract to manage the computerized diagnostic system that fixes the F-16 fighter jets. The company will deliver independent systems engineering, resolve complex component shortages, and manage original equipment manufacturer subcontracts. This work ensures sustained mission readiness of F-16 fleets for the U.S. Air Force, European, and foreign partners. </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General Services Administration (GSA) Military OneSource.</w:t>
      </w:r>
      <w:r>
        <w:rPr>
          <w:color w:val="000000"/>
        </w:rPr>
        <w:t xml:space="preserve"> </w:t>
      </w:r>
      <w:r>
        <w:rPr>
          <w:rFonts w:ascii="Avenir LT Pro 45 Book;sans-serif" w:hAnsi="Avenir LT Pro 45 Book;sans-serif"/>
          <w:b w:val="false"/>
          <w:color w:val="000000"/>
          <w:sz w:val="18"/>
        </w:rPr>
        <w:t>Leidos secured a $456 million contract from the GSA to manage the Military OneSource program over the next four years. Under this agreement, Leidos will deliver comprehensive 24/7 well-being services, including confidential counseling, tax support, and relocation tools to more than 4.7 million service members and their families worldwide. This strategic win further cements Leidos as a leading provider of global military health and managed health services.</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U.S. Air Force Electronic Warfare Mission Support.</w:t>
      </w:r>
      <w:r>
        <w:rPr>
          <w:color w:val="000000"/>
        </w:rPr>
        <w:t xml:space="preserve"> </w:t>
      </w:r>
      <w:r>
        <w:rPr>
          <w:rFonts w:ascii="Avenir LT Pro 45 Book;sans-serif" w:hAnsi="Avenir LT Pro 45 Book;sans-serif"/>
          <w:b w:val="false"/>
          <w:color w:val="000000"/>
          <w:sz w:val="18"/>
        </w:rPr>
        <w:t>Leidos received a $350 million contract modification to provide additional high-end technical support for the U.S. Air Force Material Command. The company will supply additional units of its advanced low-band surveillance radar infrastructure alongside specialized signal-processing software. These mission-critical capabilities are engineered to defeat adversary low-observable assets and mitigate heavy electronic countermeasures, providing defense networks with the definitive, high-fidelity threat intelligence required for modern multi-domain operations.</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Defense Health Agency (DHA) Reserve Health Readiness Program (RHRP) 3.1.</w:t>
      </w:r>
      <w:r>
        <w:rPr>
          <w:color w:val="000000"/>
        </w:rPr>
        <w:t xml:space="preserve"> </w:t>
      </w:r>
      <w:r>
        <w:rPr>
          <w:rFonts w:ascii="Avenir LT Pro 45 Book;sans-serif" w:hAnsi="Avenir LT Pro 45 Book;sans-serif"/>
          <w:b w:val="false"/>
          <w:color w:val="000000"/>
          <w:sz w:val="18"/>
        </w:rPr>
        <w:t>Leidos will maintain uninterrupted medical and dental exams for U.S. military reservists under a potential 30-month, $325 million contract modification while the DHA finalizes its long-term transition strategy for RHRP.</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Customs Border Patrol (CBP) Medium Energy Mobile (MEM) Systems.</w:t>
      </w:r>
      <w:r>
        <w:rPr>
          <w:color w:val="000000"/>
        </w:rPr>
        <w:t xml:space="preserve"> </w:t>
      </w:r>
      <w:r>
        <w:rPr>
          <w:rFonts w:ascii="Avenir LT Pro 45 Book;sans-serif" w:hAnsi="Avenir LT Pro 45 Book;sans-serif"/>
          <w:b w:val="false"/>
          <w:color w:val="000000"/>
          <w:sz w:val="18"/>
        </w:rPr>
        <w:t>Leidos secured a five-year, $270 million single-award indefinite delivery, indefinite quantity (IDIQ) contract from CBP to deliver up to 100 MEM Systems. These flexible, non-intrusive inspection units scan vehicles and cargo for contraband, drugs, and weapons and will be deployed at various points of entry across the U.S. This award will align to the Leidos Security Enterprise Solutions and Analogic Corporation joint venture upon its formation.</w:t>
      </w:r>
    </w:p>
    <w:p>
      <w:pPr>
        <w:pStyle w:val="TextBody"/>
        <w:bidi w:val="0"/>
        <w:spacing w:lineRule="auto" w:line="312" w:before="200" w:after="200"/>
        <w:ind w:left="0" w:right="0" w:hanging="216"/>
        <w:jc w:val="left"/>
        <w:rPr/>
      </w:pPr>
      <w:r>
        <w:rPr>
          <w:rFonts w:ascii="Wingdings 3;sans-serif" w:hAnsi="Wingdings 3;sans-serif"/>
          <w:b w:val="false"/>
          <w:color w:val="901588"/>
          <w:sz w:val="18"/>
        </w:rPr>
        <w:t>u</w:t>
      </w:r>
      <w:r>
        <w:rPr>
          <w:rFonts w:ascii="Avenir LT Pro 95 Black;sans-serif" w:hAnsi="Avenir LT Pro 95 Black;sans-serif"/>
          <w:b/>
          <w:color w:val="000000"/>
          <w:sz w:val="18"/>
        </w:rPr>
        <w:t>Naval Surface Warfare Center (NSWC) Multi-Service Advanced Capability Hypersonics Test Bed (MACH-TB) 2.0.</w:t>
      </w:r>
      <w:r>
        <w:rPr>
          <w:color w:val="000000"/>
        </w:rPr>
        <w:t xml:space="preserve"> </w:t>
      </w:r>
      <w:r>
        <w:rPr>
          <w:rFonts w:ascii="Avenir LT Pro 45 Book;sans-serif" w:hAnsi="Avenir LT Pro 45 Book;sans-serif"/>
          <w:b w:val="false"/>
          <w:color w:val="000000"/>
          <w:sz w:val="18"/>
        </w:rPr>
        <w:t>The NSWC awarded Leidos an $88 million other transaction authority (OTA) contract to develop experimental hypersonic glide vehicles to serve as real-world testbeds for advancing high-speed flight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0410"/>
                <wp:effectExtent l="0" t="0" r="0" b="0"/>
                <wp:wrapNone/>
                <wp:docPr id="5" name="Frame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FORWARD GUIDANCE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Leidos is raising its fiscal year 2026 guidance as follows: </w:t>
      </w:r>
    </w:p>
    <w:tbl>
      <w:tblPr>
        <w:tblW w:w="8458" w:type="dxa"/>
        <w:jc w:val="center"/>
        <w:tblInd w:w="0" w:type="dxa"/>
        <w:tblLayout w:type="fixed"/>
        <w:tblCellMar>
          <w:top w:w="28" w:type="dxa"/>
          <w:left w:w="28" w:type="dxa"/>
          <w:bottom w:w="28" w:type="dxa"/>
          <w:right w:w="28" w:type="dxa"/>
        </w:tblCellMar>
      </w:tblPr>
      <w:tblGrid>
        <w:gridCol w:w="1592"/>
        <w:gridCol w:w="1396"/>
        <w:gridCol w:w="1406"/>
        <w:gridCol w:w="669"/>
        <w:gridCol w:w="669"/>
        <w:gridCol w:w="672"/>
        <w:gridCol w:w="704"/>
        <w:gridCol w:w="558"/>
        <w:gridCol w:w="792"/>
      </w:tblGrid>
      <w:tr>
        <w:trPr/>
        <w:tc>
          <w:tcPr>
            <w:tcW w:w="159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FY26 Guidance</w:t>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Measure</w:t>
            </w:r>
          </w:p>
        </w:tc>
        <w:tc>
          <w:tcPr>
            <w:tcW w:w="201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Current</w:t>
            </w:r>
          </w:p>
        </w:tc>
        <w:tc>
          <w:tcPr>
            <w:tcW w:w="205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Prior</w:t>
            </w:r>
          </w:p>
        </w:tc>
      </w:tr>
      <w:tr>
        <w:trPr/>
        <w:tc>
          <w:tcPr>
            <w:tcW w:w="439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(B)</w:t>
            </w:r>
          </w:p>
        </w:tc>
        <w:tc>
          <w:tcPr>
            <w:tcW w:w="201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$18.20 - $18.40</w:t>
            </w:r>
          </w:p>
        </w:tc>
        <w:tc>
          <w:tcPr>
            <w:tcW w:w="2054"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$18.00 - $18.40</w:t>
            </w:r>
          </w:p>
        </w:tc>
      </w:tr>
      <w:tr>
        <w:trPr/>
        <w:tc>
          <w:tcPr>
            <w:tcW w:w="439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201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Mid 13%</w:t>
            </w:r>
          </w:p>
        </w:tc>
        <w:tc>
          <w:tcPr>
            <w:tcW w:w="205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Mid 13%</w:t>
            </w:r>
          </w:p>
        </w:tc>
      </w:tr>
      <w:tr>
        <w:trPr/>
        <w:tc>
          <w:tcPr>
            <w:tcW w:w="439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Diluted EPS</w:t>
            </w:r>
          </w:p>
        </w:tc>
        <w:tc>
          <w:tcPr>
            <w:tcW w:w="2010"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$12.20 - $12.50</w:t>
            </w:r>
          </w:p>
        </w:tc>
        <w:tc>
          <w:tcPr>
            <w:tcW w:w="2054" w:type="dxa"/>
            <w:gridSpan w:val="3"/>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$12.10 - $12.50</w:t>
            </w:r>
          </w:p>
        </w:tc>
      </w:tr>
      <w:tr>
        <w:trPr/>
        <w:tc>
          <w:tcPr>
            <w:tcW w:w="4394"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Provided by Operating Activities (B)</w:t>
            </w:r>
          </w:p>
        </w:tc>
        <w:tc>
          <w:tcPr>
            <w:tcW w:w="2010"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Approximately $1.85</w:t>
            </w:r>
          </w:p>
        </w:tc>
        <w:tc>
          <w:tcPr>
            <w:tcW w:w="2054" w:type="dxa"/>
            <w:gridSpan w:val="3"/>
            <w:tcBorders>
              <w:top w:val="single" w:sz="4" w:space="0" w:color="B2B2B2"/>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Approximately $1.80</w:t>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information regarding adjusted EBITDA margin and non-GAAP diluted EPS, see the related explanations and reconciliations to GAAP measures included elsewhere in this release.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does not provide a reconciliation of forward-looking adjusted EBITDA margins or non-GAAP diluted EPS to net income margin or diluted EPS due to the inherent difficulty in forecasting and quantifying certain amounts that are necessary for such reconciliation. Because certain deductions for non-GAAP exclusions used to calculate projected net income margin or diluted EPS may vary significantly based on actual events, Leidos is not able to forecast on a GAAP basis with reasonable certainty all deductions needed in order to provide a GAAP calculation of projected net income at this time. The amounts of these deductions may be material and, therefore, could result in projected net income margin and diluted EPS being materially less than what may be implied by projected adjusted EBITDA margins and non-GAAP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40410"/>
                <wp:effectExtent l="0" t="0" r="0" b="0"/>
                <wp:wrapNone/>
                <wp:docPr id="6" name="Frame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3</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3</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CONFERENCE CALL INFORMATION</w:t>
      </w:r>
    </w:p>
    <w:p>
      <w:pPr>
        <w:pStyle w:val="TextBody"/>
        <w:bidi w:val="0"/>
        <w:spacing w:lineRule="auto" w:line="312" w:before="120" w:after="120"/>
        <w:jc w:val="left"/>
        <w:rPr/>
      </w:pPr>
      <w:r>
        <w:rPr>
          <w:rFonts w:ascii="Avenir LT Pro 45 Book;sans-serif" w:hAnsi="Avenir LT Pro 45 Book;sans-serif"/>
          <w:b w:val="false"/>
          <w:color w:val="000000"/>
          <w:sz w:val="18"/>
        </w:rPr>
        <w:t>Leidos management will discuss operations and financial results in an earnings conference call beginning at 8 A.M. eastern time on August 4, 2026. A live audio broadcast of the conference call along with a supplemental presentation will be available to the public through links on the Leidos Investor Relations website (</w:t>
      </w:r>
      <w:r>
        <w:rPr>
          <w:rFonts w:ascii="Avenir LT Pro 45 Book;sans-serif" w:hAnsi="Avenir LT Pro 45 Book;sans-serif"/>
          <w:b/>
          <w:color w:val="901588"/>
          <w:sz w:val="18"/>
        </w:rPr>
        <w:t>http://ir.leidos.com</w:t>
      </w:r>
      <w:r>
        <w:rPr>
          <w:rFonts w:ascii="Avenir LT Pro 45 Book;sans-serif" w:hAnsi="Avenir LT Pro 45 Book;sans-serif"/>
          <w:b w:val="false"/>
          <w:color w:val="000000"/>
          <w:sz w:val="18"/>
        </w:rPr>
        <w:t xml:space="preserve">). </w:t>
      </w:r>
      <w:r>
        <w:rPr>
          <w:rFonts w:ascii="Avenir LT Pro 45 Book;sans-serif" w:hAnsi="Avenir LT Pro 45 Book;sans-serif"/>
          <w:b w:val="false"/>
          <w:color w:val="000000"/>
          <w:sz w:val="18"/>
          <w:shd w:fill="FFFFFF" w:val="clear"/>
        </w:rPr>
        <w:t xml:space="preserve">An archived version of the webcast will be available on the Leidos Investor Relations website </w:t>
      </w:r>
      <w:r>
        <w:rPr>
          <w:rFonts w:ascii="Avenir LT Pro 45 Book;sans-serif" w:hAnsi="Avenir LT Pro 45 Book;sans-serif"/>
          <w:b w:val="false"/>
          <w:color w:val="000000"/>
          <w:sz w:val="18"/>
        </w:rPr>
        <w:t>until August 4,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ABOUT LEIDOS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Leidos is an industry and technology leader serving government and commercial customers with smarter, more efficient digital and mission innovations. Headquartered in Reston, Virginia, with 50,000 global employees, Leidos reported annual revenues of approximately $17.2 billion for the fiscal year ended January 2, 2026. For more information, visit </w:t>
      </w:r>
      <w:r>
        <w:rPr>
          <w:rFonts w:ascii="Avenir LT Pro 45 Book;sans-serif" w:hAnsi="Avenir LT Pro 45 Book;sans-serif"/>
          <w:b/>
          <w:color w:val="901588"/>
          <w:sz w:val="18"/>
        </w:rPr>
        <w:t>www.leidos.com</w:t>
      </w:r>
      <w:r>
        <w:rPr>
          <w:rFonts w:ascii="Avenir LT Pro 45 Book;sans-serif" w:hAnsi="Avenir LT Pro 45 Book;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FORWARD-LOOKING STATEMENTS</w:t>
      </w:r>
    </w:p>
    <w:p>
      <w:pPr>
        <w:pStyle w:val="TextBody"/>
        <w:bidi w:val="0"/>
        <w:spacing w:lineRule="auto" w:line="312" w:before="120" w:after="120"/>
        <w:jc w:val="left"/>
        <w:rPr>
          <w:rFonts w:ascii="Avenir LT Pro 45 Book;sans-serif" w:hAnsi="Avenir LT Pro 45 Book;sans-serif"/>
          <w:b w:val="false"/>
          <w:color w:val="000000"/>
          <w:sz w:val="18"/>
          <w:shd w:fill="FFFFFF" w:val="clear"/>
        </w:rPr>
      </w:pPr>
      <w:r>
        <w:rPr>
          <w:rFonts w:ascii="Avenir LT Pro 45 Book;sans-serif" w:hAnsi="Avenir LT Pro 45 Book;sans-serif"/>
          <w:b w:val="false"/>
          <w:color w:val="000000"/>
          <w:sz w:val="18"/>
          <w:shd w:fill="FFFFFF" w:val="clear"/>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include, among others, estimates of our future growth, strategy and financial and operating performance, including future revenues, adjusted EBITDA margins, diluted EPS (including on a non-GAAP basis) and cash flows provided by operating activities, as well as statements about our business contingency plans, government budgets and spending, uncertainties in tax due to new tax legislation or other regulatory developments, strategy, planned investments including the pending joint venture, sustainability goals and our future dividends, share repurchases, capital expenditures, debt repayments, acquisitions, dispositions and cash flow conversion. These statements reflect our belief and assumptions as to future events that may not prove to be accurate. </w:t>
      </w:r>
    </w:p>
    <w:p>
      <w:pPr>
        <w:pStyle w:val="TextBody"/>
        <w:bidi w:val="0"/>
        <w:spacing w:lineRule="auto" w:line="312" w:before="120" w:after="120"/>
        <w:jc w:val="left"/>
        <w:rPr>
          <w:rFonts w:ascii="Avenir LT Pro 45 Book;sans-serif" w:hAnsi="Avenir LT Pro 45 Book;sans-serif"/>
          <w:b w:val="false"/>
          <w:color w:val="000000"/>
          <w:sz w:val="18"/>
          <w:shd w:fill="FFFFFF" w:val="clear"/>
        </w:rPr>
      </w:pPr>
      <w:r>
        <w:rPr>
          <w:rFonts w:ascii="Avenir LT Pro 45 Book;sans-serif" w:hAnsi="Avenir LT Pro 45 Book;sans-serif"/>
          <w:b w:val="false"/>
          <w:color w:val="000000"/>
          <w:sz w:val="18"/>
          <w:shd w:fill="FFFFFF" w:val="clear"/>
        </w:rPr>
        <w:t xml:space="preserve">Actual performance and results may differ materially from those results anticipated by our guidance and other forward-looking statements made in this release depending on a variety of factors, including, but not limited to: developments in the U.S. government defense and non-defense budgets, including budget reductions, sequestration, implementation of spending limits or changes in budgetary priorities, potential future U.S. government shutdown and other or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w:t>
      </w:r>
    </w:p>
    <w:p>
      <w:pPr>
        <w:pStyle w:val="TextBody"/>
        <w:bidi w:val="0"/>
        <w:spacing w:before="180" w:after="12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0410"/>
                <wp:effectExtent l="0" t="0" r="0" b="0"/>
                <wp:wrapNone/>
                <wp:docPr id="7" name="Frame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20" w:after="120"/>
        <w:jc w:val="left"/>
        <w:rPr>
          <w:rFonts w:ascii="Avenir LT Pro 45 Book;sans-serif" w:hAnsi="Avenir LT Pro 45 Book;sans-serif"/>
          <w:b w:val="false"/>
          <w:color w:val="000000"/>
          <w:sz w:val="18"/>
          <w:shd w:fill="FFFFFF" w:val="clear"/>
        </w:rPr>
      </w:pPr>
      <w:r>
        <w:rPr>
          <w:rFonts w:ascii="Avenir LT Pro 45 Book;sans-serif" w:hAnsi="Avenir LT Pro 45 Book;sans-serif"/>
          <w:b w:val="false"/>
          <w:color w:val="000000"/>
          <w:sz w:val="18"/>
          <w:shd w:fill="FFFFFF" w:val="clear"/>
        </w:rPr>
        <w:t>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that we face.</w:t>
      </w:r>
    </w:p>
    <w:p>
      <w:pPr>
        <w:pStyle w:val="TextBody"/>
        <w:bidi w:val="0"/>
        <w:spacing w:lineRule="auto" w:line="312" w:before="120" w:after="120"/>
        <w:jc w:val="left"/>
        <w:rPr/>
      </w:pPr>
      <w:r>
        <w:rPr>
          <w:rFonts w:ascii="Avenir LT Pro 45 Book;sans-serif" w:hAnsi="Avenir LT Pro 45 Book;sans-serif"/>
          <w:b w:val="false"/>
          <w:color w:val="000000"/>
          <w:sz w:val="18"/>
          <w:shd w:fill="FFFFFF" w:val="clear"/>
        </w:rPr>
        <w:t xml:space="preserve">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(SEC), including the "Risk Factors," "Management's Discussion and Analysis of Financial Condition and Results of Operations" and "Legal Proceedings" sections of our latest Annual Report on Form 10-K and Quarterly Reports on Form 10-Q, all of which may be viewed or obtained through the Investor Relations section of our website at </w:t>
      </w:r>
      <w:r>
        <w:rPr>
          <w:rFonts w:ascii="Avenir LT Pro 45 Book;sans-serif" w:hAnsi="Avenir LT Pro 45 Book;sans-serif"/>
          <w:b/>
          <w:color w:val="901588"/>
          <w:sz w:val="18"/>
          <w:shd w:fill="FFFFFF" w:val="clear"/>
        </w:rPr>
        <w:t>www.leidos.com</w:t>
      </w:r>
      <w:r>
        <w:rPr>
          <w:rFonts w:ascii="Avenir LT Pro 45 Book;sans-serif" w:hAnsi="Avenir LT Pro 45 Book;sans-serif"/>
          <w:b w:val="false"/>
          <w:color w:val="000000"/>
          <w:sz w:val="18"/>
          <w:shd w:fill="FFFFFF" w:val="clear"/>
        </w:rPr>
        <w:t xml:space="preserve">. </w:t>
      </w:r>
    </w:p>
    <w:p>
      <w:pPr>
        <w:pStyle w:val="TextBody"/>
        <w:bidi w:val="0"/>
        <w:spacing w:lineRule="auto" w:line="312" w:before="120" w:after="120"/>
        <w:jc w:val="left"/>
        <w:rPr/>
      </w:pPr>
      <w:r>
        <w:rPr>
          <w:rFonts w:ascii="Avenir LT Pro 45 Book;sans-serif" w:hAnsi="Avenir LT Pro 45 Book;sans-serif"/>
          <w:b w:val="false"/>
          <w:color w:val="000000"/>
          <w:sz w:val="18"/>
          <w:shd w:fill="FFFFFF" w:val="clear"/>
        </w:rPr>
        <w:t xml:space="preserve">All information in this release is as of </w:t>
      </w:r>
      <w:r>
        <w:rPr>
          <w:rFonts w:ascii="Avenir LT Pro 45 Book;sans-serif" w:hAnsi="Avenir LT Pro 45 Book;sans-serif"/>
          <w:b w:val="false"/>
          <w:color w:val="000000"/>
          <w:sz w:val="18"/>
        </w:rPr>
        <w:t>August 4, 2026</w:t>
      </w:r>
      <w:r>
        <w:rPr>
          <w:rFonts w:ascii="Avenir LT Pro 45 Book;sans-serif" w:hAnsi="Avenir LT Pro 45 Book;sans-serif"/>
          <w:b w:val="false"/>
          <w:color w:val="000000"/>
          <w:sz w:val="18"/>
          <w:shd w:fill="FFFFFF" w:val="clear"/>
        </w:rPr>
        <w:t xml:space="preserve">. Leidos expressly disclaims any duty to update the guidance or any other forward-looking statement provided in this release to reflect subsequent events, actual results or changes in Leidos' expectations. Leidos also disclaims any duty to comment upon or correct information that may be contained in reports published by investment analysts or others. </w:t>
      </w:r>
    </w:p>
    <w:p>
      <w:pPr>
        <w:pStyle w:val="TextBody"/>
        <w:bidi w:val="0"/>
        <w:spacing w:before="120" w:after="120"/>
        <w:jc w:val="left"/>
        <w:rPr/>
      </w:pPr>
      <w:r>
        <w:rPr/>
      </w:r>
    </w:p>
    <w:tbl>
      <w:tblPr>
        <w:tblW w:w="5577"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260"/>
        <w:gridCol w:w="1260"/>
        <w:gridCol w:w="94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Media Relations:</w:t>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Stuart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Brandon Ver Velde</w:t>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571.526.6124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571.526.6257</w:t>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color w:val="901588"/>
                <w:sz w:val="18"/>
              </w:rPr>
            </w:pPr>
            <w:r>
              <w:rPr>
                <w:rFonts w:ascii="Avenir LT Pro 45 Book;sans-serif" w:hAnsi="Avenir LT Pro 45 Book;sans-serif"/>
                <w:b/>
                <w:color w:val="901588"/>
                <w:sz w:val="18"/>
              </w:rPr>
              <w:t>ir@leidos.com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venir LT Pro 45 Book;sans-serif" w:hAnsi="Avenir LT Pro 45 Book;sans-serif"/>
                <w:b/>
                <w:color w:val="901588"/>
                <w:sz w:val="18"/>
              </w:rPr>
            </w:pPr>
            <w:r>
              <w:rPr>
                <w:rFonts w:ascii="Avenir LT Pro 45 Book;sans-serif" w:hAnsi="Avenir LT Pro 45 Book;sans-serif"/>
                <w:b/>
                <w:color w:val="901588"/>
                <w:sz w:val="18"/>
              </w:rPr>
              <w:t>brandon.p.vervelde@leidos.com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0410"/>
                <wp:effectExtent l="0" t="0" r="0" b="0"/>
                <wp:wrapNone/>
                <wp:docPr id="8"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5</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5</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30"/>
        <w:gridCol w:w="1191"/>
        <w:gridCol w:w="1199"/>
        <w:gridCol w:w="109"/>
        <w:gridCol w:w="109"/>
        <w:gridCol w:w="109"/>
        <w:gridCol w:w="226"/>
        <w:gridCol w:w="721"/>
        <w:gridCol w:w="109"/>
        <w:gridCol w:w="109"/>
        <w:gridCol w:w="109"/>
        <w:gridCol w:w="109"/>
        <w:gridCol w:w="226"/>
        <w:gridCol w:w="706"/>
        <w:gridCol w:w="109"/>
        <w:gridCol w:w="109"/>
        <w:gridCol w:w="109"/>
        <w:gridCol w:w="109"/>
        <w:gridCol w:w="226"/>
        <w:gridCol w:w="721"/>
        <w:gridCol w:w="109"/>
        <w:gridCol w:w="109"/>
        <w:gridCol w:w="109"/>
        <w:gridCol w:w="109"/>
        <w:gridCol w:w="226"/>
        <w:gridCol w:w="706"/>
        <w:gridCol w:w="109"/>
        <w:gridCol w:w="109"/>
        <w:gridCol w:w="109"/>
        <w:gridCol w:w="109"/>
        <w:gridCol w:w="156"/>
      </w:tblGrid>
      <w:tr>
        <w:trPr/>
        <w:tc>
          <w:tcPr>
            <w:tcW w:w="183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4220" w:type="dxa"/>
            <w:gridSpan w:val="3"/>
            <w:tcBorders>
              <w:bottom w:val="single" w:sz="4" w:space="0" w:color="90158B"/>
            </w:tcBorders>
            <w:tcMar>
              <w:top w:w="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 except per share data)</w:t>
            </w:r>
          </w:p>
        </w:tc>
        <w:tc>
          <w:tcPr>
            <w:tcW w:w="327" w:type="dxa"/>
            <w:gridSpan w:val="3"/>
            <w:tcBorders>
              <w:bottom w:val="single" w:sz="4" w:space="0" w:color="9015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8,958</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8,498 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 of revenues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3,741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3,471 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7,380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6,959 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Selling, general and administrative expenses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217 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447 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integration and restructuring costs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Equity earnings of non-consolidated subsidiaries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Operating income </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(69)</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(124)</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income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451</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518 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880</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996 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tax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(95)</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(189)</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354</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682</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754 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Earnings per share: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Basic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5.84 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Weighted average number of common shares outstanding:</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Basic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dividends declared per share</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0.43</w:t>
            </w:r>
            <w:r>
              <w:rPr>
                <w:color w:val="000000"/>
              </w:rPr>
              <w:t> </w:t>
            </w:r>
          </w:p>
        </w:tc>
        <w:tc>
          <w:tcPr>
            <w:tcW w:w="109"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0.40 </w:t>
            </w:r>
          </w:p>
        </w:tc>
        <w:tc>
          <w:tcPr>
            <w:tcW w:w="109"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0.86</w:t>
            </w:r>
            <w:r>
              <w:rPr>
                <w:color w:val="000000"/>
              </w:rPr>
              <w:t> </w:t>
            </w:r>
          </w:p>
        </w:tc>
        <w:tc>
          <w:tcPr>
            <w:tcW w:w="109"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0.80 </w:t>
            </w:r>
          </w:p>
        </w:tc>
        <w:tc>
          <w:tcPr>
            <w:tcW w:w="109"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0410"/>
                <wp:effectExtent l="0" t="0" r="0" b="0"/>
                <wp:wrapNone/>
                <wp:docPr id="9" name="Frame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853"/>
        <w:gridCol w:w="2149"/>
        <w:gridCol w:w="2165"/>
        <w:gridCol w:w="109"/>
        <w:gridCol w:w="109"/>
        <w:gridCol w:w="109"/>
        <w:gridCol w:w="226"/>
        <w:gridCol w:w="841"/>
        <w:gridCol w:w="109"/>
        <w:gridCol w:w="109"/>
        <w:gridCol w:w="109"/>
        <w:gridCol w:w="109"/>
        <w:gridCol w:w="226"/>
        <w:gridCol w:w="826"/>
        <w:gridCol w:w="156"/>
      </w:tblGrid>
      <w:tr>
        <w:trPr/>
        <w:tc>
          <w:tcPr>
            <w:tcW w:w="285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January 2,</w:t>
              <w:br/>
              <w:t>2026</w:t>
            </w:r>
          </w:p>
        </w:tc>
      </w:tr>
      <w:tr>
        <w:trPr/>
        <w:tc>
          <w:tcPr>
            <w:tcW w:w="7167"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748</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2,968</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2,708 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Inventory,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342 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493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656 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Assets held for sale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5,246</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4,814 </w:t>
            </w:r>
          </w:p>
        </w:tc>
        <w:tc>
          <w:tcPr>
            <w:tcW w:w="156"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Property, plant and equipment,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961 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Intangible assets,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Goodwill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7,663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6,342 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right-of-use assets,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491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526 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392 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15,632</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13,493 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2,180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1,988 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855</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819 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Current portion of long-term debt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Liabilities held for sale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3,220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2,827 </w:t>
            </w:r>
          </w:p>
        </w:tc>
        <w:tc>
          <w:tcPr>
            <w:tcW w:w="156"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Long-term debt, net of current portion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6,009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4,628 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lease 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587 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long-term 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489 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10,296</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8,531 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Stockholders’ equity:</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Common stock, $0.0001 par value, 500,000,000 shares authorized, 125,492,013 and 126,380,657 shares issued and outstanding at July 3, 2026, and January 2, 2026, respectively</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Additional paid-in capital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319 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Retained earnings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5,219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4,647 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Accumulated other comprehensive 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Leidos stockholders’ equity</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5,284</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4,916 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stockholders' equity</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5,336</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4,962 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liabilities and stockholders' equity</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15,632</w:t>
            </w:r>
            <w:r>
              <w:rPr>
                <w:color w:val="000000"/>
              </w:rPr>
              <w:t> </w:t>
            </w:r>
          </w:p>
        </w:tc>
        <w:tc>
          <w:tcPr>
            <w:tcW w:w="10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13,493 </w:t>
            </w:r>
          </w:p>
        </w:tc>
        <w:tc>
          <w:tcPr>
            <w:tcW w:w="15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0410"/>
                <wp:effectExtent l="0" t="0" r="0" b="0"/>
                <wp:wrapNone/>
                <wp:docPr id="10"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7</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7</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1913"/>
        <w:gridCol w:w="1491"/>
        <w:gridCol w:w="1449"/>
        <w:gridCol w:w="109"/>
        <w:gridCol w:w="109"/>
        <w:gridCol w:w="109"/>
        <w:gridCol w:w="235"/>
        <w:gridCol w:w="548"/>
        <w:gridCol w:w="113"/>
        <w:gridCol w:w="113"/>
        <w:gridCol w:w="113"/>
        <w:gridCol w:w="113"/>
        <w:gridCol w:w="235"/>
        <w:gridCol w:w="548"/>
        <w:gridCol w:w="113"/>
        <w:gridCol w:w="109"/>
        <w:gridCol w:w="109"/>
        <w:gridCol w:w="109"/>
        <w:gridCol w:w="234"/>
        <w:gridCol w:w="547"/>
        <w:gridCol w:w="109"/>
        <w:gridCol w:w="109"/>
        <w:gridCol w:w="109"/>
        <w:gridCol w:w="109"/>
        <w:gridCol w:w="226"/>
        <w:gridCol w:w="526"/>
        <w:gridCol w:w="109"/>
        <w:gridCol w:w="109"/>
        <w:gridCol w:w="109"/>
        <w:gridCol w:w="109"/>
        <w:gridCol w:w="162"/>
      </w:tblGrid>
      <w:tr>
        <w:trPr/>
        <w:tc>
          <w:tcPr>
            <w:tcW w:w="191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853" w:type="dxa"/>
            <w:gridSpan w:val="3"/>
            <w:tcBorders>
              <w:bottom w:val="single" w:sz="4" w:space="0" w:color="90158B"/>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(in millions)</w:t>
            </w:r>
          </w:p>
        </w:tc>
        <w:tc>
          <w:tcPr>
            <w:tcW w:w="327" w:type="dxa"/>
            <w:gridSpan w:val="3"/>
            <w:tcBorders>
              <w:bottom w:val="single" w:sz="4" w:space="0" w:color="9015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39" w:type="dxa"/>
            <w:gridSpan w:val="3"/>
            <w:tcBorders>
              <w:top w:val="single" w:sz="4"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operations: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Net income </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48"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48"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47"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Adjustments to reconcile net income to net cash provided by operations: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and amortization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81</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141 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Stock-based compensation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26</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Deferred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224 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(gain) loss on pension plan settlement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Change in assets and liabilities, net of effects of acquisitions and dispositions: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(33)</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(193)</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(236)</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 current assets and other long-term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Accounts payable and accrued liabilities and other long-term liabilities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43</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(188)</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(260)</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Accrued payroll and employee benefits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188</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155 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taxes receivable/payable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(199)</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provided by operating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793</w:t>
            </w:r>
            <w:r>
              <w:rPr>
                <w:color w:val="000000"/>
              </w:rPr>
              <w:t> </w:t>
            </w:r>
          </w:p>
        </w:tc>
        <w:tc>
          <w:tcPr>
            <w:tcW w:w="113"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486 </w:t>
            </w:r>
          </w:p>
        </w:tc>
        <w:tc>
          <w:tcPr>
            <w:tcW w:w="11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1,094</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544 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investing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of a business, net of cash acquired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(285)</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(2,338)</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(285)</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Payments for property, equipment and software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(32)</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Divestiture of a business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proceeds from sale of assets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used in investing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(38)</w:t>
            </w:r>
          </w:p>
        </w:tc>
        <w:tc>
          <w:tcPr>
            <w:tcW w:w="113"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(314)</w:t>
            </w:r>
          </w:p>
        </w:tc>
        <w:tc>
          <w:tcPr>
            <w:tcW w:w="11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(2,397)</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(336)</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flows from financing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Proceeds from debt issuance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1,397</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997 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Repayments from commercial paper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(300)</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Repayments of borrowings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(559)</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Payments for debt issuance costs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(15)</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Dividend payments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(55)</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(52)</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(110)</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Repurchases of stock and 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(72)</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(315)</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(537)</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Proceeds from issuances of stock</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w:t>
            </w:r>
            <w:r>
              <w:rPr>
                <w:color w:val="000000"/>
              </w:rPr>
              <w:t> </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16 </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33</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capital distributions to non-controlling interests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w:t>
            </w:r>
          </w:p>
        </w:tc>
        <w:tc>
          <w:tcPr>
            <w:tcW w:w="113"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w:t>
            </w:r>
          </w:p>
        </w:tc>
        <w:tc>
          <w:tcPr>
            <w:tcW w:w="1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(used in) provided by financing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(423)</w:t>
            </w:r>
          </w:p>
        </w:tc>
        <w:tc>
          <w:tcPr>
            <w:tcW w:w="113"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w:t>
            </w:r>
          </w:p>
        </w:tc>
        <w:tc>
          <w:tcPr>
            <w:tcW w:w="11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970</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(193)</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op w:val="single" w:sz="8" w:space="0" w:color="DBDBDB"/>
              <w:bottom w:val="single" w:sz="4"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Effect of foreign exchange rate changes on cash, cash equivalents and restricted cash</w:t>
            </w:r>
          </w:p>
        </w:tc>
        <w:tc>
          <w:tcPr>
            <w:tcW w:w="327" w:type="dxa"/>
            <w:gridSpan w:val="3"/>
            <w:tcBorders>
              <w:top w:val="single" w:sz="8" w:space="0" w:color="DBDBDB"/>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w:t>
            </w:r>
            <w:r>
              <w:rPr>
                <w:color w:val="000000"/>
              </w:rPr>
              <w:t> </w:t>
            </w:r>
          </w:p>
        </w:tc>
        <w:tc>
          <w:tcPr>
            <w:tcW w:w="113"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13"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109"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0410"/>
                <wp:effectExtent l="0" t="0" r="0" b="0"/>
                <wp:wrapNone/>
                <wp:docPr id="11" name="Frame1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CONDENSED CONSOLIDATED STATEMENTS OF CASH FLOWS [CONTINUED]</w: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793"/>
        <w:gridCol w:w="1576"/>
        <w:gridCol w:w="1541"/>
        <w:gridCol w:w="109"/>
        <w:gridCol w:w="109"/>
        <w:gridCol w:w="109"/>
        <w:gridCol w:w="232"/>
        <w:gridCol w:w="542"/>
        <w:gridCol w:w="112"/>
        <w:gridCol w:w="112"/>
        <w:gridCol w:w="112"/>
        <w:gridCol w:w="112"/>
        <w:gridCol w:w="232"/>
        <w:gridCol w:w="542"/>
        <w:gridCol w:w="112"/>
        <w:gridCol w:w="109"/>
        <w:gridCol w:w="109"/>
        <w:gridCol w:w="109"/>
        <w:gridCol w:w="226"/>
        <w:gridCol w:w="526"/>
        <w:gridCol w:w="109"/>
        <w:gridCol w:w="109"/>
        <w:gridCol w:w="109"/>
        <w:gridCol w:w="109"/>
        <w:gridCol w:w="226"/>
        <w:gridCol w:w="526"/>
        <w:gridCol w:w="109"/>
        <w:gridCol w:w="109"/>
        <w:gridCol w:w="109"/>
        <w:gridCol w:w="109"/>
        <w:gridCol w:w="157"/>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36"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increase (decrease) in cash, cash equivalents and restricted cash, including cash classified in current assets held for sale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333</w:t>
            </w:r>
            <w:r>
              <w:rPr>
                <w:color w:val="000000"/>
              </w:rPr>
              <w:t> </w:t>
            </w:r>
          </w:p>
        </w:tc>
        <w:tc>
          <w:tcPr>
            <w:tcW w:w="112"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96 </w:t>
            </w:r>
          </w:p>
        </w:tc>
        <w:tc>
          <w:tcPr>
            <w:tcW w:w="11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(333)</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0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change in cash balances classified as assets held for sale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w:t>
            </w:r>
            <w:r>
              <w:rPr>
                <w:color w:val="000000"/>
              </w:rPr>
              <w:t> </w:t>
            </w:r>
          </w:p>
        </w:tc>
        <w:tc>
          <w:tcPr>
            <w:tcW w:w="11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increase (decrease) in cash, cash equivalents and restricted cash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292</w:t>
            </w:r>
            <w:r>
              <w:rPr>
                <w:color w:val="000000"/>
              </w:rPr>
              <w:t> </w:t>
            </w:r>
          </w:p>
        </w:tc>
        <w:tc>
          <w:tcPr>
            <w:tcW w:w="11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(374)</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cash equivalents and restricted cash at beginning of period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538</w:t>
            </w:r>
            <w:r>
              <w:rPr>
                <w:color w:val="000000"/>
              </w:rPr>
              <w:t> </w:t>
            </w:r>
          </w:p>
        </w:tc>
        <w:tc>
          <w:tcPr>
            <w:tcW w:w="11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924 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1,204</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991 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cash equivalents and restricted cash at end of period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830</w:t>
            </w:r>
            <w:r>
              <w:rPr>
                <w:color w:val="000000"/>
              </w:rPr>
              <w:t> </w:t>
            </w:r>
          </w:p>
        </w:tc>
        <w:tc>
          <w:tcPr>
            <w:tcW w:w="112"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1,020 </w:t>
            </w:r>
          </w:p>
        </w:tc>
        <w:tc>
          <w:tcPr>
            <w:tcW w:w="1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830</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1,020 </w:t>
            </w:r>
          </w:p>
        </w:tc>
        <w:tc>
          <w:tcPr>
            <w:tcW w:w="10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restricted cash at end of period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82</w:t>
            </w:r>
            <w:r>
              <w:rPr>
                <w:color w:val="000000"/>
              </w:rPr>
              <w:t> </w:t>
            </w:r>
          </w:p>
        </w:tc>
        <w:tc>
          <w:tcPr>
            <w:tcW w:w="11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90 </w:t>
            </w:r>
          </w:p>
        </w:tc>
        <w:tc>
          <w:tcPr>
            <w:tcW w:w="10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Cash and cash equivalents at end of period</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42"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748</w:t>
            </w:r>
            <w:r>
              <w:rPr>
                <w:color w:val="000000"/>
              </w:rPr>
              <w:t> </w:t>
            </w:r>
          </w:p>
        </w:tc>
        <w:tc>
          <w:tcPr>
            <w:tcW w:w="112"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4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930 </w:t>
            </w:r>
          </w:p>
        </w:tc>
        <w:tc>
          <w:tcPr>
            <w:tcW w:w="11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748</w:t>
            </w:r>
            <w:r>
              <w:rPr>
                <w:color w:val="000000"/>
              </w:rPr>
              <w:t> </w:t>
            </w:r>
          </w:p>
        </w:tc>
        <w:tc>
          <w:tcPr>
            <w:tcW w:w="10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2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930 </w:t>
            </w:r>
          </w:p>
        </w:tc>
        <w:tc>
          <w:tcPr>
            <w:tcW w:w="109"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0410"/>
                <wp:effectExtent l="0" t="0" r="0" b="0"/>
                <wp:wrapNone/>
                <wp:docPr id="12"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9</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9</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SEGMENT OPERATING RESULTS</w:t>
      </w:r>
    </w:p>
    <w:p>
      <w:pPr>
        <w:pStyle w:val="TextBody"/>
        <w:bidi w:val="0"/>
        <w:spacing w:before="120" w:after="120"/>
        <w:jc w:val="left"/>
        <w:rPr/>
      </w:pPr>
      <w:r>
        <w:rPr/>
      </w:r>
    </w:p>
    <w:tbl>
      <w:tblPr>
        <w:tblW w:w="9165" w:type="dxa"/>
        <w:jc w:val="center"/>
        <w:tblInd w:w="0" w:type="dxa"/>
        <w:tblLayout w:type="fixed"/>
        <w:tblCellMar>
          <w:top w:w="28" w:type="dxa"/>
          <w:left w:w="28" w:type="dxa"/>
          <w:bottom w:w="28" w:type="dxa"/>
          <w:right w:w="28" w:type="dxa"/>
        </w:tblCellMar>
      </w:tblPr>
      <w:tblGrid>
        <w:gridCol w:w="1004"/>
        <w:gridCol w:w="747"/>
        <w:gridCol w:w="753"/>
        <w:gridCol w:w="109"/>
        <w:gridCol w:w="109"/>
        <w:gridCol w:w="109"/>
        <w:gridCol w:w="226"/>
        <w:gridCol w:w="721"/>
        <w:gridCol w:w="286"/>
        <w:gridCol w:w="109"/>
        <w:gridCol w:w="109"/>
        <w:gridCol w:w="109"/>
        <w:gridCol w:w="226"/>
        <w:gridCol w:w="706"/>
        <w:gridCol w:w="271"/>
        <w:gridCol w:w="109"/>
        <w:gridCol w:w="109"/>
        <w:gridCol w:w="109"/>
        <w:gridCol w:w="226"/>
        <w:gridCol w:w="721"/>
        <w:gridCol w:w="286"/>
        <w:gridCol w:w="109"/>
        <w:gridCol w:w="109"/>
        <w:gridCol w:w="109"/>
        <w:gridCol w:w="226"/>
        <w:gridCol w:w="706"/>
        <w:gridCol w:w="271"/>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w:t>
              <w:br/>
              <w:t>2026</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1,499</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1,408 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3,012</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2,816 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1,175 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2,274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2,363 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1,541 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1,778 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8,958</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8,498 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 (loss):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142</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267 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254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591 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92</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125</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146</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(58)</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(75)</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 margin: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9.6 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9.6</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25.8 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23.7</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25.0 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8.7 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7.9</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11.3</w:t>
            </w:r>
            <w:r>
              <w:rPr>
                <w:color w:val="000000"/>
              </w:rPr>
              <w:t> </w:t>
            </w:r>
          </w:p>
        </w:tc>
        <w:tc>
          <w:tcPr>
            <w:tcW w:w="286"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13.4 </w:t>
            </w:r>
          </w:p>
        </w:tc>
        <w:tc>
          <w:tcPr>
            <w:tcW w:w="271"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11.4</w:t>
            </w:r>
            <w:r>
              <w:rPr>
                <w:color w:val="000000"/>
              </w:rPr>
              <w:t> </w:t>
            </w:r>
          </w:p>
        </w:tc>
        <w:tc>
          <w:tcPr>
            <w:tcW w:w="286"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71"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Intelligence &amp; Digital</w:t>
      </w:r>
    </w:p>
    <w:p>
      <w:pPr>
        <w:pStyle w:val="TextBody"/>
        <w:bidi w:val="0"/>
        <w:spacing w:lineRule="auto" w:line="312" w:before="120" w:after="120"/>
        <w:jc w:val="left"/>
        <w:rPr/>
      </w:pPr>
      <w:r>
        <w:rPr>
          <w:rFonts w:ascii="Avenir LT Pro 45 Book;sans-serif" w:hAnsi="Avenir LT Pro 45 Book;sans-serif"/>
          <w:b w:val="false"/>
          <w:color w:val="000000"/>
          <w:sz w:val="18"/>
        </w:rPr>
        <w:t>Intelligence &amp; Digital revenues grew 6% year-over-year to $1.50 billion driven by recent contract awards and increased volumes for Intelligence Community mission support, as well as $9 million from Kudu Dynamics through May 23, 2026 (12 months from the close of the acquisition). Operating income margin was 9.5% compared to 9.6% in the prior year quarter, and non-GAAP operating income margin was 10.1%, unchanged from the prior year quarter.</w:t>
      </w:r>
      <w:r>
        <w:rPr>
          <w:color w:val="EE2724"/>
        </w:rPr>
        <w:t xml:space="preserve"> </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Health</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Health revenues of $1.09 billion decreased by 8% compared to the prior year quarter. Health operating income margin for the quarter was 23.4%, compared to 25.8% in the prior year quarter, and non-GAAP operating income margin was 23.8%, compared to 26.3% in the prior year quarter. The declines in revenues and margins were primarily driven by lower medical disability exam volumes.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Homeland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Homeland revenues of $1.02 billion increased by 32% compared to the prior year quarter. Revenue growth was driven by continued strong demand in the Air Traffic and Energy businesses, and included $141 million from the acquisition of ENTRUST Solutions. Operating income margin for the quarter was 9.0%, compared to 8.3% in the prior year quarter, and non-GAAP operating margin increased to 12.1% from 9.3% in the prior year quarter. Profitability enhancements were driven by a better mix of security products, as well as improved program performance and lower indirect expenses across the portfolio.</w:t>
      </w: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0410"/>
                <wp:effectExtent l="0" t="0" r="0" b="0"/>
                <wp:wrapNone/>
                <wp:docPr id="13" name="Frame1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226.85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SEGMENT OPERATING RESULTS</w:t>
      </w:r>
    </w:p>
    <w:p>
      <w:pPr>
        <w:pStyle w:val="TextBody"/>
        <w:bidi w:val="0"/>
        <w:spacing w:before="120" w:after="120"/>
        <w:jc w:val="left"/>
        <w:rPr/>
      </w:pPr>
      <w:r>
        <w:rPr/>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Defense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Defense revenues of $955 million were up 6% compared to the prior year quarter led by increased demand for several defense tech product lines. Defense operating income margin for the quarter was 8.8%, compared to 8.7% in the prior year quarter, and non-GAAP operating margin was 9.9%, compared to 10.0% in the prior year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0410"/>
                <wp:effectExtent l="0" t="0" r="0" b="0"/>
                <wp:wrapNone/>
                <wp:docPr id="14"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BACKLOG BY REPORTABLE SEGMENT</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Backlog value is based on management’s estimates about volume of services, availability of customer funding and other factors, and excludes contracts that are under protest. Estimated backlog comprises both funded and negotiated unfunded backlog. Backlog estimates are subject to change and may be affected by several factors, including modifications of contracts, non-exercise of options and foreign currency movements.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Funded backlog for contracts with the U.S. government represents the value on contracts for which funding is appropriated less revenues previously recognized on these contracts. Funded backlog for contracts with non-U.S. government entities and commercial customers represents the estimated value on contracts, which may cover multiple future years, under which Leidos is obligated to perform, less revenue previously recognized on the contracts. Unfunded backlog represents all remaining value on task orders that is not funded, including options, that we expect to recognize as well as expected future task orders under sole source IDIQ contracts.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estimated value of backlog as of the dates presented was as follows:</w:t>
      </w:r>
    </w:p>
    <w:tbl>
      <w:tblPr>
        <w:tblW w:w="10396" w:type="dxa"/>
        <w:jc w:val="center"/>
        <w:tblInd w:w="0" w:type="dxa"/>
        <w:tblLayout w:type="fixed"/>
        <w:tblCellMar>
          <w:top w:w="28" w:type="dxa"/>
          <w:left w:w="28" w:type="dxa"/>
          <w:bottom w:w="28" w:type="dxa"/>
          <w:right w:w="28" w:type="dxa"/>
        </w:tblCellMar>
      </w:tblPr>
      <w:tblGrid>
        <w:gridCol w:w="423"/>
        <w:gridCol w:w="372"/>
        <w:gridCol w:w="376"/>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4E8F3" w:val="clear"/>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Funded</w:t>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Unfunded</w:t>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Funded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Unfunded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1,922</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16,492</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18,414</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1,667 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16,081 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17,748 </w:t>
            </w:r>
          </w:p>
        </w:tc>
        <w:tc>
          <w:tcPr>
            <w:tcW w:w="109" w:type="dxa"/>
            <w:tcBorders>
              <w:top w:val="single" w:sz="4"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1,242</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5,369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6,611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504 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7,522 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8,026 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3,669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6,261</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9,930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2,918 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6,920 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9,838 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3,390</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10,366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13,756</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2,033 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8,565 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10,598 </w:t>
            </w:r>
          </w:p>
        </w:tc>
        <w:tc>
          <w:tcPr>
            <w:tcW w:w="109" w:type="dxa"/>
            <w:tcBorders>
              <w:top w:val="single" w:sz="4" w:space="0" w:color="B2B2B2"/>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10,223</w:t>
            </w:r>
            <w:r>
              <w:rPr>
                <w:color w:val="000000"/>
              </w:rPr>
              <w:t> </w:t>
            </w:r>
          </w:p>
        </w:tc>
        <w:tc>
          <w:tcPr>
            <w:tcW w:w="10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38,488</w:t>
            </w:r>
            <w:r>
              <w:rPr>
                <w:color w:val="000000"/>
              </w:rPr>
              <w:t> </w:t>
            </w:r>
          </w:p>
        </w:tc>
        <w:tc>
          <w:tcPr>
            <w:tcW w:w="10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48,711</w:t>
            </w:r>
            <w:r>
              <w:rPr>
                <w:color w:val="000000"/>
              </w:rPr>
              <w:t> </w:t>
            </w:r>
          </w:p>
        </w:tc>
        <w:tc>
          <w:tcPr>
            <w:tcW w:w="10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7,122 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39,088 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46,210 </w:t>
            </w:r>
          </w:p>
        </w:tc>
        <w:tc>
          <w:tcPr>
            <w:tcW w:w="109" w:type="dxa"/>
            <w:tcBorders>
              <w:top w:val="single" w:sz="8" w:space="0" w:color="901588"/>
              <w:bottom w:val="double" w:sz="8" w:space="0" w:color="901588"/>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Backlog at July 3, 2026, includes amounts acquired as part of the Entrust transaction. As of March 27, 2026, the acquisition date, Entrust had $371 million of backlog that was included within the Homeland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0410"/>
                <wp:effectExtent l="0" t="0" r="0" b="0"/>
                <wp:wrapNone/>
                <wp:docPr id="15" name="Frame1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Leidos uses and refers to non-GAAP operating income, non-GAAP operating margin, adjusted EBITDA, adjusted EBITDA margin, non-GAAP diluted EPS, non-GAAP free cash flow and non-GAAP free cash flow conversion, which are not measures of financial performance under generally accepted accounting principles in the U.S. and, accordingly, these measures should not be considered in isolation or as a substitute for the comparable GAAP measures and should be read in conjunction with Leidos's consolidated financial statements prepared in accordance with GAAP.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Management believes that these non-GAAP measures provide another representation of the results of operations and financial condition, including its ability to comply with financial covenants. These non-GAAP measures are frequently used by financial analysts covering Leidos and its peers. The computation of non-GAAP measures may not be comparable to similarly titled measures reported by other companies, thus limiting their use for comparability.</w:t>
      </w:r>
    </w:p>
    <w:p>
      <w:pPr>
        <w:pStyle w:val="TextBody"/>
        <w:bidi w:val="0"/>
        <w:spacing w:lineRule="auto" w:line="312" w:before="120" w:after="120"/>
        <w:jc w:val="left"/>
        <w:rPr/>
      </w:pPr>
      <w:r>
        <w:rPr>
          <w:rFonts w:ascii="Avenir LT Pro 95 Black;sans-serif" w:hAnsi="Avenir LT Pro 95 Black;sans-serif"/>
          <w:b/>
          <w:color w:val="000000"/>
          <w:sz w:val="18"/>
        </w:rPr>
        <w:t>Organic revenues</w:t>
      </w:r>
      <w:r>
        <w:rPr>
          <w:color w:val="000000"/>
        </w:rPr>
        <w:t xml:space="preserve"> </w:t>
      </w:r>
      <w:r>
        <w:rPr>
          <w:rFonts w:ascii="Avenir LT Pro 45 Book;sans-serif" w:hAnsi="Avenir LT Pro 45 Book;sans-serif"/>
          <w:b w:val="false"/>
          <w:color w:val="000000"/>
          <w:sz w:val="18"/>
        </w:rPr>
        <w:t>capture the revenue that is inherent in the underlying business excluding the impact of acquisitions and divestitures made within the prior year; it is computed as current revenues excluding revenues from acquisitions within the last 12 months and divestitures within the current and year-ago periods.</w:t>
      </w:r>
    </w:p>
    <w:p>
      <w:pPr>
        <w:pStyle w:val="TextBody"/>
        <w:bidi w:val="0"/>
        <w:spacing w:lineRule="auto" w:line="312" w:before="120" w:after="120"/>
        <w:jc w:val="left"/>
        <w:rPr/>
      </w:pPr>
      <w:r>
        <w:rPr>
          <w:rFonts w:ascii="Avenir LT Pro 95 Black;sans-serif" w:hAnsi="Avenir LT Pro 95 Black;sans-serif"/>
          <w:b/>
          <w:color w:val="000000"/>
          <w:sz w:val="18"/>
        </w:rPr>
        <w:t>Non-GAAP operating income</w:t>
      </w:r>
      <w:r>
        <w:rPr>
          <w:color w:val="000000"/>
        </w:rPr>
        <w:t xml:space="preserve"> </w:t>
      </w:r>
      <w:r>
        <w:rPr>
          <w:rFonts w:ascii="Avenir LT Pro 45 Book;sans-serif" w:hAnsi="Avenir LT Pro 45 Book;sans-serif"/>
          <w:b w:val="false"/>
          <w:color w:val="000000"/>
          <w:sz w:val="18"/>
        </w:rPr>
        <w:t xml:space="preserve">is computed by excluding the following discrete items from operating income: </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 xml:space="preserve">Acquisition, integration and restructuring costs – Represents acquisition, integration, lease termination, severance and retention costs and asset markdowns related to acquisitions and restructuring activities. </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Amortization of acquired intangible assets – Represents the amortization of the fair value of the acquired intangible assets. We do not exclude the revenue associated with these acquired intangible assets from non-GAAP operating income.</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Asset impairment charges – Represents impairments of long-lived intangible assets and other assets.</w:t>
      </w:r>
    </w:p>
    <w:p>
      <w:pPr>
        <w:pStyle w:val="TextBody"/>
        <w:bidi w:val="0"/>
        <w:spacing w:lineRule="auto" w:line="312" w:before="120" w:after="120"/>
        <w:jc w:val="left"/>
        <w:rPr/>
      </w:pPr>
      <w:r>
        <w:rPr>
          <w:rFonts w:ascii="Avenir LT Pro 95 Black;sans-serif" w:hAnsi="Avenir LT Pro 95 Black;sans-serif"/>
          <w:b/>
          <w:color w:val="000000"/>
          <w:sz w:val="18"/>
        </w:rPr>
        <w:t>Non-GAAP non operating income</w:t>
      </w:r>
      <w:r>
        <w:rPr>
          <w:color w:val="000000"/>
        </w:rPr>
        <w:t xml:space="preserve"> </w:t>
      </w:r>
      <w:r>
        <w:rPr>
          <w:rFonts w:ascii="Avenir LT Pro 45 Book;sans-serif" w:hAnsi="Avenir LT Pro 45 Book;sans-serif"/>
          <w:b w:val="false"/>
          <w:color w:val="000000"/>
          <w:sz w:val="18"/>
        </w:rPr>
        <w:t>is computed by excluding the discrete items from operating income and the following discrete items from non operating income.</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Settlement loss on pension plan buy-out – Represents the settlement loss in connection with the buy-out of our UK defined benefit pension plan.</w:t>
      </w:r>
    </w:p>
    <w:p>
      <w:pPr>
        <w:pStyle w:val="TextBody"/>
        <w:bidi w:val="0"/>
        <w:spacing w:lineRule="auto" w:line="312" w:before="120" w:after="120"/>
        <w:ind w:left="0" w:right="0" w:hanging="216"/>
        <w:jc w:val="left"/>
        <w:rPr/>
      </w:pPr>
      <w:r>
        <w:rPr>
          <w:rFonts w:ascii="Wingdings 3;sans-serif" w:hAnsi="Wingdings 3;sans-serif"/>
          <w:b w:val="false"/>
          <w:color w:val="901588"/>
          <w:sz w:val="18"/>
        </w:rPr>
        <w:t>u</w:t>
      </w:r>
      <w:r>
        <w:rPr>
          <w:rFonts w:ascii="Avenir LT Pro 45 Book;sans-serif" w:hAnsi="Avenir LT Pro 45 Book;sans-serif"/>
          <w:b w:val="false"/>
          <w:color w:val="000000"/>
          <w:sz w:val="18"/>
        </w:rPr>
        <w:t>Acquisition related financing costs – Represents the cost associated with the termination of the bridge loan facility in connection with the acquisition of Entrust.</w:t>
      </w:r>
    </w:p>
    <w:p>
      <w:pPr>
        <w:pStyle w:val="TextBody"/>
        <w:bidi w:val="0"/>
        <w:spacing w:lineRule="auto" w:line="312" w:before="120" w:after="120"/>
        <w:jc w:val="left"/>
        <w:rPr/>
      </w:pPr>
      <w:r>
        <w:rPr>
          <w:rFonts w:ascii="Avenir LT Pro 95 Black;sans-serif" w:hAnsi="Avenir LT Pro 95 Black;sans-serif"/>
          <w:b/>
          <w:color w:val="000000"/>
          <w:sz w:val="18"/>
        </w:rPr>
        <w:t>Non-GAAP operating margin</w:t>
      </w:r>
      <w:r>
        <w:rPr>
          <w:color w:val="000000"/>
        </w:rPr>
        <w:t xml:space="preserve"> </w:t>
      </w:r>
      <w:r>
        <w:rPr>
          <w:rFonts w:ascii="Avenir LT Pro 45 Book;sans-serif" w:hAnsi="Avenir LT Pro 45 Book;sans-serif"/>
          <w:b w:val="false"/>
          <w:color w:val="000000"/>
          <w:sz w:val="18"/>
        </w:rPr>
        <w:t>is computed by dividing non-GAAP operating income by revenues.</w:t>
      </w:r>
    </w:p>
    <w:p>
      <w:pPr>
        <w:pStyle w:val="TextBody"/>
        <w:bidi w:val="0"/>
        <w:spacing w:lineRule="auto" w:line="312" w:before="120" w:after="120"/>
        <w:jc w:val="left"/>
        <w:rPr/>
      </w:pPr>
      <w:r>
        <w:rPr>
          <w:rFonts w:ascii="Avenir LT Pro 95 Black;sans-serif" w:hAnsi="Avenir LT Pro 95 Black;sans-serif"/>
          <w:b/>
          <w:color w:val="000000"/>
          <w:sz w:val="18"/>
        </w:rPr>
        <w:t>Adjusted EBITDA</w:t>
      </w:r>
      <w:r>
        <w:rPr>
          <w:color w:val="000000"/>
        </w:rPr>
        <w:t xml:space="preserve"> </w:t>
      </w:r>
      <w:r>
        <w:rPr>
          <w:rFonts w:ascii="Avenir LT Pro 45 Book;sans-serif" w:hAnsi="Avenir LT Pro 45 Book;sans-serif"/>
          <w:b w:val="false"/>
          <w:color w:val="000000"/>
          <w:sz w:val="18"/>
        </w:rPr>
        <w:t>is computed by excluding the following items from income before income taxes: (i) discrete items as identified above; (ii) interest expense; (iii) interest income; (iv) depreciation expense; and (v) amortization of internally developed intangible assets.</w:t>
      </w:r>
    </w:p>
    <w:p>
      <w:pPr>
        <w:pStyle w:val="TextBody"/>
        <w:bidi w:val="0"/>
        <w:spacing w:lineRule="auto" w:line="312" w:before="120" w:after="120"/>
        <w:jc w:val="left"/>
        <w:rPr/>
      </w:pPr>
      <w:r>
        <w:rPr>
          <w:rFonts w:ascii="Avenir LT Pro 95 Black;sans-serif" w:hAnsi="Avenir LT Pro 95 Black;sans-serif"/>
          <w:b/>
          <w:color w:val="000000"/>
          <w:sz w:val="18"/>
        </w:rPr>
        <w:t>Adjusted EBITDA margin</w:t>
      </w:r>
      <w:r>
        <w:rPr>
          <w:color w:val="000000"/>
        </w:rPr>
        <w:t xml:space="preserve"> </w:t>
      </w:r>
      <w:r>
        <w:rPr>
          <w:rFonts w:ascii="Avenir LT Pro 45 Book;sans-serif" w:hAnsi="Avenir LT Pro 45 Book;sans-serif"/>
          <w:b w:val="false"/>
          <w:color w:val="000000"/>
          <w:sz w:val="18"/>
        </w:rPr>
        <w:t>is computed by dividing adjusted EBITDA by revenues.</w:t>
      </w:r>
    </w:p>
    <w:p>
      <w:pPr>
        <w:pStyle w:val="TextBody"/>
        <w:bidi w:val="0"/>
        <w:spacing w:lineRule="auto" w:line="312" w:before="120" w:after="120"/>
        <w:jc w:val="left"/>
        <w:rPr/>
      </w:pPr>
      <w:r>
        <w:rPr>
          <w:rFonts w:ascii="Avenir LT Pro 95 Black;sans-serif" w:hAnsi="Avenir LT Pro 95 Black;sans-serif"/>
          <w:b/>
          <w:color w:val="000000"/>
          <w:sz w:val="18"/>
        </w:rPr>
        <w:t>Non-GAAP net income</w:t>
      </w:r>
      <w:r>
        <w:rPr>
          <w:color w:val="000000"/>
        </w:rPr>
        <w:t xml:space="preserve"> </w:t>
      </w:r>
      <w:r>
        <w:rPr>
          <w:rFonts w:ascii="Avenir LT Pro 45 Book;sans-serif" w:hAnsi="Avenir LT Pro 45 Book;sans-serif"/>
          <w:b w:val="false"/>
          <w:color w:val="000000"/>
          <w:sz w:val="18"/>
        </w:rPr>
        <w:t>is computed by excluding the discrete items listed under non-GAAP operating income and non-GAAP non operating income and their related tax impacts.</w:t>
      </w:r>
    </w:p>
    <w:p>
      <w:pPr>
        <w:pStyle w:val="TextBody"/>
        <w:bidi w:val="0"/>
        <w:spacing w:lineRule="auto" w:line="312" w:before="120" w:after="120"/>
        <w:jc w:val="left"/>
        <w:rPr/>
      </w:pPr>
      <w:r>
        <w:rPr>
          <w:rFonts w:ascii="Avenir LT Pro 95 Black;sans-serif" w:hAnsi="Avenir LT Pro 95 Black;sans-serif"/>
          <w:b/>
          <w:color w:val="000000"/>
          <w:sz w:val="18"/>
        </w:rPr>
        <w:t>Non-GAAP diluted EPS</w:t>
      </w:r>
      <w:r>
        <w:rPr>
          <w:color w:val="000000"/>
        </w:rPr>
        <w:t xml:space="preserve"> </w:t>
      </w:r>
      <w:r>
        <w:rPr>
          <w:rFonts w:ascii="Avenir LT Pro 45 Book;sans-serif" w:hAnsi="Avenir LT Pro 45 Book;sans-serif"/>
          <w:b w:val="false"/>
          <w:color w:val="000000"/>
          <w:sz w:val="18"/>
        </w:rPr>
        <w:t>is computed by dividing net income attributable to Leidos common stockholders, adjusted for the discrete items as identified above and the related tax impacts, by the diluted weighted average number of common shares outstanding.</w:t>
      </w:r>
    </w:p>
    <w:p>
      <w:pPr>
        <w:pStyle w:val="TextBody"/>
        <w:bidi w:val="0"/>
        <w:spacing w:lineRule="auto" w:line="312" w:before="120" w:after="120"/>
        <w:jc w:val="left"/>
        <w:rPr/>
      </w:pPr>
      <w:r>
        <w:rPr>
          <w:rFonts w:ascii="Avenir LT Pro 95 Black;sans-serif" w:hAnsi="Avenir LT Pro 95 Black;sans-serif"/>
          <w:b/>
          <w:color w:val="000000"/>
          <w:sz w:val="18"/>
        </w:rPr>
        <w:t>Non-GAAP free cash flow</w:t>
      </w:r>
      <w:r>
        <w:rPr>
          <w:color w:val="000000"/>
        </w:rPr>
        <w:t xml:space="preserve"> </w:t>
      </w:r>
      <w:r>
        <w:rPr>
          <w:rFonts w:ascii="Avenir LT Pro 45 Book;sans-serif" w:hAnsi="Avenir LT Pro 45 Book;sans-serif"/>
          <w:b w:val="false"/>
          <w:color w:val="000000"/>
          <w:sz w:val="18"/>
        </w:rPr>
        <w:t xml:space="preserve">is computed by deducting expenditures for property, equipment and software from net cash provided by (used in) operating activities. </w:t>
      </w:r>
    </w:p>
    <w:p>
      <w:pPr>
        <w:pStyle w:val="TextBody"/>
        <w:bidi w:val="0"/>
        <w:spacing w:lineRule="auto" w:line="312" w:before="120" w:after="120"/>
        <w:jc w:val="left"/>
        <w:rPr/>
      </w:pPr>
      <w:r>
        <w:rPr>
          <w:rFonts w:ascii="Avenir LT Pro 95 Black;sans-serif" w:hAnsi="Avenir LT Pro 95 Black;sans-serif"/>
          <w:b/>
          <w:color w:val="000000"/>
          <w:sz w:val="18"/>
        </w:rPr>
        <w:t>Non-GAAP free cash flow conversion</w:t>
      </w:r>
      <w:r>
        <w:rPr>
          <w:color w:val="000000"/>
        </w:rPr>
        <w:t xml:space="preserve"> </w:t>
      </w:r>
      <w:r>
        <w:rPr>
          <w:rFonts w:ascii="Avenir LT Pro 45 Book;sans-serif" w:hAnsi="Avenir LT Pro 45 Book;sans-serif"/>
          <w:b w:val="false"/>
          <w:color w:val="000000"/>
          <w:sz w:val="18"/>
        </w:rPr>
        <w:t>is computed by dividing non-GAAP free cash flow by non-GAAP net income attributable to Leidos common stockholders; operating cash flow conversion is computed by dividing net cash provided by operating activities by net income attributable to Leidos common stockholders.</w:t>
      </w:r>
    </w:p>
    <w:p>
      <w:pPr>
        <w:pStyle w:val="TextBody"/>
        <w:bidi w:val="0"/>
        <w:spacing w:before="120" w:after="120"/>
        <w:jc w:val="left"/>
        <w:rPr/>
      </w:pPr>
      <w:r>
        <w:rPr/>
      </w:r>
    </w:p>
    <w:p>
      <w:pPr>
        <w:pStyle w:val="TextBody"/>
        <w:bidi w:val="0"/>
        <w:spacing w:before="180" w:after="120"/>
        <w:jc w:val="left"/>
        <w:rPr/>
      </w:pPr>
      <w:r>
        <w:rPr/>
      </w:r>
    </w:p>
    <w:p>
      <w:pPr>
        <w:pStyle w:val="TextBody"/>
        <w:bidi w:val="0"/>
        <w:spacing w:before="120" w:after="1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0410"/>
                <wp:effectExtent l="0" t="0" r="0" b="0"/>
                <wp:wrapNone/>
                <wp:docPr id="16"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13</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13</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growth percentages)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presents the reconciliation of revenues to organic revenues by reportable segment and total operations:</w:t>
      </w:r>
    </w:p>
    <w:tbl>
      <w:tblPr>
        <w:tblW w:w="8483" w:type="dxa"/>
        <w:jc w:val="left"/>
        <w:tblInd w:w="0" w:type="dxa"/>
        <w:tblLayout w:type="fixed"/>
        <w:tblCellMar>
          <w:top w:w="28" w:type="dxa"/>
          <w:left w:w="28" w:type="dxa"/>
          <w:bottom w:w="28" w:type="dxa"/>
          <w:right w:w="28" w:type="dxa"/>
        </w:tblCellMar>
      </w:tblPr>
      <w:tblGrid>
        <w:gridCol w:w="1358"/>
        <w:gridCol w:w="1194"/>
        <w:gridCol w:w="1198"/>
        <w:gridCol w:w="273"/>
        <w:gridCol w:w="871"/>
        <w:gridCol w:w="131"/>
        <w:gridCol w:w="109"/>
        <w:gridCol w:w="109"/>
        <w:gridCol w:w="109"/>
        <w:gridCol w:w="263"/>
        <w:gridCol w:w="824"/>
        <w:gridCol w:w="127"/>
        <w:gridCol w:w="109"/>
        <w:gridCol w:w="109"/>
        <w:gridCol w:w="109"/>
        <w:gridCol w:w="323"/>
        <w:gridCol w:w="323"/>
        <w:gridCol w:w="94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 2025</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Percent Change</w:t>
            </w:r>
          </w:p>
        </w:tc>
      </w:tr>
      <w:tr>
        <w:trPr/>
        <w:tc>
          <w:tcPr>
            <w:tcW w:w="375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1275"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as reported</w:t>
            </w:r>
          </w:p>
        </w:tc>
        <w:tc>
          <w:tcPr>
            <w:tcW w:w="27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7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1,499</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1,408 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6.5 </w:t>
            </w:r>
          </w:p>
        </w:tc>
        <w:tc>
          <w:tcPr>
            <w:tcW w:w="94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Acquisition revenues</w:t>
            </w:r>
            <w:r>
              <w:rPr>
                <w:rFonts w:ascii="Avenir LT Pro 35 Light;sans-serif" w:hAnsi="Avenir LT Pro 35 Light;sans-serif"/>
                <w:b w:val="false"/>
                <w:color w:val="000000"/>
                <w:sz w:val="12"/>
              </w:rPr>
              <w:t>(1)</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Organic revenues</w:t>
            </w:r>
          </w:p>
        </w:tc>
        <w:tc>
          <w:tcPr>
            <w:tcW w:w="1144"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1,490</w:t>
            </w:r>
            <w:r>
              <w:rPr>
                <w:color w:val="000000"/>
              </w:rPr>
              <w:t> </w:t>
            </w:r>
          </w:p>
        </w:tc>
        <w:tc>
          <w:tcPr>
            <w:tcW w:w="131"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1,408 </w:t>
            </w:r>
          </w:p>
        </w:tc>
        <w:tc>
          <w:tcPr>
            <w:tcW w:w="12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5.8 </w:t>
            </w:r>
          </w:p>
        </w:tc>
        <w:tc>
          <w:tcPr>
            <w:tcW w:w="94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127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as reported</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1,086</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1,175 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w:t>
            </w:r>
          </w:p>
        </w:tc>
        <w:tc>
          <w:tcPr>
            <w:tcW w:w="94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127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as reported</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1,018</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771 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32.0 </w:t>
            </w:r>
          </w:p>
        </w:tc>
        <w:tc>
          <w:tcPr>
            <w:tcW w:w="94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Acquisition and divestiture revenues</w:t>
            </w:r>
            <w:r>
              <w:rPr>
                <w:rFonts w:ascii="Avenir LT Pro 35 Light;sans-serif" w:hAnsi="Avenir LT Pro 35 Light;sans-serif"/>
                <w:b w:val="false"/>
                <w:color w:val="000000"/>
                <w:sz w:val="12"/>
              </w:rPr>
              <w:t>(1)(2)</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141</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Organic revenues</w:t>
            </w:r>
          </w:p>
        </w:tc>
        <w:tc>
          <w:tcPr>
            <w:tcW w:w="1144"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877</w:t>
            </w:r>
            <w:r>
              <w:rPr>
                <w:color w:val="000000"/>
              </w:rPr>
              <w:t> </w:t>
            </w:r>
          </w:p>
        </w:tc>
        <w:tc>
          <w:tcPr>
            <w:tcW w:w="131"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762 </w:t>
            </w:r>
          </w:p>
        </w:tc>
        <w:tc>
          <w:tcPr>
            <w:tcW w:w="12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15.1 </w:t>
            </w:r>
          </w:p>
        </w:tc>
        <w:tc>
          <w:tcPr>
            <w:tcW w:w="94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127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as reported</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955</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899 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94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Operations </w:t>
            </w:r>
          </w:p>
        </w:tc>
        <w:tc>
          <w:tcPr>
            <w:tcW w:w="1275"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Revenues, as reported</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4,558</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4,253 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7.2 </w:t>
            </w:r>
          </w:p>
        </w:tc>
        <w:tc>
          <w:tcPr>
            <w:tcW w:w="94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37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Acquisition and divestiture revenues</w:t>
            </w:r>
            <w:r>
              <w:rPr>
                <w:rFonts w:ascii="Avenir LT Pro 35 Light;sans-serif" w:hAnsi="Avenir LT Pro 35 Light;sans-serif"/>
                <w:b w:val="false"/>
                <w:color w:val="000000"/>
                <w:sz w:val="12"/>
              </w:rPr>
              <w:t>(1)(2)</w:t>
            </w:r>
          </w:p>
        </w:tc>
        <w:tc>
          <w:tcPr>
            <w:tcW w:w="1144"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150</w:t>
            </w:r>
            <w:r>
              <w:rPr>
                <w:color w:val="000000"/>
              </w:rPr>
              <w:t> </w:t>
            </w:r>
          </w:p>
        </w:tc>
        <w:tc>
          <w:tcPr>
            <w:tcW w:w="13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9 </w:t>
            </w:r>
          </w:p>
        </w:tc>
        <w:tc>
          <w:tcPr>
            <w:tcW w:w="12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Organic revenues</w:t>
            </w:r>
          </w:p>
        </w:tc>
        <w:tc>
          <w:tcPr>
            <w:tcW w:w="273" w:type="dxa"/>
            <w:tcBorders>
              <w:top w:val="sing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71" w:type="dxa"/>
            <w:tcBorders>
              <w:top w:val="sing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4,408</w:t>
            </w:r>
            <w:r>
              <w:rPr>
                <w:color w:val="000000"/>
              </w:rPr>
              <w:t> </w:t>
            </w:r>
          </w:p>
        </w:tc>
        <w:tc>
          <w:tcPr>
            <w:tcW w:w="131" w:type="dxa"/>
            <w:tcBorders>
              <w:top w:val="sing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4" w:type="dxa"/>
            <w:tcBorders>
              <w:top w:val="sing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4,244 </w:t>
            </w:r>
          </w:p>
        </w:tc>
        <w:tc>
          <w:tcPr>
            <w:tcW w:w="127" w:type="dxa"/>
            <w:tcBorders>
              <w:top w:val="single" w:sz="8" w:space="0" w:color="90158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3.9 </w:t>
            </w:r>
          </w:p>
        </w:tc>
        <w:tc>
          <w:tcPr>
            <w:tcW w:w="944" w:type="dxa"/>
            <w:tcBorders>
              <w:top w:val="sing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Current period acquisition revenues reflects revenues in the current as reported figures for 12 months from closing of each acquisition. Acquisition revenues for the three months ended July 3, 2026, for the Intelligence &amp; Digital and Homeland segments includes Kudu Dynamics (acquired May 23, 2025) and Entrust (acquired March 27, 2026).</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shd w:fill="FFFFFF" w:val="clear"/>
        </w:rPr>
        <w:t>(2)</w:t>
      </w:r>
      <w:r>
        <w:rPr>
          <w:rFonts w:ascii="Avenir LT Pro 45 Book;sans-serif" w:hAnsi="Avenir LT Pro 45 Book;sans-serif"/>
          <w:b w:val="false"/>
          <w:color w:val="000000"/>
          <w:sz w:val="14"/>
          <w:shd w:fill="FFFFFF" w:val="clear"/>
        </w:rPr>
        <w:t>Prior period divestiture revenues reflect revenues from assets subsequently divested. Divestiture revenues for the three months ended July 4, 2025, for the Homeland segment include an immaterial business not aligned to the Company's long term strategy (divested October 31, 2025).</w:t>
      </w:r>
    </w:p>
    <w:p>
      <w:pPr>
        <w:pStyle w:val="TextBody"/>
        <w:bidi w:val="0"/>
        <w:spacing w:before="120" w:after="12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 cy="14605"/>
                <wp:effectExtent l="0" t="0" r="0" b="0"/>
                <wp:wrapNone/>
                <wp:docPr id="17"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per share data and margin percentages)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following tables present the reconciliation of non-GAAP operating income, net income, diluted EPS, adjusted EBITDA, and adjusted EBITDA margin to the most directly comparable GAAP measures for the </w:t>
      </w:r>
      <w:r>
        <w:rPr>
          <w:rFonts w:ascii="Avenir LT Pro 45 Book;sans-serif" w:hAnsi="Avenir LT Pro 45 Book;sans-serif"/>
          <w:b/>
          <w:color w:val="000000"/>
          <w:sz w:val="18"/>
        </w:rPr>
        <w:t>three months</w:t>
      </w:r>
      <w:r>
        <w:rPr>
          <w:color w:val="000000"/>
        </w:rPr>
        <w:t xml:space="preserve"> </w:t>
      </w:r>
      <w:r>
        <w:rPr>
          <w:rFonts w:ascii="Avenir LT Pro 45 Book;sans-serif" w:hAnsi="Avenir LT Pro 45 Book;sans-serif"/>
          <w:b w:val="false"/>
          <w:color w:val="000000"/>
          <w:sz w:val="18"/>
        </w:rPr>
        <w:t>ended July 3, 2026:</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761"/>
        <w:gridCol w:w="511"/>
        <w:gridCol w:w="388"/>
        <w:gridCol w:w="109"/>
        <w:gridCol w:w="109"/>
        <w:gridCol w:w="109"/>
        <w:gridCol w:w="245"/>
        <w:gridCol w:w="653"/>
        <w:gridCol w:w="120"/>
        <w:gridCol w:w="109"/>
        <w:gridCol w:w="109"/>
        <w:gridCol w:w="109"/>
        <w:gridCol w:w="356"/>
        <w:gridCol w:w="925"/>
        <w:gridCol w:w="173"/>
        <w:gridCol w:w="109"/>
        <w:gridCol w:w="109"/>
        <w:gridCol w:w="109"/>
        <w:gridCol w:w="328"/>
        <w:gridCol w:w="853"/>
        <w:gridCol w:w="160"/>
        <w:gridCol w:w="109"/>
        <w:gridCol w:w="109"/>
        <w:gridCol w:w="109"/>
        <w:gridCol w:w="109"/>
        <w:gridCol w:w="109"/>
        <w:gridCol w:w="109"/>
        <w:gridCol w:w="109"/>
        <w:gridCol w:w="109"/>
        <w:gridCol w:w="109"/>
        <w:gridCol w:w="297"/>
        <w:gridCol w:w="772"/>
        <w:gridCol w:w="145"/>
        <w:gridCol w:w="109"/>
        <w:gridCol w:w="109"/>
        <w:gridCol w:w="109"/>
        <w:gridCol w:w="280"/>
        <w:gridCol w:w="747"/>
        <w:gridCol w:w="202"/>
      </w:tblGrid>
      <w:tr>
        <w:trPr/>
        <w:tc>
          <w:tcPr>
            <w:tcW w:w="7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c>
          <w:tcPr>
            <w:tcW w:w="3315" w:type="dxa"/>
            <w:gridSpan w:val="14"/>
            <w:tcBorders/>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 xml:space="preserve">Acquisition, integration and restructuring costs </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results</w:t>
            </w:r>
          </w:p>
        </w:tc>
      </w:tr>
      <w:tr>
        <w:trPr/>
        <w:tc>
          <w:tcPr>
            <w:tcW w:w="166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53"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120"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7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5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160"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45"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47"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584</w:t>
            </w:r>
            <w:r>
              <w:rPr>
                <w:color w:val="000000"/>
              </w:rPr>
              <w:t> </w:t>
            </w:r>
          </w:p>
        </w:tc>
        <w:tc>
          <w:tcPr>
            <w:tcW w:w="202"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w:t>
            </w:r>
          </w:p>
        </w:tc>
        <w:tc>
          <w:tcPr>
            <w:tcW w:w="120"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w:t>
            </w:r>
          </w:p>
        </w:tc>
        <w:tc>
          <w:tcPr>
            <w:tcW w:w="20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451</w:t>
            </w:r>
            <w:r>
              <w:rPr>
                <w:color w:val="000000"/>
              </w:rPr>
              <w:t> </w:t>
            </w:r>
          </w:p>
        </w:tc>
        <w:tc>
          <w:tcPr>
            <w:tcW w:w="120"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73"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160"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45"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521</w:t>
            </w:r>
            <w:r>
              <w:rPr>
                <w:color w:val="000000"/>
              </w:rPr>
              <w:t> </w:t>
            </w:r>
          </w:p>
        </w:tc>
        <w:tc>
          <w:tcPr>
            <w:tcW w:w="202"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(95)</w:t>
            </w:r>
          </w:p>
        </w:tc>
        <w:tc>
          <w:tcPr>
            <w:tcW w:w="120"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w:t>
            </w:r>
          </w:p>
        </w:tc>
        <w:tc>
          <w:tcPr>
            <w:tcW w:w="1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w:t>
            </w:r>
          </w:p>
        </w:tc>
        <w:tc>
          <w:tcPr>
            <w:tcW w:w="16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(108)</w:t>
            </w:r>
          </w:p>
        </w:tc>
        <w:tc>
          <w:tcPr>
            <w:tcW w:w="20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120"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7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30 </w:t>
            </w:r>
          </w:p>
        </w:tc>
        <w:tc>
          <w:tcPr>
            <w:tcW w:w="160"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4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413</w:t>
            </w:r>
            <w:r>
              <w:rPr>
                <w:color w:val="000000"/>
              </w:rPr>
              <w:t> </w:t>
            </w:r>
          </w:p>
        </w:tc>
        <w:tc>
          <w:tcPr>
            <w:tcW w:w="202"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120"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w:t>
            </w:r>
            <w:r>
              <w:rPr>
                <w:color w:val="000000"/>
              </w:rPr>
              <w:t> </w:t>
            </w:r>
          </w:p>
        </w:tc>
        <w:tc>
          <w:tcPr>
            <w:tcW w:w="20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53"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354</w:t>
            </w:r>
            <w:r>
              <w:rPr>
                <w:color w:val="000000"/>
              </w:rPr>
              <w:t> </w:t>
            </w:r>
          </w:p>
        </w:tc>
        <w:tc>
          <w:tcPr>
            <w:tcW w:w="120"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7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5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30 </w:t>
            </w:r>
          </w:p>
        </w:tc>
        <w:tc>
          <w:tcPr>
            <w:tcW w:w="160"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4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47"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411</w:t>
            </w:r>
            <w:r>
              <w:rPr>
                <w:color w:val="000000"/>
              </w:rPr>
              <w:t> </w:t>
            </w:r>
          </w:p>
        </w:tc>
        <w:tc>
          <w:tcPr>
            <w:tcW w:w="202"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Diluted EPS attributable to Leidos common stockholders</w:t>
            </w:r>
            <w:r>
              <w:rPr>
                <w:rFonts w:ascii="Avenir LT Pro 35 Light;sans-serif" w:hAnsi="Avenir LT Pro 35 Light;sans-serif"/>
                <w:b w:val="false"/>
                <w:color w:val="000000"/>
                <w:sz w:val="12"/>
              </w:rPr>
              <w:t>(3)</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53"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w:t>
            </w:r>
            <w:r>
              <w:rPr>
                <w:color w:val="000000"/>
              </w:rPr>
              <w:t> </w:t>
            </w:r>
          </w:p>
        </w:tc>
        <w:tc>
          <w:tcPr>
            <w:tcW w:w="120"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25"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0.21 </w:t>
            </w:r>
          </w:p>
        </w:tc>
        <w:tc>
          <w:tcPr>
            <w:tcW w:w="1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5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0.24 </w:t>
            </w:r>
          </w:p>
        </w:tc>
        <w:tc>
          <w:tcPr>
            <w:tcW w:w="16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72"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0.01 </w:t>
            </w:r>
          </w:p>
        </w:tc>
        <w:tc>
          <w:tcPr>
            <w:tcW w:w="14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47"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3.26</w:t>
            </w:r>
            <w:r>
              <w:rPr>
                <w:color w:val="000000"/>
              </w:rPr>
              <w:t> </w:t>
            </w:r>
          </w:p>
        </w:tc>
        <w:tc>
          <w:tcPr>
            <w:tcW w:w="20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shares</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w:t>
            </w:r>
            <w:r>
              <w:rPr>
                <w:color w:val="000000"/>
              </w:rPr>
              <w:t> </w:t>
            </w:r>
          </w:p>
        </w:tc>
        <w:tc>
          <w:tcPr>
            <w:tcW w:w="120"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126 </w:t>
            </w:r>
          </w:p>
        </w:tc>
        <w:tc>
          <w:tcPr>
            <w:tcW w:w="173"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126 </w:t>
            </w:r>
          </w:p>
        </w:tc>
        <w:tc>
          <w:tcPr>
            <w:tcW w:w="160"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126 </w:t>
            </w:r>
          </w:p>
        </w:tc>
        <w:tc>
          <w:tcPr>
            <w:tcW w:w="145"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w:t>
            </w:r>
            <w:r>
              <w:rPr>
                <w:color w:val="000000"/>
              </w:rPr>
              <w:t> </w:t>
            </w:r>
          </w:p>
        </w:tc>
        <w:tc>
          <w:tcPr>
            <w:tcW w:w="202"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1"/>
        <w:gridCol w:w="302"/>
        <w:gridCol w:w="304"/>
        <w:gridCol w:w="109"/>
        <w:gridCol w:w="109"/>
        <w:gridCol w:w="109"/>
        <w:gridCol w:w="231"/>
        <w:gridCol w:w="538"/>
        <w:gridCol w:w="292"/>
        <w:gridCol w:w="109"/>
        <w:gridCol w:w="109"/>
        <w:gridCol w:w="109"/>
        <w:gridCol w:w="488"/>
        <w:gridCol w:w="877"/>
        <w:gridCol w:w="236"/>
        <w:gridCol w:w="109"/>
        <w:gridCol w:w="109"/>
        <w:gridCol w:w="109"/>
        <w:gridCol w:w="438"/>
        <w:gridCol w:w="786"/>
        <w:gridCol w:w="212"/>
        <w:gridCol w:w="109"/>
        <w:gridCol w:w="109"/>
        <w:gridCol w:w="109"/>
        <w:gridCol w:w="109"/>
        <w:gridCol w:w="109"/>
        <w:gridCol w:w="109"/>
        <w:gridCol w:w="109"/>
        <w:gridCol w:w="109"/>
        <w:gridCol w:w="463"/>
        <w:gridCol w:w="586"/>
        <w:gridCol w:w="224"/>
        <w:gridCol w:w="109"/>
        <w:gridCol w:w="109"/>
        <w:gridCol w:w="109"/>
        <w:gridCol w:w="429"/>
        <w:gridCol w:w="205"/>
        <w:gridCol w:w="633"/>
      </w:tblGrid>
      <w:tr>
        <w:trPr/>
        <w:tc>
          <w:tcPr>
            <w:tcW w:w="78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c>
          <w:tcPr>
            <w:tcW w:w="3085" w:type="dxa"/>
            <w:gridSpan w:val="11"/>
            <w:tcBorders/>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 xml:space="preserve">Acquisition, integration and restructuring costs </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results</w:t>
            </w:r>
          </w:p>
        </w:tc>
      </w:tr>
      <w:tr>
        <w:trPr/>
        <w:tc>
          <w:tcPr>
            <w:tcW w:w="1387"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38"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356</w:t>
            </w:r>
            <w:r>
              <w:rPr>
                <w:color w:val="000000"/>
              </w:rPr>
              <w:t> </w:t>
            </w:r>
          </w:p>
        </w:tc>
        <w:tc>
          <w:tcPr>
            <w:tcW w:w="292"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23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8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30 </w:t>
            </w:r>
          </w:p>
        </w:tc>
        <w:tc>
          <w:tcPr>
            <w:tcW w:w="21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2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38"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413</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w:t>
            </w:r>
            <w:r>
              <w:rPr>
                <w:color w:val="000000"/>
              </w:rPr>
              <w:t> </w:t>
            </w:r>
          </w:p>
        </w:tc>
        <w:tc>
          <w:tcPr>
            <w:tcW w:w="29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3 </w:t>
            </w:r>
          </w:p>
        </w:tc>
        <w:tc>
          <w:tcPr>
            <w:tcW w:w="23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108</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451</w:t>
            </w:r>
            <w:r>
              <w:rPr>
                <w:color w:val="000000"/>
              </w:rPr>
              <w:t> </w:t>
            </w:r>
          </w:p>
        </w:tc>
        <w:tc>
          <w:tcPr>
            <w:tcW w:w="292"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23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2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2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521</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w:t>
            </w:r>
            <w:r>
              <w:rPr>
                <w:color w:val="000000"/>
              </w:rPr>
              <w:t> </w:t>
            </w:r>
          </w:p>
        </w:tc>
        <w:tc>
          <w:tcPr>
            <w:tcW w:w="29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41</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40</w:t>
            </w:r>
            <w:r>
              <w:rPr>
                <w:color w:val="000000"/>
              </w:rPr>
              <w:t> </w:t>
            </w:r>
          </w:p>
        </w:tc>
        <w:tc>
          <w:tcPr>
            <w:tcW w:w="29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6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w:t>
            </w:r>
            <w:r>
              <w:rPr>
                <w:color w:val="000000"/>
              </w:rPr>
              <w:t> </w:t>
            </w:r>
          </w:p>
        </w:tc>
        <w:tc>
          <w:tcPr>
            <w:tcW w:w="292"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69</w:t>
            </w:r>
          </w:p>
        </w:tc>
      </w:tr>
      <w:tr>
        <w:trPr/>
        <w:tc>
          <w:tcPr>
            <w:tcW w:w="13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538"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601</w:t>
            </w:r>
            <w:r>
              <w:rPr>
                <w:color w:val="000000"/>
              </w:rPr>
              <w:t> </w:t>
            </w:r>
          </w:p>
        </w:tc>
        <w:tc>
          <w:tcPr>
            <w:tcW w:w="292"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7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23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8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2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38"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631</w:t>
            </w:r>
          </w:p>
        </w:tc>
      </w:tr>
      <w:tr>
        <w:trPr/>
        <w:tc>
          <w:tcPr>
            <w:tcW w:w="1387"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13.2</w:t>
            </w:r>
            <w:r>
              <w:rPr>
                <w:color w:val="000000"/>
              </w:rPr>
              <w:t> </w:t>
            </w:r>
          </w:p>
        </w:tc>
        <w:tc>
          <w:tcPr>
            <w:tcW w:w="292" w:type="dxa"/>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13.8</w:t>
            </w:r>
            <w:r>
              <w:rPr>
                <w:color w:val="000000"/>
              </w:rPr>
              <w:t> </w:t>
            </w:r>
          </w:p>
        </w:tc>
        <w:tc>
          <w:tcPr>
            <w:tcW w:w="633" w:type="dxa"/>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bl>
    <w:p>
      <w:pPr>
        <w:pStyle w:val="TextBody"/>
        <w:bidi w:val="0"/>
        <w:spacing w:lineRule="auto" w:line="312" w:before="80" w:after="80"/>
        <w:ind w:left="0" w:right="0" w:hanging="288"/>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(1)Asset markdowns associated with restructuring activities were recorded to "Cost of revenues" in the condensed consolidated statements of operations.</w:t>
      </w:r>
    </w:p>
    <w:p>
      <w:pPr>
        <w:pStyle w:val="TextBody"/>
        <w:bidi w:val="0"/>
        <w:spacing w:lineRule="auto" w:line="312" w:before="80" w:after="80"/>
        <w:ind w:left="0" w:right="0" w:hanging="288"/>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(2)Calculation uses an estimated statutory tax rate on non-GAAP adjustments.</w:t>
      </w:r>
    </w:p>
    <w:p>
      <w:pPr>
        <w:pStyle w:val="TextBody"/>
        <w:bidi w:val="0"/>
        <w:spacing w:lineRule="auto" w:line="312" w:before="80" w:after="80"/>
        <w:ind w:left="0" w:right="0" w:hanging="288"/>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(3)Earnings per share is computed independently for each of the non-GAAP adjustment presented and therefore may not sum to the total non-GAAP earnings per share due to rounding.</w:t>
      </w:r>
    </w:p>
    <w:p>
      <w:pPr>
        <w:pStyle w:val="TextBody"/>
        <w:bidi w:val="0"/>
        <w:spacing w:before="120" w:after="12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40410"/>
                <wp:effectExtent l="0" t="0" r="0" b="0"/>
                <wp:wrapNone/>
                <wp:docPr id="18"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15</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15</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per share data and margin percentages)</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The following tables present the reconciliation of non-GAAP operating income, net income, diluted EPS, adjusted EBITDA, and adjusted EBITDA margin to the most directly comparable GAAP measures for the </w:t>
      </w:r>
      <w:r>
        <w:rPr>
          <w:rFonts w:ascii="Avenir LT Pro 45 Book;sans-serif" w:hAnsi="Avenir LT Pro 45 Book;sans-serif"/>
          <w:b/>
          <w:color w:val="000000"/>
          <w:sz w:val="18"/>
        </w:rPr>
        <w:t>three months</w:t>
      </w:r>
      <w:r>
        <w:rPr>
          <w:color w:val="000000"/>
        </w:rPr>
        <w:t xml:space="preserve"> </w:t>
      </w:r>
      <w:r>
        <w:rPr>
          <w:rFonts w:ascii="Avenir LT Pro 45 Book;sans-serif" w:hAnsi="Avenir LT Pro 45 Book;sans-serif"/>
          <w:b w:val="false"/>
          <w:color w:val="000000"/>
          <w:sz w:val="18"/>
        </w:rPr>
        <w:t>ended July 4, 2025:</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37"/>
        <w:gridCol w:w="791"/>
        <w:gridCol w:w="696"/>
        <w:gridCol w:w="109"/>
        <w:gridCol w:w="109"/>
        <w:gridCol w:w="109"/>
        <w:gridCol w:w="241"/>
        <w:gridCol w:w="625"/>
        <w:gridCol w:w="116"/>
        <w:gridCol w:w="109"/>
        <w:gridCol w:w="109"/>
        <w:gridCol w:w="109"/>
        <w:gridCol w:w="521"/>
        <w:gridCol w:w="1353"/>
        <w:gridCol w:w="254"/>
        <w:gridCol w:w="109"/>
        <w:gridCol w:w="109"/>
        <w:gridCol w:w="109"/>
        <w:gridCol w:w="443"/>
        <w:gridCol w:w="1152"/>
        <w:gridCol w:w="216"/>
        <w:gridCol w:w="109"/>
        <w:gridCol w:w="109"/>
        <w:gridCol w:w="109"/>
        <w:gridCol w:w="109"/>
        <w:gridCol w:w="109"/>
        <w:gridCol w:w="285"/>
        <w:gridCol w:w="743"/>
        <w:gridCol w:w="206"/>
      </w:tblGrid>
      <w:tr>
        <w:trPr/>
        <w:tc>
          <w:tcPr>
            <w:tcW w:w="103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1343" w:type="dxa"/>
            <w:gridSpan w:val="4"/>
            <w:tcBorders/>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integration and restructuring costs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results</w:t>
            </w:r>
          </w:p>
        </w:tc>
      </w:tr>
      <w:tr>
        <w:trPr/>
        <w:tc>
          <w:tcPr>
            <w:tcW w:w="252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11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5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5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5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21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4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605 </w:t>
            </w:r>
          </w:p>
        </w:tc>
        <w:tc>
          <w:tcPr>
            <w:tcW w:w="20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w:t>
            </w:r>
          </w:p>
        </w:tc>
        <w:tc>
          <w:tcPr>
            <w:tcW w:w="1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w:t>
            </w:r>
          </w:p>
        </w:tc>
        <w:tc>
          <w:tcPr>
            <w:tcW w:w="20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518 </w:t>
            </w:r>
          </w:p>
        </w:tc>
        <w:tc>
          <w:tcPr>
            <w:tcW w:w="1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5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2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552 </w:t>
            </w:r>
          </w:p>
        </w:tc>
        <w:tc>
          <w:tcPr>
            <w:tcW w:w="20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w:t>
            </w:r>
          </w:p>
        </w:tc>
        <w:tc>
          <w:tcPr>
            <w:tcW w:w="1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254"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w:t>
            </w:r>
          </w:p>
        </w:tc>
        <w:tc>
          <w:tcPr>
            <w:tcW w:w="216"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(133)</w:t>
            </w:r>
          </w:p>
        </w:tc>
        <w:tc>
          <w:tcPr>
            <w:tcW w:w="20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1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5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2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419 </w:t>
            </w:r>
          </w:p>
        </w:tc>
        <w:tc>
          <w:tcPr>
            <w:tcW w:w="20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0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1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5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5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5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21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4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417 </w:t>
            </w:r>
          </w:p>
        </w:tc>
        <w:tc>
          <w:tcPr>
            <w:tcW w:w="20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Diluted EPS attributable to Leidos common stockholders</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5"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3.01 </w:t>
            </w:r>
          </w:p>
        </w:tc>
        <w:tc>
          <w:tcPr>
            <w:tcW w:w="1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5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0.01 </w:t>
            </w:r>
          </w:p>
        </w:tc>
        <w:tc>
          <w:tcPr>
            <w:tcW w:w="25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52"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0.19 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4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3.21 </w:t>
            </w:r>
          </w:p>
        </w:tc>
        <w:tc>
          <w:tcPr>
            <w:tcW w:w="20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shares</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11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54"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1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06"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0"/>
        <w:gridCol w:w="474"/>
        <w:gridCol w:w="478"/>
        <w:gridCol w:w="109"/>
        <w:gridCol w:w="109"/>
        <w:gridCol w:w="109"/>
        <w:gridCol w:w="236"/>
        <w:gridCol w:w="551"/>
        <w:gridCol w:w="284"/>
        <w:gridCol w:w="109"/>
        <w:gridCol w:w="109"/>
        <w:gridCol w:w="109"/>
        <w:gridCol w:w="895"/>
        <w:gridCol w:w="1132"/>
        <w:gridCol w:w="433"/>
        <w:gridCol w:w="109"/>
        <w:gridCol w:w="109"/>
        <w:gridCol w:w="109"/>
        <w:gridCol w:w="622"/>
        <w:gridCol w:w="1118"/>
        <w:gridCol w:w="301"/>
        <w:gridCol w:w="109"/>
        <w:gridCol w:w="109"/>
        <w:gridCol w:w="109"/>
        <w:gridCol w:w="109"/>
        <w:gridCol w:w="109"/>
        <w:gridCol w:w="276"/>
        <w:gridCol w:w="644"/>
        <w:gridCol w:w="395"/>
      </w:tblGrid>
      <w:tr>
        <w:trPr/>
        <w:tc>
          <w:tcPr>
            <w:tcW w:w="8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2"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1424" w:type="dxa"/>
            <w:gridSpan w:val="4"/>
            <w:tcBorders/>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integration and restructuring costs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results</w:t>
            </w:r>
          </w:p>
        </w:tc>
      </w:tr>
      <w:tr>
        <w:trPr/>
        <w:tc>
          <w:tcPr>
            <w:tcW w:w="1792"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5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393 </w:t>
            </w:r>
          </w:p>
        </w:tc>
        <w:tc>
          <w:tcPr>
            <w:tcW w:w="28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3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43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1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30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4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419 </w:t>
            </w:r>
          </w:p>
        </w:tc>
        <w:tc>
          <w:tcPr>
            <w:tcW w:w="395"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2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433"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301"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133 </w:t>
            </w:r>
          </w:p>
        </w:tc>
        <w:tc>
          <w:tcPr>
            <w:tcW w:w="3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518 </w:t>
            </w:r>
          </w:p>
        </w:tc>
        <w:tc>
          <w:tcPr>
            <w:tcW w:w="28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43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30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552 </w:t>
            </w:r>
          </w:p>
        </w:tc>
        <w:tc>
          <w:tcPr>
            <w:tcW w:w="39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2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3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2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w:t>
            </w:r>
          </w:p>
        </w:tc>
        <w:tc>
          <w:tcPr>
            <w:tcW w:w="30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55 </w:t>
            </w:r>
          </w:p>
        </w:tc>
        <w:tc>
          <w:tcPr>
            <w:tcW w:w="2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55 </w:t>
            </w:r>
          </w:p>
        </w:tc>
        <w:tc>
          <w:tcPr>
            <w:tcW w:w="3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5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645 </w:t>
            </w:r>
          </w:p>
        </w:tc>
        <w:tc>
          <w:tcPr>
            <w:tcW w:w="28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3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43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1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4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647 </w:t>
            </w:r>
          </w:p>
        </w:tc>
        <w:tc>
          <w:tcPr>
            <w:tcW w:w="39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284" w:type="dxa"/>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395" w:type="dxa"/>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ind w:left="0" w:right="0" w:hanging="288"/>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(1)Calculation uses an estimated statutory tax rate on non-GAAP adjustments.</w:t>
      </w:r>
    </w:p>
    <w:p>
      <w:pPr>
        <w:pStyle w:val="TextBody"/>
        <w:bidi w:val="0"/>
        <w:spacing w:lineRule="auto" w:line="312" w:before="80" w:after="80"/>
        <w:ind w:left="0" w:right="0" w:hanging="288"/>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(2)Earnings per share is computed independently for each of the non-GAAP adjustment presented and therefore may not sum to the total non-GAAP earnings per share due to rounding.</w:t>
      </w:r>
    </w:p>
    <w:p>
      <w:pPr>
        <w:pStyle w:val="TextBody"/>
        <w:bidi w:val="0"/>
        <w:spacing w:before="120" w:after="12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0410"/>
                <wp:effectExtent l="0" t="0" r="0" b="0"/>
                <wp:wrapNone/>
                <wp:docPr id="19" name="Frame1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per share data and margin percentages)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tables present the reconciliation of non-GAAP operating income, net income, diluted EPS, adjusted EBITDA, and adjusted EBITDA margin to the most directly comparable GAAP measures for the six months ended July 3, 2026:</w:t>
      </w:r>
    </w:p>
    <w:tbl>
      <w:tblPr>
        <w:tblW w:w="11932" w:type="dxa"/>
        <w:jc w:val="left"/>
        <w:tblInd w:w="0" w:type="dxa"/>
        <w:tblLayout w:type="fixed"/>
        <w:tblCellMar>
          <w:top w:w="28" w:type="dxa"/>
          <w:left w:w="28" w:type="dxa"/>
          <w:bottom w:w="28" w:type="dxa"/>
          <w:right w:w="28" w:type="dxa"/>
        </w:tblCellMar>
      </w:tblPr>
      <w:tblGrid>
        <w:gridCol w:w="705"/>
        <w:gridCol w:w="455"/>
        <w:gridCol w:w="326"/>
        <w:gridCol w:w="109"/>
        <w:gridCol w:w="109"/>
        <w:gridCol w:w="109"/>
        <w:gridCol w:w="226"/>
        <w:gridCol w:w="721"/>
        <w:gridCol w:w="109"/>
        <w:gridCol w:w="109"/>
        <w:gridCol w:w="109"/>
        <w:gridCol w:w="109"/>
        <w:gridCol w:w="320"/>
        <w:gridCol w:w="830"/>
        <w:gridCol w:w="156"/>
        <w:gridCol w:w="109"/>
        <w:gridCol w:w="109"/>
        <w:gridCol w:w="109"/>
        <w:gridCol w:w="305"/>
        <w:gridCol w:w="792"/>
        <w:gridCol w:w="149"/>
        <w:gridCol w:w="109"/>
        <w:gridCol w:w="109"/>
        <w:gridCol w:w="109"/>
        <w:gridCol w:w="283"/>
        <w:gridCol w:w="735"/>
        <w:gridCol w:w="138"/>
        <w:gridCol w:w="109"/>
        <w:gridCol w:w="109"/>
        <w:gridCol w:w="109"/>
        <w:gridCol w:w="272"/>
        <w:gridCol w:w="706"/>
        <w:gridCol w:w="133"/>
        <w:gridCol w:w="109"/>
        <w:gridCol w:w="109"/>
        <w:gridCol w:w="109"/>
        <w:gridCol w:w="268"/>
        <w:gridCol w:w="697"/>
        <w:gridCol w:w="131"/>
        <w:gridCol w:w="109"/>
        <w:gridCol w:w="109"/>
        <w:gridCol w:w="109"/>
        <w:gridCol w:w="243"/>
        <w:gridCol w:w="776"/>
        <w:gridCol w:w="167"/>
      </w:tblGrid>
      <w:tr>
        <w:trPr/>
        <w:tc>
          <w:tcPr>
            <w:tcW w:w="7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Settlement loss on pension plan buy-out</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related financing costs    </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results</w:t>
            </w:r>
          </w:p>
        </w:tc>
      </w:tr>
      <w:tr>
        <w:trPr/>
        <w:tc>
          <w:tcPr>
            <w:tcW w:w="148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109"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3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56"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9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70 </w:t>
            </w:r>
          </w:p>
        </w:tc>
        <w:tc>
          <w:tcPr>
            <w:tcW w:w="14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8"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9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1,157</w:t>
            </w:r>
            <w:r>
              <w:rPr>
                <w:color w:val="000000"/>
              </w:rPr>
              <w:t> </w:t>
            </w:r>
          </w:p>
        </w:tc>
        <w:tc>
          <w:tcPr>
            <w:tcW w:w="167"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(142)</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23 </w:t>
            </w:r>
          </w:p>
        </w:tc>
        <w:tc>
          <w:tcPr>
            <w:tcW w:w="1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(114)</w:t>
            </w:r>
          </w:p>
        </w:tc>
        <w:tc>
          <w:tcPr>
            <w:tcW w:w="16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880</w:t>
            </w:r>
            <w:r>
              <w:rPr>
                <w:color w:val="000000"/>
              </w:rPr>
              <w:t> </w:t>
            </w:r>
          </w:p>
        </w:tc>
        <w:tc>
          <w:tcPr>
            <w:tcW w:w="109"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56"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70 </w:t>
            </w:r>
          </w:p>
        </w:tc>
        <w:tc>
          <w:tcPr>
            <w:tcW w:w="149"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8"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23 </w:t>
            </w:r>
          </w:p>
        </w:tc>
        <w:tc>
          <w:tcPr>
            <w:tcW w:w="133"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31"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901588"/>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1,043</w:t>
            </w:r>
            <w:r>
              <w:rPr>
                <w:color w:val="000000"/>
              </w:rPr>
              <w:t> </w:t>
            </w:r>
          </w:p>
        </w:tc>
        <w:tc>
          <w:tcPr>
            <w:tcW w:w="167" w:type="dxa"/>
            <w:tcBorders>
              <w:top w:val="single" w:sz="8" w:space="0" w:color="901588"/>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(189)</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w:t>
            </w:r>
          </w:p>
        </w:tc>
        <w:tc>
          <w:tcPr>
            <w:tcW w:w="14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w:t>
            </w:r>
          </w:p>
        </w:tc>
        <w:tc>
          <w:tcPr>
            <w:tcW w:w="1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(222)</w:t>
            </w:r>
          </w:p>
        </w:tc>
        <w:tc>
          <w:tcPr>
            <w:tcW w:w="16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53 </w:t>
            </w:r>
          </w:p>
        </w:tc>
        <w:tc>
          <w:tcPr>
            <w:tcW w:w="14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3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9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3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821</w:t>
            </w:r>
            <w:r>
              <w:rPr>
                <w:color w:val="000000"/>
              </w:rPr>
              <w:t> </w:t>
            </w:r>
          </w:p>
        </w:tc>
        <w:tc>
          <w:tcPr>
            <w:tcW w:w="167"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income attributable to 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09"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w:t>
            </w:r>
            <w:r>
              <w:rPr>
                <w:color w:val="000000"/>
              </w:rPr>
              <w:t> </w:t>
            </w:r>
          </w:p>
        </w:tc>
        <w:tc>
          <w:tcPr>
            <w:tcW w:w="167"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682</w:t>
            </w:r>
            <w:r>
              <w:rPr>
                <w:color w:val="000000"/>
              </w:rPr>
              <w:t> </w:t>
            </w:r>
          </w:p>
        </w:tc>
        <w:tc>
          <w:tcPr>
            <w:tcW w:w="109"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3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55 </w:t>
            </w:r>
          </w:p>
        </w:tc>
        <w:tc>
          <w:tcPr>
            <w:tcW w:w="156"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9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53 </w:t>
            </w:r>
          </w:p>
        </w:tc>
        <w:tc>
          <w:tcPr>
            <w:tcW w:w="149"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3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3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9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3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812</w:t>
            </w:r>
            <w:r>
              <w:rPr>
                <w:color w:val="000000"/>
              </w:rPr>
              <w:t> </w:t>
            </w:r>
          </w:p>
        </w:tc>
        <w:tc>
          <w:tcPr>
            <w:tcW w:w="167"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Diluted EPS attributable to Leidos common stockholders</w:t>
            </w:r>
            <w:r>
              <w:rPr>
                <w:rFonts w:ascii="Avenir LT Pro 35 Light;sans-serif" w:hAnsi="Avenir LT Pro 35 Light;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4E8F3"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shd w:fill="F4E8F3" w:val="clear"/>
            <w:tcMar>
              <w:top w:w="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5.37</w:t>
            </w:r>
            <w:r>
              <w:rPr>
                <w:color w:val="000000"/>
              </w:rPr>
              <w:t> </w:t>
            </w:r>
          </w:p>
        </w:tc>
        <w:tc>
          <w:tcPr>
            <w:tcW w:w="109" w:type="dxa"/>
            <w:tcBorders/>
            <w:shd w:fill="F4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30"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0.42 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5"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0.13 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4E8F3" w:val="clear"/>
            <w:tcMar>
              <w:top w:w="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6" w:type="dxa"/>
            <w:tcBorders/>
            <w:shd w:fill="F4E8F3" w:val="clear"/>
            <w:tcMar>
              <w:top w:w="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6.39</w:t>
            </w:r>
            <w:r>
              <w:rPr>
                <w:color w:val="000000"/>
              </w:rPr>
              <w:t> </w:t>
            </w:r>
          </w:p>
        </w:tc>
        <w:tc>
          <w:tcPr>
            <w:tcW w:w="167" w:type="dxa"/>
            <w:tcBorders/>
            <w:shd w:fill="F4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shares</w:t>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127</w:t>
            </w:r>
            <w:r>
              <w:rPr>
                <w:color w:val="000000"/>
              </w:rPr>
              <w:t> </w:t>
            </w:r>
          </w:p>
        </w:tc>
        <w:tc>
          <w:tcPr>
            <w:tcW w:w="109" w:type="dxa"/>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127 </w:t>
            </w:r>
          </w:p>
        </w:tc>
        <w:tc>
          <w:tcPr>
            <w:tcW w:w="156" w:type="dxa"/>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127 </w:t>
            </w:r>
          </w:p>
        </w:tc>
        <w:tc>
          <w:tcPr>
            <w:tcW w:w="149" w:type="dxa"/>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127 </w:t>
            </w:r>
          </w:p>
        </w:tc>
        <w:tc>
          <w:tcPr>
            <w:tcW w:w="138" w:type="dxa"/>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127 </w:t>
            </w:r>
          </w:p>
        </w:tc>
        <w:tc>
          <w:tcPr>
            <w:tcW w:w="133" w:type="dxa"/>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127 </w:t>
            </w:r>
          </w:p>
        </w:tc>
        <w:tc>
          <w:tcPr>
            <w:tcW w:w="131" w:type="dxa"/>
            <w:tcBorders>
              <w:top w:val="single" w:sz="4" w:space="0" w:color="B2B2B2"/>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127</w:t>
            </w:r>
            <w:r>
              <w:rPr>
                <w:color w:val="000000"/>
              </w:rPr>
              <w:t> </w:t>
            </w:r>
          </w:p>
        </w:tc>
        <w:tc>
          <w:tcPr>
            <w:tcW w:w="167" w:type="dxa"/>
            <w:tcBorders>
              <w:top w:val="single" w:sz="4" w:space="0" w:color="B2B2B2"/>
              <w:bottom w:val="single" w:sz="4"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889" w:type="dxa"/>
        <w:jc w:val="left"/>
        <w:tblInd w:w="0" w:type="dxa"/>
        <w:tblLayout w:type="fixed"/>
        <w:tblCellMar>
          <w:top w:w="28" w:type="dxa"/>
          <w:left w:w="28" w:type="dxa"/>
          <w:bottom w:w="28" w:type="dxa"/>
          <w:right w:w="28" w:type="dxa"/>
        </w:tblCellMar>
      </w:tblPr>
      <w:tblGrid>
        <w:gridCol w:w="763"/>
        <w:gridCol w:w="248"/>
        <w:gridCol w:w="250"/>
        <w:gridCol w:w="109"/>
        <w:gridCol w:w="109"/>
        <w:gridCol w:w="109"/>
        <w:gridCol w:w="226"/>
        <w:gridCol w:w="721"/>
        <w:gridCol w:w="286"/>
        <w:gridCol w:w="109"/>
        <w:gridCol w:w="109"/>
        <w:gridCol w:w="109"/>
        <w:gridCol w:w="398"/>
        <w:gridCol w:w="715"/>
        <w:gridCol w:w="193"/>
        <w:gridCol w:w="109"/>
        <w:gridCol w:w="109"/>
        <w:gridCol w:w="109"/>
        <w:gridCol w:w="380"/>
        <w:gridCol w:w="682"/>
        <w:gridCol w:w="184"/>
        <w:gridCol w:w="109"/>
        <w:gridCol w:w="109"/>
        <w:gridCol w:w="109"/>
        <w:gridCol w:w="420"/>
        <w:gridCol w:w="532"/>
        <w:gridCol w:w="204"/>
        <w:gridCol w:w="109"/>
        <w:gridCol w:w="109"/>
        <w:gridCol w:w="109"/>
        <w:gridCol w:w="338"/>
        <w:gridCol w:w="608"/>
        <w:gridCol w:w="165"/>
        <w:gridCol w:w="109"/>
        <w:gridCol w:w="109"/>
        <w:gridCol w:w="109"/>
        <w:gridCol w:w="334"/>
        <w:gridCol w:w="600"/>
        <w:gridCol w:w="162"/>
        <w:gridCol w:w="109"/>
        <w:gridCol w:w="109"/>
        <w:gridCol w:w="109"/>
        <w:gridCol w:w="407"/>
        <w:gridCol w:w="194"/>
        <w:gridCol w:w="590"/>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1"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Settlement loss on pension plan buy-out</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related financing costs    </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results</w:t>
            </w:r>
          </w:p>
        </w:tc>
      </w:tr>
      <w:tr>
        <w:trPr/>
        <w:tc>
          <w:tcPr>
            <w:tcW w:w="126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691</w:t>
            </w:r>
            <w:r>
              <w:rPr>
                <w:color w:val="000000"/>
              </w:rPr>
              <w:t> </w:t>
            </w:r>
          </w:p>
        </w:tc>
        <w:tc>
          <w:tcPr>
            <w:tcW w:w="286"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55 </w:t>
            </w:r>
          </w:p>
        </w:tc>
        <w:tc>
          <w:tcPr>
            <w:tcW w:w="19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53 </w:t>
            </w:r>
          </w:p>
        </w:tc>
        <w:tc>
          <w:tcPr>
            <w:tcW w:w="18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0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65"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0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6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84"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821</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189</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16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6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222</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880</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9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70 </w:t>
            </w:r>
          </w:p>
        </w:tc>
        <w:tc>
          <w:tcPr>
            <w:tcW w:w="18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23 </w:t>
            </w:r>
          </w:p>
        </w:tc>
        <w:tc>
          <w:tcPr>
            <w:tcW w:w="16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16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1,043</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83</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83</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70</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91"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124</w:t>
            </w:r>
            <w:r>
              <w:rPr>
                <w:color w:val="000000"/>
              </w:rPr>
              <w:t> </w:t>
            </w:r>
          </w:p>
        </w:tc>
        <w:tc>
          <w:tcPr>
            <w:tcW w:w="286"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w:t>
            </w:r>
          </w:p>
        </w:tc>
        <w:tc>
          <w:tcPr>
            <w:tcW w:w="16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119</w:t>
            </w:r>
          </w:p>
        </w:tc>
      </w:tr>
      <w:tr>
        <w:trPr/>
        <w:tc>
          <w:tcPr>
            <w:tcW w:w="12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21"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1,157</w:t>
            </w:r>
            <w:r>
              <w:rPr>
                <w:color w:val="000000"/>
              </w:rPr>
              <w:t> </w:t>
            </w:r>
          </w:p>
        </w:tc>
        <w:tc>
          <w:tcPr>
            <w:tcW w:w="286"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9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08"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23 </w:t>
            </w:r>
          </w:p>
        </w:tc>
        <w:tc>
          <w:tcPr>
            <w:tcW w:w="165"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0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84" w:type="dxa"/>
            <w:gridSpan w:val="2"/>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1,245</w:t>
            </w:r>
          </w:p>
        </w:tc>
      </w:tr>
      <w:tr>
        <w:trPr/>
        <w:tc>
          <w:tcPr>
            <w:tcW w:w="126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12.9</w:t>
            </w:r>
            <w:r>
              <w:rPr>
                <w:color w:val="000000"/>
              </w:rPr>
              <w:t> </w:t>
            </w:r>
          </w:p>
        </w:tc>
        <w:tc>
          <w:tcPr>
            <w:tcW w:w="286" w:type="dxa"/>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13.9</w:t>
            </w:r>
            <w:r>
              <w:rPr>
                <w:color w:val="000000"/>
              </w:rPr>
              <w:t> </w:t>
            </w:r>
          </w:p>
        </w:tc>
        <w:tc>
          <w:tcPr>
            <w:tcW w:w="590" w:type="dxa"/>
            <w:tcBorders>
              <w:top w:val="double" w:sz="8" w:space="0" w:color="90158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Asset markdowns associated with restructuring activities were recorded to "Cost of revenues" in the condensed consolidated statements of operations.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Calculation uses an estimated statutory tax rate on non-GAAP adjustments.</w:t>
      </w:r>
    </w:p>
    <w:p>
      <w:pPr>
        <w:pStyle w:val="TextBody"/>
        <w:bidi w:val="0"/>
        <w:spacing w:before="120" w:after="12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40410"/>
                <wp:effectExtent l="0" t="0" r="0" b="0"/>
                <wp:wrapNone/>
                <wp:docPr id="20"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17</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17</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Earnings per share is computed independently for each of the non-GAAP adjustment presented and therefore may not sum to the total non-GAAP earnings per share due to rounding.</w:t>
      </w:r>
    </w:p>
    <w:p>
      <w:pPr>
        <w:pStyle w:val="TextBody"/>
        <w:bidi w:val="0"/>
        <w:spacing w:before="120" w:after="120"/>
        <w:jc w:val="left"/>
        <w:rPr/>
      </w:pPr>
      <w:r>
        <w:rPr/>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per share data and margin percentages)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tables present the reconciliation of non-GAAP operating income, net income, diluted EPS, adjusted EBITDA, and adjusted EBITDA margin to the most directly comparable GAAP measures for the six months ended July 4, 2025:</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45"/>
        <w:gridCol w:w="798"/>
        <w:gridCol w:w="705"/>
        <w:gridCol w:w="109"/>
        <w:gridCol w:w="109"/>
        <w:gridCol w:w="109"/>
        <w:gridCol w:w="232"/>
        <w:gridCol w:w="727"/>
        <w:gridCol w:w="112"/>
        <w:gridCol w:w="109"/>
        <w:gridCol w:w="109"/>
        <w:gridCol w:w="109"/>
        <w:gridCol w:w="537"/>
        <w:gridCol w:w="1394"/>
        <w:gridCol w:w="261"/>
        <w:gridCol w:w="109"/>
        <w:gridCol w:w="109"/>
        <w:gridCol w:w="109"/>
        <w:gridCol w:w="447"/>
        <w:gridCol w:w="1161"/>
        <w:gridCol w:w="218"/>
        <w:gridCol w:w="109"/>
        <w:gridCol w:w="109"/>
        <w:gridCol w:w="109"/>
        <w:gridCol w:w="261"/>
        <w:gridCol w:w="816"/>
        <w:gridCol w:w="183"/>
      </w:tblGrid>
      <w:tr>
        <w:trPr/>
        <w:tc>
          <w:tcPr>
            <w:tcW w:w="104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r>
      <w:tr>
        <w:trPr/>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results</w:t>
            </w:r>
          </w:p>
        </w:tc>
      </w:tr>
      <w:tr>
        <w:trPr/>
        <w:tc>
          <w:tcPr>
            <w:tcW w:w="254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11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9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6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6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218"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1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8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Non-operating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(105)</w:t>
            </w:r>
          </w:p>
        </w:tc>
        <w:tc>
          <w:tcPr>
            <w:tcW w:w="18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996 </w:t>
            </w:r>
          </w:p>
        </w:tc>
        <w:tc>
          <w:tcPr>
            <w:tcW w:w="1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6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21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1,065 </w:t>
            </w:r>
          </w:p>
        </w:tc>
        <w:tc>
          <w:tcPr>
            <w:tcW w:w="18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w:t>
            </w:r>
          </w:p>
        </w:tc>
        <w:tc>
          <w:tcPr>
            <w:tcW w:w="261"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w:t>
            </w:r>
          </w:p>
        </w:tc>
        <w:tc>
          <w:tcPr>
            <w:tcW w:w="218"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(255)</w:t>
            </w:r>
          </w:p>
        </w:tc>
        <w:tc>
          <w:tcPr>
            <w:tcW w:w="18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1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26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47 </w:t>
            </w:r>
          </w:p>
        </w:tc>
        <w:tc>
          <w:tcPr>
            <w:tcW w:w="21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810 </w:t>
            </w:r>
          </w:p>
        </w:tc>
        <w:tc>
          <w:tcPr>
            <w:tcW w:w="18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Less: net loss attributable to non-controlling interest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4 </w:t>
            </w:r>
          </w:p>
        </w:tc>
        <w:tc>
          <w:tcPr>
            <w:tcW w:w="18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754 </w:t>
            </w:r>
          </w:p>
        </w:tc>
        <w:tc>
          <w:tcPr>
            <w:tcW w:w="112"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9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26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6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47 </w:t>
            </w:r>
          </w:p>
        </w:tc>
        <w:tc>
          <w:tcPr>
            <w:tcW w:w="218"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1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806 </w:t>
            </w:r>
          </w:p>
        </w:tc>
        <w:tc>
          <w:tcPr>
            <w:tcW w:w="18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Diluted EPS attributable to Leidos common stockholders</w:t>
            </w:r>
            <w:r>
              <w:rPr>
                <w:rFonts w:ascii="Avenir LT Pro 35 Light;sans-serif" w:hAnsi="Avenir LT Pro 35 Light;sans-serif"/>
                <w:b w:val="false"/>
                <w:color w:val="000000"/>
                <w:sz w:val="12"/>
              </w:rPr>
              <w:t>(3)</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2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5.80 </w:t>
            </w:r>
          </w:p>
        </w:tc>
        <w:tc>
          <w:tcPr>
            <w:tcW w:w="1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94"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0.04 </w:t>
            </w:r>
          </w:p>
        </w:tc>
        <w:tc>
          <w:tcPr>
            <w:tcW w:w="26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6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0.36 </w:t>
            </w:r>
          </w:p>
        </w:tc>
        <w:tc>
          <w:tcPr>
            <w:tcW w:w="2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1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6.20 </w:t>
            </w:r>
          </w:p>
        </w:tc>
        <w:tc>
          <w:tcPr>
            <w:tcW w:w="18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Diluted shares</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112"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61"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218"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130 </w:t>
            </w:r>
          </w:p>
        </w:tc>
        <w:tc>
          <w:tcPr>
            <w:tcW w:w="183"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8"/>
        <w:gridCol w:w="467"/>
        <w:gridCol w:w="471"/>
        <w:gridCol w:w="109"/>
        <w:gridCol w:w="109"/>
        <w:gridCol w:w="109"/>
        <w:gridCol w:w="226"/>
        <w:gridCol w:w="706"/>
        <w:gridCol w:w="271"/>
        <w:gridCol w:w="109"/>
        <w:gridCol w:w="109"/>
        <w:gridCol w:w="109"/>
        <w:gridCol w:w="903"/>
        <w:gridCol w:w="1143"/>
        <w:gridCol w:w="437"/>
        <w:gridCol w:w="109"/>
        <w:gridCol w:w="109"/>
        <w:gridCol w:w="109"/>
        <w:gridCol w:w="615"/>
        <w:gridCol w:w="1104"/>
        <w:gridCol w:w="297"/>
        <w:gridCol w:w="109"/>
        <w:gridCol w:w="109"/>
        <w:gridCol w:w="109"/>
        <w:gridCol w:w="256"/>
        <w:gridCol w:w="800"/>
        <w:gridCol w:w="363"/>
      </w:tblGrid>
      <w:tr>
        <w:trPr/>
        <w:tc>
          <w:tcPr>
            <w:tcW w:w="8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 reported</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results</w:t>
            </w:r>
          </w:p>
        </w:tc>
      </w:tr>
      <w:tr>
        <w:trPr/>
        <w:tc>
          <w:tcPr>
            <w:tcW w:w="177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758 </w:t>
            </w:r>
          </w:p>
        </w:tc>
        <w:tc>
          <w:tcPr>
            <w:tcW w:w="27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4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437"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0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47 </w:t>
            </w:r>
          </w:p>
        </w:tc>
        <w:tc>
          <w:tcPr>
            <w:tcW w:w="297"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0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810 </w:t>
            </w:r>
          </w:p>
        </w:tc>
        <w:tc>
          <w:tcPr>
            <w:tcW w:w="36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Income tax expense</w:t>
            </w:r>
            <w:r>
              <w:rPr>
                <w:rFonts w:ascii="Avenir LT Pro 35 Light;sans-serif" w:hAnsi="Avenir LT Pro 35 Light;sans-serif"/>
                <w:b w:val="false"/>
                <w:color w:val="000000"/>
                <w:sz w:val="12"/>
              </w:rPr>
              <w:t>(2)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238 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437"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15 </w:t>
            </w:r>
          </w:p>
        </w:tc>
        <w:tc>
          <w:tcPr>
            <w:tcW w:w="297"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255 </w:t>
            </w:r>
          </w:p>
        </w:tc>
        <w:tc>
          <w:tcPr>
            <w:tcW w:w="36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Income before income taxes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996 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43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29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1,065 </w:t>
            </w:r>
          </w:p>
        </w:tc>
        <w:tc>
          <w:tcPr>
            <w:tcW w:w="36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Depreciation expense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79 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79 </w:t>
            </w:r>
          </w:p>
        </w:tc>
        <w:tc>
          <w:tcPr>
            <w:tcW w:w="36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intangibles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w:t>
            </w:r>
          </w:p>
        </w:tc>
        <w:tc>
          <w:tcPr>
            <w:tcW w:w="29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expense, net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104 </w:t>
            </w:r>
          </w:p>
        </w:tc>
        <w:tc>
          <w:tcPr>
            <w:tcW w:w="36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0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1,241 </w:t>
            </w:r>
          </w:p>
        </w:tc>
        <w:tc>
          <w:tcPr>
            <w:tcW w:w="271"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43"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43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04"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00"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1,248 </w:t>
            </w:r>
          </w:p>
        </w:tc>
        <w:tc>
          <w:tcPr>
            <w:tcW w:w="36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Adjusted EBITDA margin</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14.6 </w:t>
            </w:r>
          </w:p>
        </w:tc>
        <w:tc>
          <w:tcPr>
            <w:tcW w:w="271" w:type="dxa"/>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double" w:sz="8" w:space="0" w:color="90158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14.7 </w:t>
            </w:r>
          </w:p>
        </w:tc>
        <w:tc>
          <w:tcPr>
            <w:tcW w:w="363" w:type="dxa"/>
            <w:tcBorders>
              <w:top w:val="double" w:sz="8" w:space="0" w:color="90158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Asset markdowns associated with restructuring activities were recorded to "Cost of revenues" in the condensed consolidated statements of operations.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Calculation uses an estimated statutory tax rate on non-GAAP adjustments.</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(3)</w:t>
      </w:r>
      <w:r>
        <w:rPr>
          <w:rFonts w:ascii="Avenir LT Pro 45 Book;sans-serif" w:hAnsi="Avenir LT Pro 45 Book;sans-serif"/>
          <w:b w:val="false"/>
          <w:color w:val="000000"/>
          <w:sz w:val="14"/>
        </w:rPr>
        <w:t>Earnings per share is computed independently for each of the non-GAAP adjustment presented and therefore may not sum to the total non-GAAP earnings per share due to rounding.</w:t>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0410"/>
                <wp:effectExtent l="0" t="0" r="0" b="0"/>
                <wp:wrapNone/>
                <wp:docPr id="21" name="Frame2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2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margin percentages)</w:t>
      </w:r>
    </w:p>
    <w:p>
      <w:pPr>
        <w:pStyle w:val="TextBody"/>
        <w:bidi w:val="0"/>
        <w:spacing w:lineRule="auto" w:line="312" w:before="1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tables present the reconciliation of non-GAAP operating income by reportable segment and Corporate to operating income:</w:t>
      </w:r>
    </w:p>
    <w:tbl>
      <w:tblPr>
        <w:tblW w:w="10440"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99"/>
        <w:gridCol w:w="697"/>
        <w:gridCol w:w="145"/>
        <w:gridCol w:w="109"/>
        <w:gridCol w:w="109"/>
        <w:gridCol w:w="109"/>
        <w:gridCol w:w="398"/>
        <w:gridCol w:w="715"/>
        <w:gridCol w:w="193"/>
        <w:gridCol w:w="109"/>
        <w:gridCol w:w="109"/>
        <w:gridCol w:w="109"/>
        <w:gridCol w:w="380"/>
        <w:gridCol w:w="682"/>
        <w:gridCol w:w="184"/>
        <w:gridCol w:w="109"/>
        <w:gridCol w:w="109"/>
        <w:gridCol w:w="109"/>
        <w:gridCol w:w="420"/>
        <w:gridCol w:w="532"/>
        <w:gridCol w:w="204"/>
        <w:gridCol w:w="109"/>
        <w:gridCol w:w="109"/>
        <w:gridCol w:w="109"/>
        <w:gridCol w:w="299"/>
        <w:gridCol w:w="697"/>
        <w:gridCol w:w="145"/>
        <w:gridCol w:w="109"/>
        <w:gridCol w:w="109"/>
        <w:gridCol w:w="109"/>
        <w:gridCol w:w="366"/>
        <w:gridCol w:w="235"/>
        <w:gridCol w:w="7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 July 3,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Operating income (loss)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operating income (loss)</w:t>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operating margin</w:t>
            </w:r>
          </w:p>
        </w:tc>
      </w:tr>
      <w:tr>
        <w:trPr/>
        <w:tc>
          <w:tcPr>
            <w:tcW w:w="117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97"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142</w:t>
            </w:r>
            <w:r>
              <w:rPr>
                <w:color w:val="000000"/>
              </w:rPr>
              <w:t> </w:t>
            </w:r>
          </w:p>
        </w:tc>
        <w:tc>
          <w:tcPr>
            <w:tcW w:w="145"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19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8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97"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151</w:t>
            </w:r>
            <w:r>
              <w:rPr>
                <w:color w:val="000000"/>
              </w:rPr>
              <w:t> </w:t>
            </w:r>
          </w:p>
        </w:tc>
        <w:tc>
          <w:tcPr>
            <w:tcW w:w="145"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w:t>
            </w:r>
            <w:r>
              <w:rPr>
                <w:color w:val="000000"/>
              </w:rPr>
              <w:t> </w:t>
            </w:r>
          </w:p>
        </w:tc>
        <w:tc>
          <w:tcPr>
            <w:tcW w:w="71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254</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259</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23.8</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92</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123</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12.1</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84</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95</w:t>
            </w:r>
            <w:r>
              <w:rPr>
                <w:color w:val="000000"/>
              </w:rPr>
              <w:t> </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9.9</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(58)</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(44)</w:t>
            </w:r>
          </w:p>
        </w:tc>
        <w:tc>
          <w:tcPr>
            <w:tcW w:w="145"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NM</w:t>
            </w:r>
          </w:p>
        </w:tc>
      </w:tr>
      <w:tr>
        <w:trPr/>
        <w:tc>
          <w:tcPr>
            <w:tcW w:w="117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97"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514</w:t>
            </w:r>
            <w:r>
              <w:rPr>
                <w:color w:val="000000"/>
              </w:rPr>
              <w:t> </w:t>
            </w:r>
          </w:p>
        </w:tc>
        <w:tc>
          <w:tcPr>
            <w:tcW w:w="145"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29 </w:t>
            </w:r>
          </w:p>
        </w:tc>
        <w:tc>
          <w:tcPr>
            <w:tcW w:w="193"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40 </w:t>
            </w:r>
          </w:p>
        </w:tc>
        <w:tc>
          <w:tcPr>
            <w:tcW w:w="184"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97"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584</w:t>
            </w:r>
            <w:r>
              <w:rPr>
                <w:color w:val="000000"/>
              </w:rPr>
              <w:t> </w:t>
            </w:r>
          </w:p>
        </w:tc>
        <w:tc>
          <w:tcPr>
            <w:tcW w:w="145"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12.8</w:t>
            </w:r>
            <w:r>
              <w:rPr>
                <w:color w:val="000000"/>
              </w:rPr>
              <w:t> </w:t>
            </w:r>
          </w:p>
        </w:tc>
        <w:tc>
          <w:tcPr>
            <w:tcW w:w="71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bl>
    <w:p>
      <w:pPr>
        <w:pStyle w:val="TextBody"/>
        <w:bidi w:val="0"/>
        <w:spacing w:lineRule="auto" w:line="312" w:before="80" w:after="80"/>
        <w:jc w:val="left"/>
        <w:rPr>
          <w:rFonts w:ascii="Avenir LT Pro 45 Book;sans-serif" w:hAnsi="Avenir LT Pro 45 Book;sans-serif"/>
          <w:b w:val="false"/>
          <w:i/>
          <w:color w:val="000000"/>
          <w:sz w:val="14"/>
        </w:rPr>
      </w:pPr>
      <w:r>
        <w:rPr>
          <w:rFonts w:ascii="Avenir LT Pro 45 Book;sans-serif" w:hAnsi="Avenir LT Pro 45 Book;sans-serif"/>
          <w:b w:val="false"/>
          <w:i/>
          <w:color w:val="000000"/>
          <w:sz w:val="14"/>
        </w:rPr>
        <w:t>NM - Not Meaningful</w:t>
      </w:r>
    </w:p>
    <w:p>
      <w:pPr>
        <w:pStyle w:val="TextBody"/>
        <w:bidi w:val="0"/>
        <w:spacing w:lineRule="auto" w:line="312"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(1) Asset markdowns associated with restructuring activities were recorded to "Cost of revenues"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463"/>
        <w:gridCol w:w="407"/>
        <w:gridCol w:w="408"/>
        <w:gridCol w:w="109"/>
        <w:gridCol w:w="109"/>
        <w:gridCol w:w="109"/>
        <w:gridCol w:w="288"/>
        <w:gridCol w:w="671"/>
        <w:gridCol w:w="139"/>
        <w:gridCol w:w="109"/>
        <w:gridCol w:w="109"/>
        <w:gridCol w:w="109"/>
        <w:gridCol w:w="521"/>
        <w:gridCol w:w="937"/>
        <w:gridCol w:w="252"/>
        <w:gridCol w:w="109"/>
        <w:gridCol w:w="109"/>
        <w:gridCol w:w="109"/>
        <w:gridCol w:w="465"/>
        <w:gridCol w:w="835"/>
        <w:gridCol w:w="225"/>
        <w:gridCol w:w="109"/>
        <w:gridCol w:w="109"/>
        <w:gridCol w:w="109"/>
        <w:gridCol w:w="109"/>
        <w:gridCol w:w="109"/>
        <w:gridCol w:w="109"/>
        <w:gridCol w:w="320"/>
        <w:gridCol w:w="746"/>
        <w:gridCol w:w="155"/>
        <w:gridCol w:w="109"/>
        <w:gridCol w:w="109"/>
        <w:gridCol w:w="109"/>
        <w:gridCol w:w="394"/>
        <w:gridCol w:w="257"/>
        <w:gridCol w:w="760"/>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Three Months Ended July 4, 2025</w:t>
            </w:r>
          </w:p>
        </w:tc>
        <w:tc>
          <w:tcPr>
            <w:tcW w:w="2959" w:type="dxa"/>
            <w:gridSpan w:val="9"/>
            <w:tcBorders/>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income</w:t>
              <w:br/>
              <w:t> (loss)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Acquisition, integration and restructuring costs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operating income</w:t>
              <w:br/>
              <w:t> (loss)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operating margin</w:t>
            </w:r>
          </w:p>
        </w:tc>
      </w:tr>
      <w:tr>
        <w:trPr/>
        <w:tc>
          <w:tcPr>
            <w:tcW w:w="1278"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7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135 </w:t>
            </w:r>
          </w:p>
        </w:tc>
        <w:tc>
          <w:tcPr>
            <w:tcW w:w="139"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3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25"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4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142 </w:t>
            </w:r>
          </w:p>
        </w:tc>
        <w:tc>
          <w:tcPr>
            <w:tcW w:w="155"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10.1 </w:t>
            </w:r>
          </w:p>
        </w:tc>
        <w:tc>
          <w:tcPr>
            <w:tcW w:w="76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303 </w:t>
            </w:r>
          </w:p>
        </w:tc>
        <w:tc>
          <w:tcPr>
            <w:tcW w:w="13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6 </w:t>
            </w:r>
          </w:p>
        </w:tc>
        <w:tc>
          <w:tcPr>
            <w:tcW w:w="22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309 </w:t>
            </w:r>
          </w:p>
        </w:tc>
        <w:tc>
          <w:tcPr>
            <w:tcW w:w="15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26.3 </w:t>
            </w:r>
          </w:p>
        </w:tc>
        <w:tc>
          <w:tcPr>
            <w:tcW w:w="760"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3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5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2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72 </w:t>
            </w:r>
          </w:p>
        </w:tc>
        <w:tc>
          <w:tcPr>
            <w:tcW w:w="15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9.3 </w:t>
            </w:r>
          </w:p>
        </w:tc>
        <w:tc>
          <w:tcPr>
            <w:tcW w:w="760"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78 </w:t>
            </w:r>
          </w:p>
        </w:tc>
        <w:tc>
          <w:tcPr>
            <w:tcW w:w="13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22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90 </w:t>
            </w:r>
          </w:p>
        </w:tc>
        <w:tc>
          <w:tcPr>
            <w:tcW w:w="15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10.0 </w:t>
            </w:r>
          </w:p>
        </w:tc>
        <w:tc>
          <w:tcPr>
            <w:tcW w:w="760"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w:t>
            </w:r>
          </w:p>
        </w:tc>
        <w:tc>
          <w:tcPr>
            <w:tcW w:w="139"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5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w:t>
            </w:r>
          </w:p>
        </w:tc>
        <w:tc>
          <w:tcPr>
            <w:tcW w:w="15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NM</w:t>
            </w:r>
          </w:p>
        </w:tc>
      </w:tr>
      <w:tr>
        <w:trPr/>
        <w:tc>
          <w:tcPr>
            <w:tcW w:w="1278"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71"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571 </w:t>
            </w:r>
          </w:p>
        </w:tc>
        <w:tc>
          <w:tcPr>
            <w:tcW w:w="139"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7"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5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3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32 </w:t>
            </w:r>
          </w:p>
        </w:tc>
        <w:tc>
          <w:tcPr>
            <w:tcW w:w="22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46"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605 </w:t>
            </w:r>
          </w:p>
        </w:tc>
        <w:tc>
          <w:tcPr>
            <w:tcW w:w="15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14.2 </w:t>
            </w:r>
          </w:p>
        </w:tc>
        <w:tc>
          <w:tcPr>
            <w:tcW w:w="76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tbl>
      <w:tblPr>
        <w:tblW w:w="10440"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44"/>
        <w:gridCol w:w="779"/>
        <w:gridCol w:w="118"/>
        <w:gridCol w:w="109"/>
        <w:gridCol w:w="109"/>
        <w:gridCol w:w="109"/>
        <w:gridCol w:w="398"/>
        <w:gridCol w:w="715"/>
        <w:gridCol w:w="193"/>
        <w:gridCol w:w="109"/>
        <w:gridCol w:w="109"/>
        <w:gridCol w:w="109"/>
        <w:gridCol w:w="380"/>
        <w:gridCol w:w="682"/>
        <w:gridCol w:w="184"/>
        <w:gridCol w:w="109"/>
        <w:gridCol w:w="109"/>
        <w:gridCol w:w="109"/>
        <w:gridCol w:w="420"/>
        <w:gridCol w:w="532"/>
        <w:gridCol w:w="204"/>
        <w:gridCol w:w="109"/>
        <w:gridCol w:w="109"/>
        <w:gridCol w:w="109"/>
        <w:gridCol w:w="244"/>
        <w:gridCol w:w="779"/>
        <w:gridCol w:w="118"/>
        <w:gridCol w:w="109"/>
        <w:gridCol w:w="109"/>
        <w:gridCol w:w="109"/>
        <w:gridCol w:w="366"/>
        <w:gridCol w:w="235"/>
        <w:gridCol w:w="7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Six Months Ended July 3,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Operating income (loss)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 impairment charges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operating income (loss)</w:t>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Non-GAAP operating margin</w:t>
            </w:r>
          </w:p>
        </w:tc>
      </w:tr>
      <w:tr>
        <w:trPr/>
        <w:tc>
          <w:tcPr>
            <w:tcW w:w="1171"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288</w:t>
            </w:r>
            <w:r>
              <w:rPr>
                <w:color w:val="000000"/>
              </w:rPr>
              <w:t> </w:t>
            </w:r>
          </w:p>
        </w:tc>
        <w:tc>
          <w:tcPr>
            <w:tcW w:w="118"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9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15 </w:t>
            </w:r>
          </w:p>
        </w:tc>
        <w:tc>
          <w:tcPr>
            <w:tcW w:w="18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306</w:t>
            </w:r>
            <w:r>
              <w:rPr>
                <w:color w:val="000000"/>
              </w:rPr>
              <w:t> </w:t>
            </w:r>
          </w:p>
        </w:tc>
        <w:tc>
          <w:tcPr>
            <w:tcW w:w="118"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w:t>
            </w:r>
            <w:r>
              <w:rPr>
                <w:color w:val="000000"/>
              </w:rPr>
              <w:t> </w:t>
            </w:r>
          </w:p>
        </w:tc>
        <w:tc>
          <w:tcPr>
            <w:tcW w:w="71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538</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547</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24.1</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125</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192</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10.5</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146</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22 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168</w:t>
            </w:r>
            <w:r>
              <w:rPr>
                <w:color w:val="000000"/>
              </w:rPr>
              <w:t> </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9.1</w:t>
            </w:r>
            <w:r>
              <w:rPr>
                <w:color w:val="000000"/>
              </w:rPr>
              <w:t> </w:t>
            </w:r>
          </w:p>
        </w:tc>
        <w:tc>
          <w:tcPr>
            <w:tcW w:w="71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r>
        <w:trPr/>
        <w:tc>
          <w:tcPr>
            <w:tcW w:w="11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(75)</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19 </w:t>
            </w:r>
          </w:p>
        </w:tc>
        <w:tc>
          <w:tcPr>
            <w:tcW w:w="19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(56)</w:t>
            </w:r>
          </w:p>
        </w:tc>
        <w:tc>
          <w:tcPr>
            <w:tcW w:w="118"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i/>
                <w:color w:val="000000"/>
                <w:sz w:val="18"/>
              </w:rPr>
            </w:pPr>
            <w:r>
              <w:rPr>
                <w:rFonts w:ascii="Avenir LT Pro 95 Black;sans-serif" w:hAnsi="Avenir LT Pro 95 Black;sans-serif"/>
                <w:b/>
                <w:i/>
                <w:color w:val="000000"/>
                <w:sz w:val="18"/>
              </w:rPr>
              <w:t>NM</w:t>
            </w:r>
          </w:p>
        </w:tc>
      </w:tr>
      <w:tr>
        <w:trPr/>
        <w:tc>
          <w:tcPr>
            <w:tcW w:w="1171"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1,022</w:t>
            </w:r>
            <w:r>
              <w:rPr>
                <w:color w:val="000000"/>
              </w:rPr>
              <w:t> </w:t>
            </w:r>
          </w:p>
        </w:tc>
        <w:tc>
          <w:tcPr>
            <w:tcW w:w="118"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1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64 </w:t>
            </w:r>
          </w:p>
        </w:tc>
        <w:tc>
          <w:tcPr>
            <w:tcW w:w="193"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8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70 </w:t>
            </w:r>
          </w:p>
        </w:tc>
        <w:tc>
          <w:tcPr>
            <w:tcW w:w="184"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3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04"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779"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1,157</w:t>
            </w:r>
            <w:r>
              <w:rPr>
                <w:color w:val="000000"/>
              </w:rPr>
              <w:t> </w:t>
            </w:r>
          </w:p>
        </w:tc>
        <w:tc>
          <w:tcPr>
            <w:tcW w:w="118"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shd w:fill="F4E8F3"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12.9</w:t>
            </w:r>
            <w:r>
              <w:rPr>
                <w:color w:val="000000"/>
              </w:rPr>
              <w:t> </w:t>
            </w:r>
          </w:p>
        </w:tc>
        <w:tc>
          <w:tcPr>
            <w:tcW w:w="716" w:type="dxa"/>
            <w:tcBorders>
              <w:top w:val="single" w:sz="8" w:space="0" w:color="90158B"/>
              <w:bottom w:val="double" w:sz="8"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r>
    </w:tbl>
    <w:p>
      <w:pPr>
        <w:pStyle w:val="TextBody"/>
        <w:bidi w:val="0"/>
        <w:spacing w:lineRule="auto" w:line="312"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NM - Not Meaningful</w:t>
      </w:r>
    </w:p>
    <w:p>
      <w:pPr>
        <w:pStyle w:val="TextBody"/>
        <w:bidi w:val="0"/>
        <w:spacing w:lineRule="auto" w:line="312" w:before="80" w:after="80"/>
        <w:ind w:left="0" w:right="0" w:hanging="270"/>
        <w:jc w:val="left"/>
        <w:rPr/>
      </w:pPr>
      <w:r>
        <w:rPr>
          <w:rFonts w:ascii="Avenir LT Pro 45 Book;sans-serif" w:hAnsi="Avenir LT Pro 45 Book;sans-serif"/>
          <w:b w:val="false"/>
          <w:color w:val="000000"/>
          <w:sz w:val="9"/>
        </w:rPr>
        <w:t>(1)</w:t>
      </w:r>
      <w:r>
        <w:rPr>
          <w:color w:val="000000"/>
        </w:rPr>
        <w:t xml:space="preserve"> </w:t>
      </w:r>
      <w:r>
        <w:rPr>
          <w:rFonts w:ascii="Avenir LT Pro 45 Book;sans-serif" w:hAnsi="Avenir LT Pro 45 Book;sans-serif"/>
          <w:b w:val="false"/>
          <w:color w:val="000000"/>
          <w:sz w:val="14"/>
        </w:rPr>
        <w:t>Asset markdowns associated with restructuring activities were recorded to "Cost of revenues" in the condensed consolidated statements of operations.</w:t>
      </w:r>
    </w:p>
    <w:p>
      <w:pPr>
        <w:pStyle w:val="TextBody"/>
        <w:bidi w:val="0"/>
        <w:spacing w:before="80" w:after="80"/>
        <w:jc w:val="left"/>
        <w:rPr/>
      </w:pPr>
      <w:r>
        <w:rPr/>
      </w:r>
    </w:p>
    <w:p>
      <w:pPr>
        <w:pStyle w:val="TextBody"/>
        <w:bidi w:val="0"/>
        <w:spacing w:before="80" w:after="80"/>
        <w:jc w:val="left"/>
        <w:rPr/>
      </w:pPr>
      <w:r>
        <w:rPr/>
      </w:r>
    </w:p>
    <w:p>
      <w:pPr>
        <w:pStyle w:val="TextBody"/>
        <w:bidi w:val="0"/>
        <w:spacing w:before="80" w:after="80"/>
        <w:jc w:val="left"/>
        <w:rPr/>
      </w:pPr>
      <w:r>
        <w:rPr/>
      </w:r>
    </w:p>
    <w:p>
      <w:pPr>
        <w:pStyle w:val="TextBody"/>
        <w:bidi w:val="0"/>
        <w:spacing w:before="80" w:after="80"/>
        <w:jc w:val="left"/>
        <w:rPr/>
      </w:pPr>
      <w:r>
        <w:rPr/>
      </w:r>
    </w:p>
    <w:p>
      <w:pPr>
        <w:pStyle w:val="TextBody"/>
        <w:bidi w:val="0"/>
        <w:spacing w:before="120" w:after="12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40410"/>
                <wp:effectExtent l="0" t="0" r="0" b="0"/>
                <wp:wrapNone/>
                <wp:docPr id="22"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19</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19</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12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margin percentages)</w:t>
      </w:r>
    </w:p>
    <w:p>
      <w:pPr>
        <w:pStyle w:val="TextBody"/>
        <w:bidi w:val="0"/>
        <w:spacing w:lineRule="auto" w:line="312" w:before="1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tables present the reconciliation of non-GAAP operating income by reportable segment and Corporate to operating income:</w:t>
      </w:r>
    </w:p>
    <w:tbl>
      <w:tblPr>
        <w:tblW w:w="10205" w:type="dxa"/>
        <w:jc w:val="left"/>
        <w:tblInd w:w="0" w:type="dxa"/>
        <w:tblLayout w:type="fixed"/>
        <w:tblCellMar>
          <w:top w:w="28" w:type="dxa"/>
          <w:left w:w="28" w:type="dxa"/>
          <w:bottom w:w="28" w:type="dxa"/>
          <w:right w:w="28" w:type="dxa"/>
        </w:tblCellMar>
      </w:tblPr>
      <w:tblGrid>
        <w:gridCol w:w="460"/>
        <w:gridCol w:w="404"/>
        <w:gridCol w:w="406"/>
        <w:gridCol w:w="109"/>
        <w:gridCol w:w="109"/>
        <w:gridCol w:w="109"/>
        <w:gridCol w:w="245"/>
        <w:gridCol w:w="767"/>
        <w:gridCol w:w="118"/>
        <w:gridCol w:w="109"/>
        <w:gridCol w:w="109"/>
        <w:gridCol w:w="109"/>
        <w:gridCol w:w="518"/>
        <w:gridCol w:w="931"/>
        <w:gridCol w:w="251"/>
        <w:gridCol w:w="109"/>
        <w:gridCol w:w="109"/>
        <w:gridCol w:w="109"/>
        <w:gridCol w:w="458"/>
        <w:gridCol w:w="823"/>
        <w:gridCol w:w="222"/>
        <w:gridCol w:w="109"/>
        <w:gridCol w:w="109"/>
        <w:gridCol w:w="109"/>
        <w:gridCol w:w="109"/>
        <w:gridCol w:w="109"/>
        <w:gridCol w:w="109"/>
        <w:gridCol w:w="270"/>
        <w:gridCol w:w="844"/>
        <w:gridCol w:w="130"/>
        <w:gridCol w:w="109"/>
        <w:gridCol w:w="109"/>
        <w:gridCol w:w="109"/>
        <w:gridCol w:w="393"/>
        <w:gridCol w:w="254"/>
        <w:gridCol w:w="74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Six Months Ended July 4, 2025</w:t>
            </w:r>
          </w:p>
        </w:tc>
        <w:tc>
          <w:tcPr>
            <w:tcW w:w="2967" w:type="dxa"/>
            <w:gridSpan w:val="9"/>
            <w:tcBorders/>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Operating income </w:t>
              <w:br/>
              <w:t>(loss)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0"/>
              <w:jc w:val="righ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Amortization of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Non-GAAP operating income </w:t>
              <w:br/>
              <w:t>(loss)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operating margin</w:t>
            </w:r>
          </w:p>
        </w:tc>
      </w:tr>
      <w:tr>
        <w:trPr/>
        <w:tc>
          <w:tcPr>
            <w:tcW w:w="1270"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Intelligence &amp; Digital</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67"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267 </w:t>
            </w:r>
          </w:p>
        </w:tc>
        <w:tc>
          <w:tcPr>
            <w:tcW w:w="118"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3"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222"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4"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279 </w:t>
            </w:r>
          </w:p>
        </w:tc>
        <w:tc>
          <w:tcPr>
            <w:tcW w:w="130"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9.9 </w:t>
            </w:r>
          </w:p>
        </w:tc>
        <w:tc>
          <w:tcPr>
            <w:tcW w:w="749"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Health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591 </w:t>
            </w:r>
          </w:p>
        </w:tc>
        <w:tc>
          <w:tcPr>
            <w:tcW w:w="1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12 </w:t>
            </w:r>
          </w:p>
        </w:tc>
        <w:tc>
          <w:tcPr>
            <w:tcW w:w="22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603 </w:t>
            </w:r>
          </w:p>
        </w:tc>
        <w:tc>
          <w:tcPr>
            <w:tcW w:w="13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25.5 </w:t>
            </w:r>
          </w:p>
        </w:tc>
        <w:tc>
          <w:tcPr>
            <w:tcW w:w="74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Homeland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125 </w:t>
            </w:r>
          </w:p>
        </w:tc>
        <w:tc>
          <w:tcPr>
            <w:tcW w:w="1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5 </w:t>
            </w:r>
          </w:p>
        </w:tc>
        <w:tc>
          <w:tcPr>
            <w:tcW w:w="25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14 </w:t>
            </w:r>
          </w:p>
        </w:tc>
        <w:tc>
          <w:tcPr>
            <w:tcW w:w="22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144 </w:t>
            </w:r>
          </w:p>
        </w:tc>
        <w:tc>
          <w:tcPr>
            <w:tcW w:w="13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9.3 </w:t>
            </w:r>
          </w:p>
        </w:tc>
        <w:tc>
          <w:tcPr>
            <w:tcW w:w="74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Defense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152 </w:t>
            </w:r>
          </w:p>
        </w:tc>
        <w:tc>
          <w:tcPr>
            <w:tcW w:w="1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24 </w:t>
            </w:r>
          </w:p>
        </w:tc>
        <w:tc>
          <w:tcPr>
            <w:tcW w:w="22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176 </w:t>
            </w:r>
          </w:p>
        </w:tc>
        <w:tc>
          <w:tcPr>
            <w:tcW w:w="13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9.9 </w:t>
            </w:r>
          </w:p>
        </w:tc>
        <w:tc>
          <w:tcPr>
            <w:tcW w:w="749"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12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Corporate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(34)</w:t>
            </w:r>
          </w:p>
        </w:tc>
        <w:tc>
          <w:tcPr>
            <w:tcW w:w="1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2 </w:t>
            </w:r>
          </w:p>
        </w:tc>
        <w:tc>
          <w:tcPr>
            <w:tcW w:w="25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(32)</w:t>
            </w:r>
          </w:p>
        </w:tc>
        <w:tc>
          <w:tcPr>
            <w:tcW w:w="13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i/>
                <w:color w:val="000000"/>
                <w:sz w:val="18"/>
              </w:rPr>
            </w:pPr>
            <w:r>
              <w:rPr>
                <w:rFonts w:ascii="Avenir LT Pro 35 Light;sans-serif" w:hAnsi="Avenir LT Pro 35 Light;sans-serif"/>
                <w:b w:val="false"/>
                <w:i/>
                <w:color w:val="000000"/>
                <w:sz w:val="18"/>
              </w:rPr>
              <w:t>NM</w:t>
            </w:r>
          </w:p>
        </w:tc>
      </w:tr>
      <w:tr>
        <w:trPr/>
        <w:tc>
          <w:tcPr>
            <w:tcW w:w="1270"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67"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1,101 </w:t>
            </w:r>
          </w:p>
        </w:tc>
        <w:tc>
          <w:tcPr>
            <w:tcW w:w="11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31"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7 </w:t>
            </w:r>
          </w:p>
        </w:tc>
        <w:tc>
          <w:tcPr>
            <w:tcW w:w="251"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3"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62 </w:t>
            </w:r>
          </w:p>
        </w:tc>
        <w:tc>
          <w:tcPr>
            <w:tcW w:w="222"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4"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1,170 </w:t>
            </w:r>
          </w:p>
        </w:tc>
        <w:tc>
          <w:tcPr>
            <w:tcW w:w="130"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13.8 </w:t>
            </w:r>
          </w:p>
        </w:tc>
        <w:tc>
          <w:tcPr>
            <w:tcW w:w="749" w:type="dxa"/>
            <w:tcBorders>
              <w:top w:val="single" w:sz="8" w:space="0" w:color="90158B"/>
              <w:bottom w:val="double" w:sz="8"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NM - Not Meaningful</w:t>
      </w:r>
    </w:p>
    <w:p>
      <w:pPr>
        <w:pStyle w:val="TextBody"/>
        <w:bidi w:val="0"/>
        <w:spacing w:lineRule="auto" w:line="312" w:before="80" w:after="80"/>
        <w:ind w:left="0" w:right="0" w:hanging="270"/>
        <w:jc w:val="left"/>
        <w:rPr/>
      </w:pPr>
      <w:r>
        <w:rPr>
          <w:rFonts w:ascii="Avenir LT Pro 45 Book;sans-serif" w:hAnsi="Avenir LT Pro 45 Book;sans-serif"/>
          <w:b w:val="false"/>
          <w:color w:val="000000"/>
          <w:sz w:val="9"/>
        </w:rPr>
        <w:t>(1)</w:t>
      </w:r>
      <w:r>
        <w:rPr>
          <w:color w:val="000000"/>
        </w:rPr>
        <w:t xml:space="preserve"> </w:t>
      </w:r>
      <w:r>
        <w:rPr>
          <w:rFonts w:ascii="Avenir LT Pro 45 Book;sans-serif" w:hAnsi="Avenir LT Pro 45 Book;sans-serif"/>
          <w:b w:val="false"/>
          <w:color w:val="000000"/>
          <w:sz w:val="14"/>
        </w:rPr>
        <w:t>Asset markdowns associated with restructuring activities were recorded to "Cost of revenues" in the condensed consolidated statements of operations.</w:t>
      </w:r>
    </w:p>
    <w:p>
      <w:pPr>
        <w:pStyle w:val="TextBody"/>
        <w:bidi w:val="0"/>
        <w:spacing w:before="120" w:after="12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0410"/>
                <wp:effectExtent l="0" t="0" r="0" b="0"/>
                <wp:wrapNone/>
                <wp:docPr id="23" name="Frame2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r>
                                    <w:br w:type="page"/>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left"/>
                        <w:tblInd w:w="0" w:type="dxa"/>
                        <w:tblLayout w:type="fixed"/>
                        <w:tblCellMar>
                          <w:top w:w="28" w:type="dxa"/>
                          <w:left w:w="28" w:type="dxa"/>
                          <w:bottom w:w="28" w:type="dxa"/>
                          <w:right w:w="28" w:type="dxa"/>
                        </w:tblCellMar>
                      </w:tblPr>
                      <w:tblGrid>
                        <w:gridCol w:w="1022"/>
                        <w:gridCol w:w="897"/>
                        <w:gridCol w:w="901"/>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Leidos Holdings, Inc. Exhibit 99.1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80"/>
        <w:jc w:val="left"/>
        <w:rPr>
          <w:rFonts w:ascii="Avenir LT Pro 95 Black;sans-serif" w:hAnsi="Avenir LT Pro 95 Black;sans-serif"/>
          <w:b/>
          <w:color w:val="B15BAC"/>
          <w:sz w:val="18"/>
        </w:rPr>
      </w:pPr>
      <w:r>
        <w:rPr>
          <w:rFonts w:ascii="Avenir LT Pro 95 Black;sans-serif" w:hAnsi="Avenir LT Pro 95 Black;sans-serif"/>
          <w:b/>
          <w:color w:val="B15BAC"/>
          <w:sz w:val="18"/>
        </w:rPr>
        <w:t>LEIDOS HOLDINGS, INC.</w:t>
      </w:r>
    </w:p>
    <w:p>
      <w:pPr>
        <w:pStyle w:val="TextBody"/>
        <w:bidi w:val="0"/>
        <w:spacing w:lineRule="auto" w:line="288" w:before="0" w:after="0"/>
        <w:jc w:val="left"/>
        <w:rPr>
          <w:rFonts w:ascii="Avenir LT Pro 95 Black;sans-serif" w:hAnsi="Avenir LT Pro 95 Black;sans-serif"/>
          <w:b/>
          <w:color w:val="B15BAC"/>
          <w:sz w:val="18"/>
        </w:rPr>
      </w:pPr>
      <w:r>
        <w:rPr>
          <w:rFonts w:ascii="Avenir LT Pro 95 Black;sans-serif" w:hAnsi="Avenir LT Pro 95 Black;sans-serif"/>
          <w:b/>
          <w:color w:val="B15BAC"/>
          <w:sz w:val="18"/>
        </w:rPr>
        <w:t>UNAUDITED NON-GAAP FINANCIAL MEASURES [CONTINUED]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millions, except percentages)</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presents the reconciliation of free cash flow to net cash provided by operating activities as well as the calculation of operating cash flow and free cash flow conversion ratios:</w:t>
      </w:r>
    </w:p>
    <w:tbl>
      <w:tblPr>
        <w:tblW w:w="9337" w:type="dxa"/>
        <w:jc w:val="left"/>
        <w:tblInd w:w="0" w:type="dxa"/>
        <w:tblLayout w:type="fixed"/>
        <w:tblCellMar>
          <w:top w:w="28" w:type="dxa"/>
          <w:left w:w="28" w:type="dxa"/>
          <w:bottom w:w="28" w:type="dxa"/>
          <w:right w:w="28" w:type="dxa"/>
        </w:tblCellMar>
      </w:tblPr>
      <w:tblGrid>
        <w:gridCol w:w="2229"/>
        <w:gridCol w:w="1954"/>
        <w:gridCol w:w="1966"/>
        <w:gridCol w:w="109"/>
        <w:gridCol w:w="109"/>
        <w:gridCol w:w="109"/>
        <w:gridCol w:w="277"/>
        <w:gridCol w:w="646"/>
        <w:gridCol w:w="351"/>
        <w:gridCol w:w="109"/>
        <w:gridCol w:w="109"/>
        <w:gridCol w:w="109"/>
        <w:gridCol w:w="266"/>
        <w:gridCol w:w="621"/>
        <w:gridCol w:w="373"/>
      </w:tblGrid>
      <w:tr>
        <w:trPr/>
        <w:tc>
          <w:tcPr>
            <w:tcW w:w="222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Three Months Ended</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July 3, 2026</w:t>
            </w:r>
          </w:p>
        </w:tc>
        <w:tc>
          <w:tcPr>
            <w:tcW w:w="327" w:type="dxa"/>
            <w:gridSpan w:val="3"/>
            <w:tcBorders>
              <w:top w:val="single" w:sz="4" w:space="0" w:color="90158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90158B"/>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July 4, 2025</w:t>
            </w:r>
          </w:p>
        </w:tc>
      </w:tr>
      <w:tr>
        <w:trPr/>
        <w:tc>
          <w:tcPr>
            <w:tcW w:w="6149" w:type="dxa"/>
            <w:gridSpan w:val="3"/>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cash provided by operating activities</w:t>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46" w:type="dxa"/>
            <w:tcBorders>
              <w:top w:val="single" w:sz="4"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793</w:t>
            </w:r>
            <w:r>
              <w:rPr>
                <w:color w:val="000000"/>
              </w:rPr>
              <w:t> </w:t>
            </w:r>
          </w:p>
        </w:tc>
        <w:tc>
          <w:tcPr>
            <w:tcW w:w="351" w:type="dxa"/>
            <w:tcBorders>
              <w:top w:val="single" w:sz="4"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1" w:type="dxa"/>
            <w:tcBorders>
              <w:top w:val="single" w:sz="4"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486 </w:t>
            </w:r>
          </w:p>
        </w:tc>
        <w:tc>
          <w:tcPr>
            <w:tcW w:w="373" w:type="dxa"/>
            <w:tcBorders>
              <w:top w:val="single" w:sz="4"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Payments for property, equipment and software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(32)</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(29)</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free cash flow</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4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761</w:t>
            </w:r>
            <w:r>
              <w:rPr>
                <w:color w:val="000000"/>
              </w:rPr>
              <w:t> </w:t>
            </w:r>
          </w:p>
        </w:tc>
        <w:tc>
          <w:tcPr>
            <w:tcW w:w="351"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1" w:type="dxa"/>
            <w:tcBorders>
              <w:top w:val="single" w:sz="8" w:space="0" w:color="90158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457 </w:t>
            </w:r>
          </w:p>
        </w:tc>
        <w:tc>
          <w:tcPr>
            <w:tcW w:w="373" w:type="dxa"/>
            <w:tcBorders>
              <w:top w:val="single" w:sz="8" w:space="0" w:color="90158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46"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354</w:t>
            </w:r>
            <w:r>
              <w:rPr>
                <w:color w:val="000000"/>
              </w:rPr>
              <w:t> </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1"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391 </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Acquisition, integration and restructuring costs</w:t>
            </w:r>
            <w:r>
              <w:rPr>
                <w:rFonts w:ascii="Avenir LT Pro 35 Light;sans-serif" w:hAnsi="Avenir LT Pro 35 Light;sans-serif"/>
                <w:b w:val="false"/>
                <w:color w:val="000000"/>
                <w:sz w:val="12"/>
              </w:rPr>
              <w:t>(1)(2)</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26</w:t>
            </w:r>
            <w:r>
              <w:rPr>
                <w:color w:val="000000"/>
              </w:rPr>
              <w:t> </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Amortization of acquired intangibles</w:t>
            </w:r>
            <w:r>
              <w:rPr>
                <w:rFonts w:ascii="Avenir LT Pro 35 Light;sans-serif" w:hAnsi="Avenir LT Pro 35 Light;sans-serif"/>
                <w:b w:val="false"/>
                <w:color w:val="000000"/>
                <w:sz w:val="12"/>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30</w:t>
            </w:r>
            <w:r>
              <w:rPr>
                <w:color w:val="000000"/>
              </w:rPr>
              <w:t> </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25 </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Asset impairment charges</w:t>
            </w:r>
            <w:r>
              <w:rPr>
                <w:rFonts w:ascii="Avenir LT Pro 35 Light;sans-serif" w:hAnsi="Avenir LT Pro 35 Light;sans-serif"/>
                <w:b w:val="false"/>
                <w:color w:val="000000"/>
                <w:sz w:val="12"/>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w:t>
            </w:r>
            <w:r>
              <w:rPr>
                <w:color w:val="000000"/>
              </w:rPr>
              <w:t> </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net income attributable to Leidos common stockholders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646" w:type="dxa"/>
            <w:tcBorders>
              <w:top w:val="single" w:sz="8" w:space="0" w:color="90158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411</w:t>
            </w:r>
            <w:r>
              <w:rPr>
                <w:color w:val="000000"/>
              </w:rPr>
              <w:t> </w:t>
            </w:r>
          </w:p>
        </w:tc>
        <w:tc>
          <w:tcPr>
            <w:tcW w:w="351" w:type="dxa"/>
            <w:tcBorders>
              <w:top w:val="single" w:sz="8" w:space="0" w:color="90158B"/>
            </w:tcBorders>
            <w:shd w:fill="F4E8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621" w:type="dxa"/>
            <w:tcBorders>
              <w:top w:val="single" w:sz="8" w:space="0" w:color="901588"/>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417 </w:t>
            </w:r>
          </w:p>
        </w:tc>
        <w:tc>
          <w:tcPr>
            <w:tcW w:w="373" w:type="dxa"/>
            <w:tcBorders>
              <w:top w:val="single" w:sz="8" w:space="0" w:color="901588"/>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90158B"/>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9015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Operating cash flow conversion ratio</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224</w:t>
            </w:r>
            <w:r>
              <w:rPr>
                <w:color w:val="000000"/>
              </w:rPr>
              <w:t> </w:t>
            </w:r>
          </w:p>
        </w:tc>
        <w:tc>
          <w:tcPr>
            <w:tcW w:w="351" w:type="dxa"/>
            <w:tcBorders>
              <w:top w:val="single" w:sz="8" w:space="0" w:color="DBDBDB"/>
            </w:tcBorders>
            <w:shd w:fill="F4E8F3" w:val="clear"/>
            <w:tcMar>
              <w:top w:w="52"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124 </w:t>
            </w:r>
          </w:p>
        </w:tc>
        <w:tc>
          <w:tcPr>
            <w:tcW w:w="373" w:type="dxa"/>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r>
        <w:trPr/>
        <w:tc>
          <w:tcPr>
            <w:tcW w:w="6149" w:type="dxa"/>
            <w:gridSpan w:val="3"/>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Non-GAAP free cash flow conversion ratio</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185</w:t>
            </w:r>
            <w:r>
              <w:rPr>
                <w:color w:val="000000"/>
              </w:rPr>
              <w:t> </w:t>
            </w:r>
          </w:p>
        </w:tc>
        <w:tc>
          <w:tcPr>
            <w:tcW w:w="351" w:type="dxa"/>
            <w:tcBorders>
              <w:top w:val="single" w:sz="8" w:space="0" w:color="DBDBDB"/>
              <w:bottom w:val="single" w:sz="4" w:space="0" w:color="90158B"/>
            </w:tcBorders>
            <w:shd w:fill="F4E8F3" w:val="clear"/>
            <w:tcMar>
              <w:top w:w="52" w:type="dxa"/>
              <w:left w:w="0" w:type="dxa"/>
              <w:bottom w:w="3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327" w:type="dxa"/>
            <w:gridSpan w:val="3"/>
            <w:tcBorders>
              <w:top w:val="single" w:sz="8" w:space="0" w:color="DBDBDB"/>
              <w:bottom w:val="single" w:sz="4" w:space="0" w:color="90158B"/>
            </w:tcBorders>
            <w:tcMar>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110 </w:t>
            </w:r>
          </w:p>
        </w:tc>
        <w:tc>
          <w:tcPr>
            <w:tcW w:w="373" w:type="dxa"/>
            <w:tcBorders>
              <w:top w:val="single" w:sz="8" w:space="0" w:color="DBDBDB"/>
              <w:bottom w:val="single" w:sz="4" w:space="0" w:color="90158B"/>
            </w:tcBorders>
            <w:tcMar>
              <w:top w:w="52"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r>
    </w:tbl>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(1)</w:t>
      </w:r>
      <w:r>
        <w:rPr>
          <w:rFonts w:ascii="Avenir LT Pro 45 Book;sans-serif" w:hAnsi="Avenir LT Pro 45 Book;sans-serif"/>
          <w:b w:val="false"/>
          <w:color w:val="000000"/>
          <w:sz w:val="14"/>
        </w:rPr>
        <w:t>After-tax expenses excluded from non-GAAP net income.</w:t>
      </w:r>
    </w:p>
    <w:p>
      <w:pPr>
        <w:pStyle w:val="TextBody"/>
        <w:bidi w:val="0"/>
        <w:spacing w:lineRule="auto" w:line="312" w:before="80" w:after="80"/>
        <w:ind w:left="0" w:right="0" w:hanging="288"/>
        <w:jc w:val="left"/>
        <w:rPr/>
      </w:pPr>
      <w:r>
        <w:rPr>
          <w:rFonts w:ascii="Avenir LT Pro 45 Book;sans-serif" w:hAnsi="Avenir LT Pro 45 Book;sans-serif"/>
          <w:b w:val="false"/>
          <w:color w:val="000000"/>
          <w:sz w:val="9"/>
        </w:rPr>
        <w:t>(2)</w:t>
      </w:r>
      <w:r>
        <w:rPr>
          <w:rFonts w:ascii="Avenir LT Pro 45 Book;sans-serif" w:hAnsi="Avenir LT Pro 45 Book;sans-serif"/>
          <w:b w:val="false"/>
          <w:color w:val="000000"/>
          <w:sz w:val="14"/>
        </w:rPr>
        <w:t>Asset markdowns associated with restructuring activities for the three months ended July 3, 2026, were recorded to "Cost of revenues" in the condensed consolidated statements of operations.</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40410"/>
                <wp:effectExtent l="0" t="0" r="0" b="0"/>
                <wp:wrapNone/>
                <wp:docPr id="24"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center"/>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95 Black;sans-serif" w:hAnsi="Avenir LT Pro 95 Black;sans-serif"/>
                                <w:b w:val="false"/>
                                <w:color w:val="901588"/>
                                <w:sz w:val="16"/>
                              </w:rPr>
                            </w:pPr>
                            <w:r>
                              <w:rPr>
                                <w:rFonts w:ascii="Avenir LT Pro 95 Black;sans-serif" w:hAnsi="Avenir LT Pro 95 Black;sans-serif"/>
                                <w:b w:val="false"/>
                                <w:color w:val="901588"/>
                                <w:sz w:val="16"/>
                              </w:rPr>
                              <w:t>21</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55 Roman;sans-serif" w:hAnsi="Avenir LT Pro 55 Roman;sans-serif"/>
                                <w:b w:val="false"/>
                                <w:color w:val="000000"/>
                                <w:sz w:val="16"/>
                              </w:rPr>
                            </w:pPr>
                            <w:r>
                              <w:rPr>
                                <w:rFonts w:ascii="Avenir LT Pro 55 Roman;sans-serif" w:hAnsi="Avenir LT Pro 55 Roman;sans-serif"/>
                                <w:b w:val="false"/>
                                <w:color w:val="000000"/>
                                <w:sz w:val="16"/>
                              </w:rPr>
                              <w:t>Leidos Holdings, Inc. Exhibit 99.1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venir LT Pro 95 Black">
    <w:altName w:val="sans-serif"/>
    <w:charset w:val="01"/>
    <w:family w:val="auto"/>
    <w:pitch w:val="default"/>
  </w:font>
  <w:font w:name="Wingdings 3">
    <w:altName w:val="sans-serif"/>
    <w:charset w:val="01"/>
    <w:family w:val="auto"/>
    <w:pitch w:val="default"/>
  </w:font>
  <w:font w:name="Avenir LT Pro 45 Book">
    <w:altName w:val="sans-serif"/>
    <w:charset w:val="01"/>
    <w:family w:val="auto"/>
    <w:pitch w:val="default"/>
  </w:font>
  <w:font w:name="Avenir LT Pro 35 Light">
    <w:altName w:val="sans-serif"/>
    <w:charset w:val="01"/>
    <w:family w:val="auto"/>
    <w:pitch w:val="default"/>
  </w:font>
  <w:font w:name="Avenir LT Pro 55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7357</Words>
  <Characters>40778</Characters>
  <CharactersWithSpaces>47247</CharactersWithSpaces>
  <Paragraphs>1825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