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before="40" w:after="120"/>
        <w:jc w:val="center"/>
        <w:rPr/>
      </w:pPr>
      <w:r>
        <w:rPr/>
        <w:drawing>
          <wp:inline distT="0" distB="0" distL="0" distR="0">
            <wp:extent cx="134302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400050"/>
                    </a:xfrm>
                    <a:prstGeom prst="rect">
                      <a:avLst/>
                    </a:prstGeom>
                  </pic:spPr>
                </pic:pic>
              </a:graphicData>
            </a:graphic>
          </wp:inline>
        </w:drawing>
      </w:r>
      <w:bookmarkStart w:id="0" w:name="i-1"/>
      <w:bookmarkEnd w:id="0"/>
    </w:p>
    <w:p>
      <w:pPr>
        <w:pStyle w:val="TextBody"/>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UNITED STATES</w:t>
      </w:r>
    </w:p>
    <w:p>
      <w:pPr>
        <w:pStyle w:val="TextBody"/>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SECURITIES AND EXCHANGE COMMISSION</w:t>
      </w:r>
    </w:p>
    <w:p>
      <w:pPr>
        <w:pStyle w:val="TextBody"/>
        <w:bidi w:val="0"/>
        <w:spacing w:lineRule="auto" w:line="288" w:before="120" w:after="120"/>
        <w:jc w:val="center"/>
        <w:rPr>
          <w:rFonts w:ascii="Avenir LT Pro 45 Book;sans-serif" w:hAnsi="Avenir LT Pro 45 Book;sans-serif"/>
          <w:b/>
          <w:color w:val="000000"/>
          <w:sz w:val="18"/>
        </w:rPr>
      </w:pPr>
      <w:r>
        <w:rPr>
          <w:rFonts w:ascii="Avenir LT Pro 45 Book;sans-serif" w:hAnsi="Avenir LT Pro 45 Book;sans-serif"/>
          <w:b/>
          <w:color w:val="000000"/>
          <w:sz w:val="18"/>
        </w:rPr>
        <w:t>Washington, D.C. 20549</w:t>
      </w:r>
    </w:p>
    <w:p>
      <w:pPr>
        <w:pStyle w:val="TextBody"/>
        <w:bidi w:val="0"/>
        <w:spacing w:lineRule="auto" w:line="288" w:before="120" w:after="120"/>
        <w:jc w:val="center"/>
        <w:rPr/>
      </w:pPr>
      <w:r>
        <w:rPr>
          <w:rFonts w:ascii="Avenir LT Pro 45 Book;sans-serif" w:hAnsi="Avenir LT Pro 45 Book;sans-serif"/>
          <w:b w:val="false"/>
          <w:color w:val="000000"/>
          <w:sz w:val="20"/>
        </w:rPr>
        <w:t>Form 10-Q</w:t>
      </w:r>
      <w:r>
        <w:rPr>
          <w:color w:val="000000"/>
        </w:rPr>
        <w:t xml:space="preserve"> </w:t>
      </w:r>
    </w:p>
    <w:p>
      <w:pPr>
        <w:pStyle w:val="TextBody"/>
        <w:bidi w:val="0"/>
        <w:spacing w:lineRule="auto" w:line="288" w:before="12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6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the quarterly period ended July 3, 2026</w:t>
      </w:r>
    </w:p>
    <w:p>
      <w:pPr>
        <w:pStyle w:val="TextBody"/>
        <w:bidi w:val="0"/>
        <w:spacing w:lineRule="auto" w:line="288" w:before="6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6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the transition period from              to  </w:t>
      </w:r>
    </w:p>
    <w:p>
      <w:pPr>
        <w:pStyle w:val="TextBody"/>
        <w:bidi w:val="0"/>
        <w:spacing w:lineRule="auto" w:line="288" w:before="6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Commission file number 001-33072 </w:t>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32"/>
              </w:rPr>
            </w:pPr>
            <w:r>
              <w:rPr>
                <w:rFonts w:ascii="Arial;sans-serif" w:hAnsi="Arial;sans-serif"/>
                <w:b/>
                <w:color w:val="000000"/>
                <w:sz w:val="32"/>
              </w:rPr>
              <w:t>Leidos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245"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772"/>
        <w:gridCol w:w="679"/>
        <w:gridCol w:w="679"/>
        <w:gridCol w:w="357"/>
        <w:gridCol w:w="357"/>
        <w:gridCol w:w="357"/>
        <w:gridCol w:w="357"/>
        <w:gridCol w:w="357"/>
        <w:gridCol w:w="357"/>
        <w:gridCol w:w="357"/>
        <w:gridCol w:w="357"/>
        <w:gridCol w:w="357"/>
        <w:gridCol w:w="109"/>
        <w:gridCol w:w="109"/>
        <w:gridCol w:w="109"/>
        <w:gridCol w:w="775"/>
        <w:gridCol w:w="775"/>
        <w:gridCol w:w="1104"/>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5343" w:type="dxa"/>
            <w:gridSpan w:val="12"/>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20-3562868</w:t>
            </w:r>
          </w:p>
        </w:tc>
      </w:tr>
      <w:tr>
        <w:trPr/>
        <w:tc>
          <w:tcPr>
            <w:tcW w:w="5343" w:type="dxa"/>
            <w:gridSpan w:val="12"/>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Arial;sans-serif" w:hAnsi="Arial;sans-serif"/>
                <w:b/>
                <w:color w:val="000000"/>
                <w:sz w:val="18"/>
              </w:rPr>
            </w:pPr>
            <w:r>
              <w:rPr>
                <w:rFonts w:ascii="Arial;sans-serif" w:hAnsi="Arial;sans-serif"/>
                <w:b/>
                <w:color w:val="000000"/>
                <w:sz w:val="18"/>
              </w:rPr>
              <w:t>1750 Presidents Street,</w:t>
            </w:r>
          </w:p>
        </w:tc>
        <w:tc>
          <w:tcPr>
            <w:tcW w:w="1071"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Reston,</w:t>
            </w:r>
          </w:p>
        </w:tc>
        <w:tc>
          <w:tcPr>
            <w:tcW w:w="2142" w:type="dxa"/>
            <w:gridSpan w:val="6"/>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color w:val="000000"/>
                <w:sz w:val="18"/>
              </w:rPr>
            </w:pPr>
            <w:r>
              <w:rPr>
                <w:rFonts w:ascii="Arial;sans-serif" w:hAnsi="Arial;sans-serif"/>
                <w:b/>
                <w:color w:val="000000"/>
                <w:sz w:val="18"/>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20190</w:t>
            </w:r>
          </w:p>
        </w:tc>
      </w:tr>
      <w:tr>
        <w:trPr/>
        <w:tc>
          <w:tcPr>
            <w:tcW w:w="5343" w:type="dxa"/>
            <w:gridSpan w:val="12"/>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center"/>
        <w:rPr>
          <w:rFonts w:ascii="Avenir LT Pro 45 Book;sans-serif" w:hAnsi="Avenir LT Pro 45 Book;sans-serif"/>
          <w:b/>
          <w:color w:val="000000"/>
          <w:sz w:val="18"/>
        </w:rPr>
      </w:pPr>
      <w:r>
        <w:rPr>
          <w:rFonts w:ascii="Avenir LT Pro 45 Book;sans-serif" w:hAnsi="Avenir LT Pro 45 Book;sans-serif"/>
          <w:b/>
          <w:color w:val="000000"/>
          <w:sz w:val="18"/>
        </w:rPr>
        <w:t xml:space="preserve">(571) 526-6000 </w:t>
      </w:r>
    </w:p>
    <w:p>
      <w:pPr>
        <w:pStyle w:val="TextBody"/>
        <w:bidi w:val="0"/>
        <w:spacing w:lineRule="auto" w:line="288" w:before="120" w:after="12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(Registrant's telephone number, including area code)</w:t>
      </w:r>
    </w:p>
    <w:p>
      <w:pPr>
        <w:pStyle w:val="TextBody"/>
        <w:bidi w:val="0"/>
        <w:spacing w:lineRule="auto" w:line="288" w:before="18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Securities registered pursuant to Section 12(b) of the Act:</w:t>
      </w:r>
    </w:p>
    <w:tbl>
      <w:tblPr>
        <w:tblW w:w="9291" w:type="dxa"/>
        <w:jc w:val="center"/>
        <w:tblInd w:w="0" w:type="dxa"/>
        <w:tblLayout w:type="fixed"/>
        <w:tblCellMar>
          <w:top w:w="28" w:type="dxa"/>
          <w:left w:w="28" w:type="dxa"/>
          <w:bottom w:w="28" w:type="dxa"/>
          <w:right w:w="28" w:type="dxa"/>
        </w:tblCellMar>
      </w:tblPr>
      <w:tblGrid>
        <w:gridCol w:w="1374"/>
        <w:gridCol w:w="1202"/>
        <w:gridCol w:w="1218"/>
        <w:gridCol w:w="109"/>
        <w:gridCol w:w="109"/>
        <w:gridCol w:w="109"/>
        <w:gridCol w:w="479"/>
        <w:gridCol w:w="479"/>
        <w:gridCol w:w="481"/>
        <w:gridCol w:w="109"/>
        <w:gridCol w:w="109"/>
        <w:gridCol w:w="109"/>
        <w:gridCol w:w="995"/>
        <w:gridCol w:w="995"/>
        <w:gridCol w:w="1414"/>
      </w:tblGrid>
      <w:tr>
        <w:trPr/>
        <w:tc>
          <w:tcPr>
            <w:tcW w:w="137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LDOS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rial;sans-serif" w:hAnsi="Arial;sans-serif"/>
                <w:b/>
                <w:color w:val="000000"/>
                <w:sz w:val="18"/>
              </w:rPr>
            </w:pPr>
            <w:r>
              <w:rPr>
                <w:rFonts w:ascii="Arial;sans-serif" w:hAnsi="Arial;sans-serif"/>
                <w:b/>
                <w:color w:val="000000"/>
                <w:sz w:val="18"/>
              </w:rPr>
              <w:t>New York Stock Exchange</w:t>
            </w:r>
          </w:p>
        </w:tc>
      </w:tr>
    </w:tbl>
    <w:p>
      <w:pPr>
        <w:pStyle w:val="TextBody"/>
        <w:bidi w:val="0"/>
        <w:spacing w:lineRule="auto" w:line="288" w:before="120" w:after="120"/>
        <w:jc w:val="left"/>
        <w:rPr/>
      </w:pPr>
      <w:r>
        <w:rPr>
          <w:rFonts w:ascii="Avenir LT Pro 45 Book;sans-serif" w:hAnsi="Avenir LT Pro 45 Book;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venir LT Pro 45 Book;sans-serif" w:hAnsi="Avenir LT Pro 45 Book;sans-serif"/>
          <w:b w:val="false"/>
          <w:color w:val="000000"/>
          <w:sz w:val="18"/>
        </w:rPr>
        <w:t>No  </w:t>
      </w:r>
      <w:r>
        <w:rPr>
          <w:color w:val="000000"/>
        </w:rPr>
        <w:t>☐</w:t>
      </w:r>
    </w:p>
    <w:p>
      <w:pPr>
        <w:pStyle w:val="TextBody"/>
        <w:bidi w:val="0"/>
        <w:spacing w:lineRule="auto" w:line="288" w:before="120" w:after="120"/>
        <w:jc w:val="left"/>
        <w:rPr/>
      </w:pPr>
      <w:r>
        <w:rPr>
          <w:rFonts w:ascii="Avenir LT Pro 45 Book;sans-serif" w:hAnsi="Avenir LT Pro 45 Book;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venir LT Pro 45 Book;sans-serif" w:hAnsi="Avenir LT Pro 45 Book;sans-serif"/>
          <w:b w:val="false"/>
          <w:color w:val="000000"/>
          <w:sz w:val="18"/>
        </w:rPr>
        <w:t>No  </w:t>
      </w:r>
      <w:r>
        <w:rPr>
          <w:color w:val="000000"/>
        </w:rPr>
        <w:t xml:space="preserve">☐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921"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109"/>
        <w:gridCol w:w="109"/>
        <w:gridCol w:w="109"/>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12" w:before="120" w:after="12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LT Pro 45 Book;sans-serif" w:hAnsi="Avenir LT Pro 45 Book;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Avenir LT Pro 45 Book;sans-serif" w:hAnsi="Avenir LT Pro 45 Book;sans-serif"/>
          <w:b w:val="false"/>
          <w:color w:val="000000"/>
          <w:sz w:val="18"/>
        </w:rPr>
        <w:t>Indicate by check mark whether the registrant is a shell company (as defined in Rule 12b-2 of the Exchange Act). Yes  </w:t>
      </w:r>
      <w:r>
        <w:rPr>
          <w:color w:val="000000"/>
        </w:rPr>
        <w:t>☐   </w:t>
      </w:r>
      <w:r>
        <w:rPr>
          <w:rFonts w:ascii="Avenir LT Pro 45 Book;sans-serif" w:hAnsi="Avenir LT Pro 45 Book;sans-serif"/>
          <w:b w:val="false"/>
          <w:color w:val="000000"/>
          <w:sz w:val="18"/>
        </w:rPr>
        <w:t>No  </w:t>
      </w:r>
      <w:r>
        <w:rPr>
          <w:color w:val="000000"/>
        </w:rPr>
        <w:t>☒  </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number of shares issued and outstanding of each of the issuer’s classes of common stock as of July 28, 2026, was 125,492,209 shares of common stock ($.0001 par value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12"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 FORM 10-Q</w:t>
      </w:r>
    </w:p>
    <w:p>
      <w:pPr>
        <w:pStyle w:val="TextBody"/>
        <w:bidi w:val="0"/>
        <w:spacing w:lineRule="auto" w:line="288" w:before="0" w:after="32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Table of Contents</w:t>
      </w:r>
    </w:p>
    <w:tbl>
      <w:tblPr>
        <w:tblW w:w="9540" w:type="dxa"/>
        <w:jc w:val="left"/>
        <w:tblInd w:w="0" w:type="dxa"/>
        <w:tblLayout w:type="fixed"/>
        <w:tblCellMar>
          <w:top w:w="28" w:type="dxa"/>
          <w:left w:w="28" w:type="dxa"/>
          <w:bottom w:w="28" w:type="dxa"/>
          <w:right w:w="28" w:type="dxa"/>
        </w:tblCellMar>
      </w:tblPr>
      <w:tblGrid>
        <w:gridCol w:w="326"/>
        <w:gridCol w:w="286"/>
        <w:gridCol w:w="287"/>
        <w:gridCol w:w="2659"/>
        <w:gridCol w:w="2659"/>
        <w:gridCol w:w="2662"/>
        <w:gridCol w:w="193"/>
        <w:gridCol w:w="193"/>
        <w:gridCol w:w="275"/>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Part I</w:t>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Avenir LT Pro 95 Black;sans-serif" w:hAnsi="Avenir LT Pro 95 Black;sans-serif"/>
                <w:b/>
                <w:color w:val="000000"/>
                <w:sz w:val="18"/>
              </w:rPr>
            </w:pPr>
            <w:r>
              <w:rPr>
                <w:rFonts w:ascii="Avenir LT Pro 95 Black;sans-serif" w:hAnsi="Avenir LT Pro 95 Black;sans-serif"/>
                <w:b/>
                <w:color w:val="000000"/>
                <w:sz w:val="18"/>
              </w:rPr>
              <w:t>Page</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1.</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0">
              <w:r>
                <w:rPr>
                  <w:rStyle w:val="InternetLink"/>
                  <w:rFonts w:ascii="Avenir LT Pro 45 Book;sans-serif" w:hAnsi="Avenir LT Pro 45 Book;sans-serif"/>
                  <w:b w:val="false"/>
                  <w:strike w:val="false"/>
                  <w:dstrike w:val="false"/>
                  <w:color w:val="000000"/>
                  <w:sz w:val="18"/>
                  <w:u w:val="none"/>
                  <w:effect w:val="none"/>
                </w:rPr>
                <w:t>Financial Statements (Unaudited)</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0">
              <w:r>
                <w:rPr>
                  <w:rStyle w:val="InternetLink"/>
                  <w:rFonts w:ascii="Avenir LT Pro 45 Book;sans-serif" w:hAnsi="Avenir LT Pro 45 Book;sans-serif"/>
                  <w:b w:val="false"/>
                  <w:strike w:val="false"/>
                  <w:dstrike w:val="false"/>
                  <w:color w:val="000000"/>
                  <w:sz w:val="18"/>
                  <w:u w:val="none"/>
                  <w:effect w:val="none"/>
                </w:rPr>
                <w:t>1</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19">
              <w:r>
                <w:rPr>
                  <w:rStyle w:val="InternetLink"/>
                  <w:rFonts w:ascii="Avenir LT Pro 45 Book;sans-serif" w:hAnsi="Avenir LT Pro 45 Book;sans-serif"/>
                  <w:b w:val="false"/>
                  <w:strike w:val="false"/>
                  <w:dstrike w:val="false"/>
                  <w:color w:val="000000"/>
                  <w:sz w:val="18"/>
                  <w:u w:val="none"/>
                  <w:effect w:val="none"/>
                </w:rPr>
                <w:t>Condensed 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9">
              <w:r>
                <w:rPr>
                  <w:rStyle w:val="InternetLink"/>
                  <w:rFonts w:ascii="Avenir LT Pro 45 Book;sans-serif" w:hAnsi="Avenir LT Pro 45 Book;sans-serif"/>
                  <w:b w:val="false"/>
                  <w:strike w:val="false"/>
                  <w:dstrike w:val="false"/>
                  <w:color w:val="000000"/>
                  <w:sz w:val="18"/>
                  <w:u w:val="none"/>
                  <w:effect w:val="none"/>
                </w:rPr>
                <w:t>1</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22">
              <w:r>
                <w:rPr>
                  <w:rStyle w:val="InternetLink"/>
                  <w:rFonts w:ascii="Avenir LT Pro 45 Book;sans-serif" w:hAnsi="Avenir LT Pro 45 Book;sans-serif"/>
                  <w:b w:val="false"/>
                  <w:strike w:val="false"/>
                  <w:dstrike w:val="false"/>
                  <w:color w:val="000000"/>
                  <w:sz w:val="18"/>
                  <w:u w:val="none"/>
                  <w:effect w:val="none"/>
                </w:rPr>
                <w:t>Condensed Consolidated Statements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22">
              <w:r>
                <w:rPr>
                  <w:rStyle w:val="InternetLink"/>
                  <w:rFonts w:ascii="Avenir LT Pro 45 Book;sans-serif" w:hAnsi="Avenir LT Pro 45 Book;sans-serif"/>
                  <w:b w:val="false"/>
                  <w:strike w:val="false"/>
                  <w:dstrike w:val="false"/>
                  <w:color w:val="000000"/>
                  <w:sz w:val="18"/>
                  <w:u w:val="none"/>
                  <w:effect w:val="none"/>
                </w:rPr>
                <w:t>2</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25">
              <w:r>
                <w:rPr>
                  <w:rStyle w:val="InternetLink"/>
                  <w:rFonts w:ascii="Avenir LT Pro 45 Book;sans-serif" w:hAnsi="Avenir LT Pro 45 Book;sans-serif"/>
                  <w:b w:val="false"/>
                  <w:strike w:val="false"/>
                  <w:dstrike w:val="false"/>
                  <w:color w:val="000000"/>
                  <w:sz w:val="18"/>
                  <w:u w:val="none"/>
                  <w:effect w:val="none"/>
                </w:rPr>
                <w:t xml:space="preserve">Condensed Consolidated Statements of Comprehensive Income </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25">
              <w:r>
                <w:rPr>
                  <w:rStyle w:val="InternetLink"/>
                  <w:rFonts w:ascii="Avenir LT Pro 45 Book;sans-serif" w:hAnsi="Avenir LT Pro 45 Book;sans-serif"/>
                  <w:b w:val="false"/>
                  <w:strike w:val="false"/>
                  <w:dstrike w:val="false"/>
                  <w:color w:val="000000"/>
                  <w:sz w:val="18"/>
                  <w:u w:val="none"/>
                  <w:effect w:val="none"/>
                </w:rPr>
                <w:t>3</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28">
              <w:r>
                <w:rPr>
                  <w:rStyle w:val="InternetLink"/>
                  <w:rFonts w:ascii="Avenir LT Pro 45 Book;sans-serif" w:hAnsi="Avenir LT Pro 45 Book;sans-serif"/>
                  <w:b w:val="false"/>
                  <w:strike w:val="false"/>
                  <w:dstrike w:val="false"/>
                  <w:color w:val="000000"/>
                  <w:sz w:val="18"/>
                  <w:u w:val="none"/>
                  <w:effect w:val="none"/>
                </w:rPr>
                <w:t>Condensed Consolidated Statements of Equity</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28">
              <w:r>
                <w:rPr>
                  <w:rStyle w:val="InternetLink"/>
                  <w:rFonts w:ascii="Avenir LT Pro 45 Book;sans-serif" w:hAnsi="Avenir LT Pro 45 Book;sans-serif"/>
                  <w:b w:val="false"/>
                  <w:strike w:val="false"/>
                  <w:dstrike w:val="false"/>
                  <w:color w:val="000000"/>
                  <w:sz w:val="18"/>
                  <w:u w:val="none"/>
                  <w:effect w:val="none"/>
                </w:rPr>
                <w:t>4</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31">
              <w:r>
                <w:rPr>
                  <w:rStyle w:val="InternetLink"/>
                  <w:rFonts w:ascii="Avenir LT Pro 45 Book;sans-serif" w:hAnsi="Avenir LT Pro 45 Book;sans-serif"/>
                  <w:b w:val="false"/>
                  <w:strike w:val="false"/>
                  <w:dstrike w:val="false"/>
                  <w:color w:val="000000"/>
                  <w:sz w:val="18"/>
                  <w:u w:val="none"/>
                  <w:effect w:val="none"/>
                </w:rPr>
                <w:t>Condensed 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31">
              <w:r>
                <w:rPr>
                  <w:rStyle w:val="InternetLink"/>
                  <w:rFonts w:ascii="Avenir LT Pro 45 Book;sans-serif" w:hAnsi="Avenir LT Pro 45 Book;sans-serif"/>
                  <w:b w:val="false"/>
                  <w:strike w:val="false"/>
                  <w:dstrike w:val="false"/>
                  <w:color w:val="000000"/>
                  <w:sz w:val="18"/>
                  <w:u w:val="none"/>
                  <w:effect w:val="none"/>
                </w:rPr>
                <w:t>6</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34">
              <w:r>
                <w:rPr>
                  <w:rStyle w:val="InternetLink"/>
                  <w:rFonts w:ascii="Avenir LT Pro 45 Book;sans-serif" w:hAnsi="Avenir LT Pro 45 Book;sans-serif"/>
                  <w:b w:val="false"/>
                  <w:strike w:val="false"/>
                  <w:dstrike w:val="false"/>
                  <w:color w:val="000000"/>
                  <w:sz w:val="18"/>
                  <w:u w:val="none"/>
                  <w:effect w:val="none"/>
                </w:rPr>
                <w:t>Notes to Condensed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34">
              <w:r>
                <w:rPr>
                  <w:rStyle w:val="InternetLink"/>
                  <w:rFonts w:ascii="Avenir LT Pro 45 Book;sans-serif" w:hAnsi="Avenir LT Pro 45 Book;sans-serif"/>
                  <w:b w:val="false"/>
                  <w:strike w:val="false"/>
                  <w:dstrike w:val="false"/>
                  <w:color w:val="000000"/>
                  <w:sz w:val="18"/>
                  <w:u w:val="none"/>
                  <w:effect w:val="none"/>
                </w:rPr>
                <w:t>8</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37">
              <w:r>
                <w:rPr>
                  <w:rStyle w:val="InternetLink"/>
                  <w:rFonts w:ascii="Avenir LT Pro 45 Book;sans-serif" w:hAnsi="Avenir LT Pro 45 Book;sans-serif"/>
                  <w:b w:val="false"/>
                  <w:strike w:val="false"/>
                  <w:dstrike w:val="false"/>
                  <w:color w:val="000000"/>
                  <w:sz w:val="18"/>
                  <w:u w:val="none"/>
                  <w:effect w:val="none"/>
                </w:rPr>
                <w:t>Note 1–Basis of Presentation and Summary of Significant Accounting Policies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37">
              <w:r>
                <w:rPr>
                  <w:rStyle w:val="InternetLink"/>
                  <w:rFonts w:ascii="Avenir LT Pro 45 Book;sans-serif" w:hAnsi="Avenir LT Pro 45 Book;sans-serif"/>
                  <w:b w:val="false"/>
                  <w:strike w:val="false"/>
                  <w:dstrike w:val="false"/>
                  <w:color w:val="000000"/>
                  <w:sz w:val="18"/>
                  <w:u w:val="none"/>
                  <w:effect w:val="none"/>
                </w:rPr>
                <w:t>8</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40">
              <w:r>
                <w:rPr>
                  <w:rStyle w:val="InternetLink"/>
                  <w:rFonts w:ascii="Avenir LT Pro 45 Book;sans-serif" w:hAnsi="Avenir LT Pro 45 Book;sans-serif"/>
                  <w:b w:val="false"/>
                  <w:strike w:val="false"/>
                  <w:dstrike w:val="false"/>
                  <w:color w:val="000000"/>
                  <w:sz w:val="18"/>
                  <w:u w:val="none"/>
                  <w:effect w:val="none"/>
                </w:rPr>
                <w:t xml:space="preserve">Note 2–Revenues </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40">
              <w:r>
                <w:rPr>
                  <w:rStyle w:val="InternetLink"/>
                  <w:rFonts w:ascii="Avenir LT Pro 45 Book;sans-serif" w:hAnsi="Avenir LT Pro 45 Book;sans-serif"/>
                  <w:b w:val="false"/>
                  <w:strike w:val="false"/>
                  <w:dstrike w:val="false"/>
                  <w:color w:val="000000"/>
                  <w:sz w:val="18"/>
                  <w:u w:val="none"/>
                  <w:effect w:val="none"/>
                </w:rPr>
                <w:t>10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46">
              <w:r>
                <w:rPr>
                  <w:rStyle w:val="InternetLink"/>
                  <w:rFonts w:ascii="Avenir LT Pro 45 Book;sans-serif" w:hAnsi="Avenir LT Pro 45 Book;sans-serif"/>
                  <w:b w:val="false"/>
                  <w:strike w:val="false"/>
                  <w:dstrike w:val="false"/>
                  <w:color w:val="000000"/>
                  <w:sz w:val="18"/>
                  <w:u w:val="none"/>
                  <w:effect w:val="none"/>
                </w:rPr>
                <w:t>Note 3–Acquisitions and Divestitures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46">
              <w:r>
                <w:rPr>
                  <w:rStyle w:val="InternetLink"/>
                  <w:rFonts w:ascii="Avenir LT Pro 45 Book;sans-serif" w:hAnsi="Avenir LT Pro 45 Book;sans-serif"/>
                  <w:b w:val="false"/>
                  <w:strike w:val="false"/>
                  <w:dstrike w:val="false"/>
                  <w:color w:val="000000"/>
                  <w:sz w:val="18"/>
                  <w:u w:val="none"/>
                  <w:effect w:val="none"/>
                </w:rPr>
                <w:t>13</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1374">
              <w:r>
                <w:rPr>
                  <w:rStyle w:val="InternetLink"/>
                  <w:rFonts w:ascii="Avenir LT Pro 45 Book;sans-serif" w:hAnsi="Avenir LT Pro 45 Book;sans-serif"/>
                  <w:b w:val="false"/>
                  <w:strike w:val="false"/>
                  <w:dstrike w:val="false"/>
                  <w:color w:val="000000"/>
                  <w:sz w:val="18"/>
                  <w:u w:val="none"/>
                  <w:effect w:val="none"/>
                </w:rPr>
                <w:t>Note 4–Goodwill and Intangible Assets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374">
              <w:r>
                <w:rPr>
                  <w:rStyle w:val="InternetLink"/>
                  <w:rFonts w:ascii="Avenir LT Pro 45 Book;sans-serif" w:hAnsi="Avenir LT Pro 45 Book;sans-serif"/>
                  <w:b w:val="false"/>
                  <w:strike w:val="false"/>
                  <w:dstrike w:val="false"/>
                  <w:color w:val="000000"/>
                  <w:sz w:val="18"/>
                  <w:u w:val="none"/>
                  <w:effect w:val="none"/>
                </w:rPr>
                <w:t>16</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49">
              <w:r>
                <w:rPr>
                  <w:rStyle w:val="InternetLink"/>
                  <w:rFonts w:ascii="Avenir LT Pro 45 Book;sans-serif" w:hAnsi="Avenir LT Pro 45 Book;sans-serif"/>
                  <w:b w:val="false"/>
                  <w:strike w:val="false"/>
                  <w:dstrike w:val="false"/>
                  <w:color w:val="000000"/>
                  <w:sz w:val="18"/>
                  <w:u w:val="none"/>
                  <w:effect w:val="none"/>
                </w:rPr>
                <w:t>Note 5–Fair Value Measurements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49">
              <w:r>
                <w:rPr>
                  <w:rStyle w:val="InternetLink"/>
                  <w:rFonts w:ascii="Avenir LT Pro 45 Book;sans-serif" w:hAnsi="Avenir LT Pro 45 Book;sans-serif"/>
                  <w:b w:val="false"/>
                  <w:strike w:val="false"/>
                  <w:dstrike w:val="false"/>
                  <w:color w:val="000000"/>
                  <w:sz w:val="18"/>
                  <w:u w:val="none"/>
                  <w:effect w:val="none"/>
                </w:rPr>
                <w:t>17</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52">
              <w:r>
                <w:rPr>
                  <w:rStyle w:val="InternetLink"/>
                  <w:rFonts w:ascii="Avenir LT Pro 45 Book;sans-serif" w:hAnsi="Avenir LT Pro 45 Book;sans-serif"/>
                  <w:b w:val="false"/>
                  <w:strike w:val="false"/>
                  <w:dstrike w:val="false"/>
                  <w:color w:val="000080"/>
                  <w:sz w:val="18"/>
                  <w:u w:val="single"/>
                  <w:effect w:val="none"/>
                </w:rPr>
                <w:t xml:space="preserve">Note </w:t>
              </w:r>
            </w:hyperlink>
            <w:hyperlink w:anchor="i5ab61b4bbe4a4ef9a239e38dfb69a0a6_52">
              <w:r>
                <w:rPr>
                  <w:rStyle w:val="InternetLink"/>
                  <w:rFonts w:ascii="Avenir LT Pro 45 Book;sans-serif" w:hAnsi="Avenir LT Pro 45 Book;sans-serif"/>
                  <w:b w:val="false"/>
                  <w:strike w:val="false"/>
                  <w:dstrike w:val="false"/>
                  <w:color w:val="000080"/>
                  <w:sz w:val="18"/>
                  <w:u w:val="single"/>
                  <w:effect w:val="none"/>
                </w:rPr>
                <w:t>6</w:t>
              </w:r>
            </w:hyperlink>
            <w:hyperlink w:anchor="i5ab61b4bbe4a4ef9a239e38dfb69a0a6_52">
              <w:r>
                <w:rPr>
                  <w:rStyle w:val="InternetLink"/>
                  <w:rFonts w:ascii="Avenir LT Pro 45 Book;sans-serif" w:hAnsi="Avenir LT Pro 45 Book;sans-serif"/>
                  <w:b w:val="false"/>
                  <w:strike w:val="false"/>
                  <w:dstrike w:val="false"/>
                  <w:color w:val="000080"/>
                  <w:sz w:val="18"/>
                  <w:u w:val="single"/>
                  <w:effect w:val="none"/>
                </w:rPr>
                <w:t>–Debt</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52">
              <w:r>
                <w:rPr>
                  <w:rStyle w:val="InternetLink"/>
                  <w:rFonts w:ascii="Avenir LT Pro 45 Book;sans-serif" w:hAnsi="Avenir LT Pro 45 Book;sans-serif"/>
                  <w:b w:val="false"/>
                  <w:strike w:val="false"/>
                  <w:dstrike w:val="false"/>
                  <w:color w:val="000000"/>
                  <w:sz w:val="18"/>
                  <w:u w:val="none"/>
                  <w:effect w:val="none"/>
                </w:rPr>
                <w:t>18</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55">
              <w:r>
                <w:rPr>
                  <w:rStyle w:val="InternetLink"/>
                  <w:rFonts w:ascii="Avenir LT Pro 45 Book;sans-serif" w:hAnsi="Avenir LT Pro 45 Book;sans-serif"/>
                  <w:b w:val="false"/>
                  <w:strike w:val="false"/>
                  <w:dstrike w:val="false"/>
                  <w:color w:val="000080"/>
                  <w:sz w:val="18"/>
                  <w:u w:val="single"/>
                  <w:effect w:val="none"/>
                </w:rPr>
                <w:t xml:space="preserve">Note </w:t>
              </w:r>
            </w:hyperlink>
            <w:hyperlink w:anchor="i5ab61b4bbe4a4ef9a239e38dfb69a0a6_55">
              <w:r>
                <w:rPr>
                  <w:rStyle w:val="InternetLink"/>
                  <w:rFonts w:ascii="Avenir LT Pro 45 Book;sans-serif" w:hAnsi="Avenir LT Pro 45 Book;sans-serif"/>
                  <w:b w:val="false"/>
                  <w:strike w:val="false"/>
                  <w:dstrike w:val="false"/>
                  <w:color w:val="000080"/>
                  <w:sz w:val="18"/>
                  <w:u w:val="single"/>
                  <w:effect w:val="none"/>
                </w:rPr>
                <w:t>7</w:t>
              </w:r>
            </w:hyperlink>
            <w:hyperlink w:anchor="i5ab61b4bbe4a4ef9a239e38dfb69a0a6_55">
              <w:r>
                <w:rPr>
                  <w:rStyle w:val="InternetLink"/>
                  <w:rFonts w:ascii="Avenir LT Pro 45 Book;sans-serif" w:hAnsi="Avenir LT Pro 45 Book;sans-serif"/>
                  <w:b w:val="false"/>
                  <w:strike w:val="false"/>
                  <w:dstrike w:val="false"/>
                  <w:color w:val="000080"/>
                  <w:sz w:val="18"/>
                  <w:u w:val="single"/>
                  <w:effect w:val="none"/>
                </w:rPr>
                <w:t>–Accumulated Other Comprehensive Income (Loss)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55">
              <w:r>
                <w:rPr>
                  <w:rStyle w:val="InternetLink"/>
                  <w:rFonts w:ascii="Avenir LT Pro 45 Book;sans-serif" w:hAnsi="Avenir LT Pro 45 Book;sans-serif"/>
                  <w:b w:val="false"/>
                  <w:strike w:val="false"/>
                  <w:dstrike w:val="false"/>
                  <w:color w:val="000000"/>
                  <w:sz w:val="18"/>
                  <w:u w:val="none"/>
                  <w:effect w:val="none"/>
                </w:rPr>
                <w:t>19</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58">
              <w:r>
                <w:rPr>
                  <w:rStyle w:val="InternetLink"/>
                  <w:rFonts w:ascii="Avenir LT Pro 45 Book;sans-serif" w:hAnsi="Avenir LT Pro 45 Book;sans-serif"/>
                  <w:b w:val="false"/>
                  <w:strike w:val="false"/>
                  <w:dstrike w:val="false"/>
                  <w:color w:val="000080"/>
                  <w:sz w:val="18"/>
                  <w:u w:val="single"/>
                  <w:effect w:val="none"/>
                </w:rPr>
                <w:t xml:space="preserve">Note </w:t>
              </w:r>
            </w:hyperlink>
            <w:hyperlink w:anchor="i5ab61b4bbe4a4ef9a239e38dfb69a0a6_58">
              <w:r>
                <w:rPr>
                  <w:rStyle w:val="InternetLink"/>
                  <w:rFonts w:ascii="Avenir LT Pro 45 Book;sans-serif" w:hAnsi="Avenir LT Pro 45 Book;sans-serif"/>
                  <w:b w:val="false"/>
                  <w:strike w:val="false"/>
                  <w:dstrike w:val="false"/>
                  <w:color w:val="000080"/>
                  <w:sz w:val="18"/>
                  <w:u w:val="single"/>
                  <w:effect w:val="none"/>
                </w:rPr>
                <w:t>8</w:t>
              </w:r>
            </w:hyperlink>
            <w:hyperlink w:anchor="i5ab61b4bbe4a4ef9a239e38dfb69a0a6_58">
              <w:r>
                <w:rPr>
                  <w:rStyle w:val="InternetLink"/>
                  <w:rFonts w:ascii="Avenir LT Pro 45 Book;sans-serif" w:hAnsi="Avenir LT Pro 45 Book;sans-serif"/>
                  <w:b w:val="false"/>
                  <w:strike w:val="false"/>
                  <w:dstrike w:val="false"/>
                  <w:color w:val="000080"/>
                  <w:sz w:val="18"/>
                  <w:u w:val="single"/>
                  <w:effect w:val="none"/>
                </w:rPr>
                <w:t>–Earnings Per Share</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58">
              <w:r>
                <w:rPr>
                  <w:rStyle w:val="InternetLink"/>
                  <w:rFonts w:ascii="Avenir LT Pro 45 Book;sans-serif" w:hAnsi="Avenir LT Pro 45 Book;sans-serif"/>
                  <w:b w:val="false"/>
                  <w:strike w:val="false"/>
                  <w:dstrike w:val="false"/>
                  <w:color w:val="000000"/>
                  <w:sz w:val="18"/>
                  <w:u w:val="none"/>
                  <w:effect w:val="none"/>
                </w:rPr>
                <w:t>20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61">
              <w:r>
                <w:rPr>
                  <w:rStyle w:val="InternetLink"/>
                  <w:rFonts w:ascii="Avenir LT Pro 45 Book;sans-serif" w:hAnsi="Avenir LT Pro 45 Book;sans-serif"/>
                  <w:b w:val="false"/>
                  <w:strike w:val="false"/>
                  <w:dstrike w:val="false"/>
                  <w:color w:val="000080"/>
                  <w:sz w:val="18"/>
                  <w:u w:val="single"/>
                  <w:effect w:val="none"/>
                </w:rPr>
                <w:t xml:space="preserve">Note </w:t>
              </w:r>
            </w:hyperlink>
            <w:hyperlink w:anchor="i5ab61b4bbe4a4ef9a239e38dfb69a0a6_61">
              <w:r>
                <w:rPr>
                  <w:rStyle w:val="InternetLink"/>
                  <w:rFonts w:ascii="Avenir LT Pro 45 Book;sans-serif" w:hAnsi="Avenir LT Pro 45 Book;sans-serif"/>
                  <w:b w:val="false"/>
                  <w:strike w:val="false"/>
                  <w:dstrike w:val="false"/>
                  <w:color w:val="000080"/>
                  <w:sz w:val="18"/>
                  <w:u w:val="single"/>
                  <w:effect w:val="none"/>
                </w:rPr>
                <w:t>9</w:t>
              </w:r>
            </w:hyperlink>
            <w:hyperlink w:anchor="i5ab61b4bbe4a4ef9a239e38dfb69a0a6_61">
              <w:r>
                <w:rPr>
                  <w:rStyle w:val="InternetLink"/>
                  <w:rFonts w:ascii="Avenir LT Pro 45 Book;sans-serif" w:hAnsi="Avenir LT Pro 45 Book;sans-serif"/>
                  <w:b w:val="false"/>
                  <w:strike w:val="false"/>
                  <w:dstrike w:val="false"/>
                  <w:color w:val="000080"/>
                  <w:sz w:val="18"/>
                  <w:u w:val="single"/>
                  <w:effect w:val="none"/>
                </w:rPr>
                <w:t>–Income Taxes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61">
              <w:r>
                <w:rPr>
                  <w:rStyle w:val="InternetLink"/>
                  <w:rFonts w:ascii="Avenir LT Pro 45 Book;sans-serif" w:hAnsi="Avenir LT Pro 45 Book;sans-serif"/>
                  <w:b w:val="false"/>
                  <w:strike w:val="false"/>
                  <w:dstrike w:val="false"/>
                  <w:color w:val="000000"/>
                  <w:sz w:val="18"/>
                  <w:u w:val="none"/>
                  <w:effect w:val="none"/>
                </w:rPr>
                <w:t>20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64">
              <w:r>
                <w:rPr>
                  <w:rStyle w:val="InternetLink"/>
                  <w:rFonts w:ascii="Avenir LT Pro 45 Book;sans-serif" w:hAnsi="Avenir LT Pro 45 Book;sans-serif"/>
                  <w:b w:val="false"/>
                  <w:strike w:val="false"/>
                  <w:dstrike w:val="false"/>
                  <w:color w:val="000080"/>
                  <w:sz w:val="18"/>
                  <w:u w:val="single"/>
                  <w:effect w:val="none"/>
                </w:rPr>
                <w:t xml:space="preserve">Note </w:t>
              </w:r>
            </w:hyperlink>
            <w:hyperlink w:anchor="i5ab61b4bbe4a4ef9a239e38dfb69a0a6_64">
              <w:r>
                <w:rPr>
                  <w:rStyle w:val="InternetLink"/>
                  <w:rFonts w:ascii="Avenir LT Pro 45 Book;sans-serif" w:hAnsi="Avenir LT Pro 45 Book;sans-serif"/>
                  <w:b w:val="false"/>
                  <w:strike w:val="false"/>
                  <w:dstrike w:val="false"/>
                  <w:color w:val="000080"/>
                  <w:sz w:val="18"/>
                  <w:u w:val="single"/>
                  <w:effect w:val="none"/>
                </w:rPr>
                <w:t>10</w:t>
              </w:r>
            </w:hyperlink>
            <w:hyperlink w:anchor="i5ab61b4bbe4a4ef9a239e38dfb69a0a6_64">
              <w:r>
                <w:rPr>
                  <w:rStyle w:val="InternetLink"/>
                  <w:rFonts w:ascii="Avenir LT Pro 45 Book;sans-serif" w:hAnsi="Avenir LT Pro 45 Book;sans-serif"/>
                  <w:b w:val="false"/>
                  <w:strike w:val="false"/>
                  <w:dstrike w:val="false"/>
                  <w:color w:val="000080"/>
                  <w:sz w:val="18"/>
                  <w:u w:val="single"/>
                  <w:effect w:val="none"/>
                </w:rPr>
                <w:t>–Business Segments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64">
              <w:r>
                <w:rPr>
                  <w:rStyle w:val="InternetLink"/>
                  <w:rFonts w:ascii="Avenir LT Pro 45 Book;sans-serif" w:hAnsi="Avenir LT Pro 45 Book;sans-serif"/>
                  <w:b w:val="false"/>
                  <w:strike w:val="false"/>
                  <w:dstrike w:val="false"/>
                  <w:color w:val="000000"/>
                  <w:sz w:val="18"/>
                  <w:u w:val="none"/>
                  <w:effect w:val="none"/>
                </w:rPr>
                <w:t>20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70">
              <w:r>
                <w:rPr>
                  <w:rStyle w:val="InternetLink"/>
                  <w:rFonts w:ascii="Avenir LT Pro 45 Book;sans-serif" w:hAnsi="Avenir LT Pro 45 Book;sans-serif"/>
                  <w:b w:val="false"/>
                  <w:strike w:val="false"/>
                  <w:dstrike w:val="false"/>
                  <w:color w:val="000080"/>
                  <w:sz w:val="18"/>
                  <w:u w:val="single"/>
                  <w:effect w:val="none"/>
                </w:rPr>
                <w:t>Note 1</w:t>
              </w:r>
            </w:hyperlink>
            <w:hyperlink w:anchor="i5ab61b4bbe4a4ef9a239e38dfb69a0a6_70">
              <w:r>
                <w:rPr>
                  <w:rStyle w:val="InternetLink"/>
                  <w:rFonts w:ascii="Avenir LT Pro 45 Book;sans-serif" w:hAnsi="Avenir LT Pro 45 Book;sans-serif"/>
                  <w:b w:val="false"/>
                  <w:strike w:val="false"/>
                  <w:dstrike w:val="false"/>
                  <w:color w:val="000080"/>
                  <w:sz w:val="18"/>
                  <w:u w:val="single"/>
                  <w:effect w:val="none"/>
                </w:rPr>
                <w:t>1</w:t>
              </w:r>
            </w:hyperlink>
            <w:hyperlink w:anchor="i5ab61b4bbe4a4ef9a239e38dfb69a0a6_70">
              <w:r>
                <w:rPr>
                  <w:rStyle w:val="InternetLink"/>
                  <w:rFonts w:ascii="Avenir LT Pro 45 Book;sans-serif" w:hAnsi="Avenir LT Pro 45 Book;sans-serif"/>
                  <w:b w:val="false"/>
                  <w:strike w:val="false"/>
                  <w:dstrike w:val="false"/>
                  <w:color w:val="000080"/>
                  <w:sz w:val="18"/>
                  <w:u w:val="single"/>
                  <w:effect w:val="none"/>
                </w:rPr>
                <w:t xml:space="preserve">–Commitments and Contingencies </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70">
              <w:r>
                <w:rPr>
                  <w:rStyle w:val="InternetLink"/>
                  <w:rFonts w:ascii="Avenir LT Pro 45 Book;sans-serif" w:hAnsi="Avenir LT Pro 45 Book;sans-serif"/>
                  <w:b w:val="false"/>
                  <w:strike w:val="false"/>
                  <w:dstrike w:val="false"/>
                  <w:color w:val="000000"/>
                  <w:sz w:val="18"/>
                  <w:u w:val="none"/>
                  <w:effect w:val="none"/>
                </w:rPr>
                <w:t>23</w:t>
              </w:r>
            </w:hyperlink>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7980"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2.</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76">
              <w:r>
                <w:rPr>
                  <w:rStyle w:val="InternetLink"/>
                  <w:rFonts w:ascii="Avenir LT Pro 45 Book;sans-serif" w:hAnsi="Avenir LT Pro 45 Book;sans-serif"/>
                  <w:b w:val="false"/>
                  <w:strike w:val="false"/>
                  <w:dstrike w:val="false"/>
                  <w:color w:val="000000"/>
                  <w:sz w:val="18"/>
                  <w:u w:val="none"/>
                  <w:effect w:val="none"/>
                </w:rPr>
                <w:t>Management's Discussion and Analysis of Financial Condition and 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76">
              <w:r>
                <w:rPr>
                  <w:rStyle w:val="InternetLink"/>
                  <w:rFonts w:ascii="Avenir LT Pro 45 Book;sans-serif" w:hAnsi="Avenir LT Pro 45 Book;sans-serif"/>
                  <w:b w:val="false"/>
                  <w:strike w:val="false"/>
                  <w:dstrike w:val="false"/>
                  <w:color w:val="000000"/>
                  <w:sz w:val="18"/>
                  <w:u w:val="none"/>
                  <w:effect w:val="none"/>
                </w:rPr>
                <w:t>24</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79">
              <w:r>
                <w:rPr>
                  <w:rStyle w:val="InternetLink"/>
                  <w:rFonts w:ascii="Avenir LT Pro 45 Book;sans-serif" w:hAnsi="Avenir LT Pro 45 Book;sans-serif"/>
                  <w:b w:val="false"/>
                  <w:strike w:val="false"/>
                  <w:dstrike w:val="false"/>
                  <w:color w:val="000000"/>
                  <w:sz w:val="18"/>
                  <w:u w:val="none"/>
                  <w:effect w:val="none"/>
                </w:rPr>
                <w:t>Overview</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79">
              <w:r>
                <w:rPr>
                  <w:rStyle w:val="InternetLink"/>
                  <w:rFonts w:ascii="Avenir LT Pro 45 Book;sans-serif" w:hAnsi="Avenir LT Pro 45 Book;sans-serif"/>
                  <w:b w:val="false"/>
                  <w:strike w:val="false"/>
                  <w:dstrike w:val="false"/>
                  <w:color w:val="000000"/>
                  <w:sz w:val="18"/>
                  <w:u w:val="none"/>
                  <w:effect w:val="none"/>
                </w:rPr>
                <w:t>24</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82">
              <w:r>
                <w:rPr>
                  <w:rStyle w:val="InternetLink"/>
                  <w:rFonts w:ascii="Avenir LT Pro 45 Book;sans-serif" w:hAnsi="Avenir LT Pro 45 Book;sans-serif"/>
                  <w:b w:val="false"/>
                  <w:strike w:val="false"/>
                  <w:dstrike w:val="false"/>
                  <w:color w:val="000000"/>
                  <w:sz w:val="18"/>
                  <w:u w:val="none"/>
                  <w:effect w:val="none"/>
                </w:rPr>
                <w:t>Business Environment and Trends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82">
              <w:r>
                <w:rPr>
                  <w:rStyle w:val="InternetLink"/>
                  <w:rFonts w:ascii="Avenir LT Pro 45 Book;sans-serif" w:hAnsi="Avenir LT Pro 45 Book;sans-serif"/>
                  <w:b w:val="false"/>
                  <w:strike w:val="false"/>
                  <w:dstrike w:val="false"/>
                  <w:color w:val="000000"/>
                  <w:sz w:val="18"/>
                  <w:u w:val="none"/>
                  <w:effect w:val="none"/>
                </w:rPr>
                <w:t>24</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85">
              <w:r>
                <w:rPr>
                  <w:rStyle w:val="InternetLink"/>
                  <w:rFonts w:ascii="Avenir LT Pro 45 Book;sans-serif" w:hAnsi="Avenir LT Pro 45 Book;sans-serif"/>
                  <w:b w:val="false"/>
                  <w:strike w:val="false"/>
                  <w:dstrike w:val="false"/>
                  <w:color w:val="000000"/>
                  <w:sz w:val="18"/>
                  <w:u w:val="none"/>
                  <w:effect w:val="none"/>
                </w:rPr>
                <w:t>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85">
              <w:r>
                <w:rPr>
                  <w:rStyle w:val="InternetLink"/>
                  <w:rFonts w:ascii="Avenir LT Pro 45 Book;sans-serif" w:hAnsi="Avenir LT Pro 45 Book;sans-serif"/>
                  <w:b w:val="false"/>
                  <w:strike w:val="false"/>
                  <w:dstrike w:val="false"/>
                  <w:color w:val="000000"/>
                  <w:sz w:val="18"/>
                  <w:u w:val="none"/>
                  <w:effect w:val="none"/>
                </w:rPr>
                <w:t>25</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88">
              <w:r>
                <w:rPr>
                  <w:rStyle w:val="InternetLink"/>
                  <w:rFonts w:ascii="Avenir LT Pro 45 Book;sans-serif" w:hAnsi="Avenir LT Pro 45 Book;sans-serif"/>
                  <w:b w:val="false"/>
                  <w:strike w:val="false"/>
                  <w:dstrike w:val="false"/>
                  <w:color w:val="000000"/>
                  <w:sz w:val="18"/>
                  <w:u w:val="none"/>
                  <w:effect w:val="none"/>
                </w:rPr>
                <w:t>Bookings and Backlog</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88">
              <w:r>
                <w:rPr>
                  <w:rStyle w:val="InternetLink"/>
                  <w:rFonts w:ascii="Avenir LT Pro 45 Book;sans-serif" w:hAnsi="Avenir LT Pro 45 Book;sans-serif"/>
                  <w:b w:val="false"/>
                  <w:strike w:val="false"/>
                  <w:dstrike w:val="false"/>
                  <w:color w:val="000000"/>
                  <w:sz w:val="18"/>
                  <w:u w:val="none"/>
                  <w:effect w:val="none"/>
                </w:rPr>
                <w:t>27</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91">
              <w:r>
                <w:rPr>
                  <w:rStyle w:val="InternetLink"/>
                  <w:rFonts w:ascii="Avenir LT Pro 45 Book;sans-serif" w:hAnsi="Avenir LT Pro 45 Book;sans-serif"/>
                  <w:b w:val="false"/>
                  <w:strike w:val="false"/>
                  <w:dstrike w:val="false"/>
                  <w:color w:val="000000"/>
                  <w:sz w:val="18"/>
                  <w:u w:val="none"/>
                  <w:effect w:val="none"/>
                </w:rPr>
                <w:t>Liquidity and Capital Resources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91">
              <w:r>
                <w:rPr>
                  <w:rStyle w:val="InternetLink"/>
                  <w:rFonts w:ascii="Avenir LT Pro 45 Book;sans-serif" w:hAnsi="Avenir LT Pro 45 Book;sans-serif"/>
                  <w:b w:val="false"/>
                  <w:strike w:val="false"/>
                  <w:dstrike w:val="false"/>
                  <w:color w:val="000000"/>
                  <w:sz w:val="18"/>
                  <w:u w:val="none"/>
                  <w:effect w:val="none"/>
                </w:rPr>
                <w:t>27</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94">
              <w:r>
                <w:rPr>
                  <w:rStyle w:val="InternetLink"/>
                  <w:rFonts w:ascii="Avenir LT Pro 45 Book;sans-serif" w:hAnsi="Avenir LT Pro 45 Book;sans-serif"/>
                  <w:b w:val="false"/>
                  <w:strike w:val="false"/>
                  <w:dstrike w:val="false"/>
                  <w:color w:val="000000"/>
                  <w:sz w:val="18"/>
                  <w:u w:val="none"/>
                  <w:effect w:val="none"/>
                </w:rPr>
                <w:t>Off-Balance Sheet Arrangements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94">
              <w:r>
                <w:rPr>
                  <w:rStyle w:val="InternetLink"/>
                  <w:rFonts w:ascii="Avenir LT Pro 45 Book;sans-serif" w:hAnsi="Avenir LT Pro 45 Book;sans-serif"/>
                  <w:b w:val="false"/>
                  <w:strike w:val="false"/>
                  <w:dstrike w:val="false"/>
                  <w:color w:val="000000"/>
                  <w:sz w:val="18"/>
                  <w:u w:val="none"/>
                  <w:effect w:val="none"/>
                </w:rPr>
                <w:t>29</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97">
              <w:r>
                <w:rPr>
                  <w:rStyle w:val="InternetLink"/>
                  <w:rFonts w:ascii="Avenir LT Pro 45 Book;sans-serif" w:hAnsi="Avenir LT Pro 45 Book;sans-serif"/>
                  <w:b w:val="false"/>
                  <w:strike w:val="false"/>
                  <w:dstrike w:val="false"/>
                  <w:color w:val="000000"/>
                  <w:sz w:val="18"/>
                  <w:u w:val="none"/>
                  <w:effect w:val="none"/>
                </w:rPr>
                <w:t>Guarantor and Issuer of Guaranteed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97">
              <w:r>
                <w:rPr>
                  <w:rStyle w:val="InternetLink"/>
                  <w:rFonts w:ascii="Avenir LT Pro 45 Book;sans-serif" w:hAnsi="Avenir LT Pro 45 Book;sans-serif"/>
                  <w:b w:val="false"/>
                  <w:strike w:val="false"/>
                  <w:dstrike w:val="false"/>
                  <w:color w:val="000000"/>
                  <w:sz w:val="18"/>
                  <w:u w:val="none"/>
                  <w:effect w:val="none"/>
                </w:rPr>
                <w:t>29</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100">
              <w:r>
                <w:rPr>
                  <w:rStyle w:val="InternetLink"/>
                  <w:rFonts w:ascii="Avenir LT Pro 45 Book;sans-serif" w:hAnsi="Avenir LT Pro 45 Book;sans-serif"/>
                  <w:b w:val="false"/>
                  <w:strike w:val="false"/>
                  <w:dstrike w:val="false"/>
                  <w:color w:val="000000"/>
                  <w:sz w:val="18"/>
                  <w:u w:val="none"/>
                  <w:effect w:val="none"/>
                </w:rPr>
                <w:t>Contractual Obligations and Commitments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00">
              <w:r>
                <w:rPr>
                  <w:rStyle w:val="InternetLink"/>
                  <w:rFonts w:ascii="Avenir LT Pro 45 Book;sans-serif" w:hAnsi="Avenir LT Pro 45 Book;sans-serif"/>
                  <w:b w:val="false"/>
                  <w:strike w:val="false"/>
                  <w:dstrike w:val="false"/>
                  <w:color w:val="000000"/>
                  <w:sz w:val="18"/>
                  <w:u w:val="none"/>
                  <w:effect w:val="none"/>
                </w:rPr>
                <w:t>30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103">
              <w:r>
                <w:rPr>
                  <w:rStyle w:val="InternetLink"/>
                  <w:rFonts w:ascii="Avenir LT Pro 45 Book;sans-serif" w:hAnsi="Avenir LT Pro 45 Book;sans-serif"/>
                  <w:b w:val="false"/>
                  <w:strike w:val="false"/>
                  <w:dstrike w:val="false"/>
                  <w:color w:val="000000"/>
                  <w:sz w:val="18"/>
                  <w:u w:val="none"/>
                  <w:effect w:val="none"/>
                </w:rPr>
                <w:t>Critical Accounting Policies and Estimates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03">
              <w:r>
                <w:rPr>
                  <w:rStyle w:val="InternetLink"/>
                  <w:rFonts w:ascii="Avenir LT Pro 45 Book;sans-serif" w:hAnsi="Avenir LT Pro 45 Book;sans-serif"/>
                  <w:b w:val="false"/>
                  <w:strike w:val="false"/>
                  <w:dstrike w:val="false"/>
                  <w:color w:val="000000"/>
                  <w:sz w:val="18"/>
                  <w:u w:val="none"/>
                  <w:effect w:val="none"/>
                </w:rPr>
                <w:t>30</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312" w:before="80" w:after="80"/>
              <w:jc w:val="left"/>
              <w:rPr/>
            </w:pPr>
            <w:hyperlink w:anchor="i5ab61b4bbe4a4ef9a239e38dfb69a0a6_106">
              <w:r>
                <w:rPr>
                  <w:rStyle w:val="InternetLink"/>
                  <w:rFonts w:ascii="Avenir LT Pro 45 Book;sans-serif" w:hAnsi="Avenir LT Pro 45 Book;sans-serif"/>
                  <w:b w:val="false"/>
                  <w:strike w:val="false"/>
                  <w:dstrike w:val="false"/>
                  <w:color w:val="000000"/>
                  <w:sz w:val="18"/>
                  <w:u w:val="none"/>
                  <w:effect w:val="none"/>
                </w:rPr>
                <w:t>Recently Adopted and Issued Accounting Standards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06">
              <w:r>
                <w:rPr>
                  <w:rStyle w:val="InternetLink"/>
                  <w:rFonts w:ascii="Avenir LT Pro 45 Book;sans-serif" w:hAnsi="Avenir LT Pro 45 Book;sans-serif"/>
                  <w:b w:val="false"/>
                  <w:strike w:val="false"/>
                  <w:dstrike w:val="false"/>
                  <w:color w:val="000000"/>
                  <w:sz w:val="18"/>
                  <w:u w:val="none"/>
                  <w:effect w:val="none"/>
                </w:rPr>
                <w:t>30</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3.</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09">
              <w:r>
                <w:rPr>
                  <w:rStyle w:val="InternetLink"/>
                  <w:rFonts w:ascii="Avenir LT Pro 45 Book;sans-serif" w:hAnsi="Avenir LT Pro 45 Book;sans-serif"/>
                  <w:b w:val="false"/>
                  <w:strike w:val="false"/>
                  <w:dstrike w:val="false"/>
                  <w:color w:val="000000"/>
                  <w:sz w:val="18"/>
                  <w:u w:val="none"/>
                  <w:effect w:val="none"/>
                </w:rPr>
                <w:t>Quantitative and Qualitative Disclosures About Market Risk</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09">
              <w:r>
                <w:rPr>
                  <w:rStyle w:val="InternetLink"/>
                  <w:rFonts w:ascii="Avenir LT Pro 45 Book;sans-serif" w:hAnsi="Avenir LT Pro 45 Book;sans-serif"/>
                  <w:b w:val="false"/>
                  <w:strike w:val="false"/>
                  <w:dstrike w:val="false"/>
                  <w:color w:val="000000"/>
                  <w:sz w:val="18"/>
                  <w:u w:val="none"/>
                  <w:effect w:val="none"/>
                </w:rPr>
                <w:t>31</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4.</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12">
              <w:r>
                <w:rPr>
                  <w:rStyle w:val="InternetLink"/>
                  <w:rFonts w:ascii="Avenir LT Pro 45 Book;sans-serif" w:hAnsi="Avenir LT Pro 45 Book;sans-serif"/>
                  <w:b w:val="false"/>
                  <w:strike w:val="false"/>
                  <w:dstrike w:val="false"/>
                  <w:color w:val="000000"/>
                  <w:sz w:val="18"/>
                  <w:u w:val="none"/>
                  <w:effect w:val="none"/>
                </w:rPr>
                <w:t>Controls and Procedures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12">
              <w:r>
                <w:rPr>
                  <w:rStyle w:val="InternetLink"/>
                  <w:rFonts w:ascii="Avenir LT Pro 45 Book;sans-serif" w:hAnsi="Avenir LT Pro 45 Book;sans-serif"/>
                  <w:b w:val="false"/>
                  <w:strike w:val="false"/>
                  <w:dstrike w:val="false"/>
                  <w:color w:val="000000"/>
                  <w:sz w:val="18"/>
                  <w:u w:val="none"/>
                  <w:effect w:val="none"/>
                </w:rPr>
                <w:t>31</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Part II</w:t>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1.</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18">
              <w:r>
                <w:rPr>
                  <w:rStyle w:val="InternetLink"/>
                  <w:rFonts w:ascii="Avenir LT Pro 45 Book;sans-serif" w:hAnsi="Avenir LT Pro 45 Book;sans-serif"/>
                  <w:b w:val="false"/>
                  <w:strike w:val="false"/>
                  <w:dstrike w:val="false"/>
                  <w:color w:val="000000"/>
                  <w:sz w:val="18"/>
                  <w:u w:val="none"/>
                  <w:effect w:val="none"/>
                </w:rPr>
                <w:t>Legal Proceedings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18">
              <w:r>
                <w:rPr>
                  <w:rStyle w:val="InternetLink"/>
                  <w:rFonts w:ascii="Avenir LT Pro 45 Book;sans-serif" w:hAnsi="Avenir LT Pro 45 Book;sans-serif"/>
                  <w:b w:val="false"/>
                  <w:strike w:val="false"/>
                  <w:dstrike w:val="false"/>
                  <w:color w:val="000000"/>
                  <w:sz w:val="18"/>
                  <w:u w:val="none"/>
                  <w:effect w:val="none"/>
                </w:rPr>
                <w:t>32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1A.</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21">
              <w:r>
                <w:rPr>
                  <w:rStyle w:val="InternetLink"/>
                  <w:rFonts w:ascii="Avenir LT Pro 45 Book;sans-serif" w:hAnsi="Avenir LT Pro 45 Book;sans-serif"/>
                  <w:b w:val="false"/>
                  <w:strike w:val="false"/>
                  <w:dstrike w:val="false"/>
                  <w:color w:val="000000"/>
                  <w:sz w:val="18"/>
                  <w:u w:val="none"/>
                  <w:effect w:val="none"/>
                </w:rPr>
                <w:t>Risk Factors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21">
              <w:r>
                <w:rPr>
                  <w:rStyle w:val="InternetLink"/>
                  <w:rFonts w:ascii="Avenir LT Pro 45 Book;sans-serif" w:hAnsi="Avenir LT Pro 45 Book;sans-serif"/>
                  <w:b w:val="false"/>
                  <w:strike w:val="false"/>
                  <w:dstrike w:val="false"/>
                  <w:color w:val="000000"/>
                  <w:sz w:val="18"/>
                  <w:u w:val="none"/>
                  <w:effect w:val="none"/>
                </w:rPr>
                <w:t>32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2.</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24">
              <w:r>
                <w:rPr>
                  <w:rStyle w:val="InternetLink"/>
                  <w:rFonts w:ascii="Avenir LT Pro 45 Book;sans-serif" w:hAnsi="Avenir LT Pro 45 Book;sans-serif"/>
                  <w:b w:val="false"/>
                  <w:strike w:val="false"/>
                  <w:dstrike w:val="false"/>
                  <w:color w:val="000000"/>
                  <w:sz w:val="18"/>
                  <w:u w:val="none"/>
                  <w:effect w:val="none"/>
                </w:rPr>
                <w:t>Unregistered Sales of Equity Securities and Use of Proceeds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24">
              <w:r>
                <w:rPr>
                  <w:rStyle w:val="InternetLink"/>
                  <w:rFonts w:ascii="Avenir LT Pro 45 Book;sans-serif" w:hAnsi="Avenir LT Pro 45 Book;sans-serif"/>
                  <w:b w:val="false"/>
                  <w:strike w:val="false"/>
                  <w:dstrike w:val="false"/>
                  <w:color w:val="000000"/>
                  <w:sz w:val="18"/>
                  <w:u w:val="none"/>
                  <w:effect w:val="none"/>
                </w:rPr>
                <w:t>32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3.</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27">
              <w:r>
                <w:rPr>
                  <w:rStyle w:val="InternetLink"/>
                  <w:rFonts w:ascii="Avenir LT Pro 45 Book;sans-serif" w:hAnsi="Avenir LT Pro 45 Book;sans-serif"/>
                  <w:b w:val="false"/>
                  <w:strike w:val="false"/>
                  <w:dstrike w:val="false"/>
                  <w:color w:val="000000"/>
                  <w:sz w:val="18"/>
                  <w:u w:val="none"/>
                  <w:effect w:val="none"/>
                </w:rPr>
                <w:t>Defaults Upon Senior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27">
              <w:r>
                <w:rPr>
                  <w:rStyle w:val="InternetLink"/>
                  <w:rFonts w:ascii="Avenir LT Pro 45 Book;sans-serif" w:hAnsi="Avenir LT Pro 45 Book;sans-serif"/>
                  <w:b w:val="false"/>
                  <w:strike w:val="false"/>
                  <w:dstrike w:val="false"/>
                  <w:color w:val="000000"/>
                  <w:sz w:val="18"/>
                  <w:u w:val="none"/>
                  <w:effect w:val="none"/>
                </w:rPr>
                <w:t>32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4.</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30">
              <w:r>
                <w:rPr>
                  <w:rStyle w:val="InternetLink"/>
                  <w:rFonts w:ascii="Avenir LT Pro 45 Book;sans-serif" w:hAnsi="Avenir LT Pro 45 Book;sans-serif"/>
                  <w:b w:val="false"/>
                  <w:strike w:val="false"/>
                  <w:dstrike w:val="false"/>
                  <w:color w:val="000000"/>
                  <w:sz w:val="18"/>
                  <w:u w:val="none"/>
                  <w:effect w:val="none"/>
                </w:rPr>
                <w:t>Mine Safety Disclosures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30">
              <w:r>
                <w:rPr>
                  <w:rStyle w:val="InternetLink"/>
                  <w:rFonts w:ascii="Avenir LT Pro 45 Book;sans-serif" w:hAnsi="Avenir LT Pro 45 Book;sans-serif"/>
                  <w:b w:val="false"/>
                  <w:strike w:val="false"/>
                  <w:dstrike w:val="false"/>
                  <w:color w:val="000000"/>
                  <w:sz w:val="18"/>
                  <w:u w:val="none"/>
                  <w:effect w:val="none"/>
                </w:rPr>
                <w:t>32</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5.</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33">
              <w:r>
                <w:rPr>
                  <w:rStyle w:val="InternetLink"/>
                  <w:rFonts w:ascii="Avenir LT Pro 45 Book;sans-serif" w:hAnsi="Avenir LT Pro 45 Book;sans-serif"/>
                  <w:b w:val="false"/>
                  <w:strike w:val="false"/>
                  <w:dstrike w:val="false"/>
                  <w:color w:val="000000"/>
                  <w:sz w:val="18"/>
                  <w:u w:val="none"/>
                  <w:effect w:val="none"/>
                </w:rPr>
                <w:t>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33">
              <w:r>
                <w:rPr>
                  <w:rStyle w:val="InternetLink"/>
                  <w:rFonts w:ascii="Avenir LT Pro 45 Book;sans-serif" w:hAnsi="Avenir LT Pro 45 Book;sans-serif"/>
                  <w:b w:val="false"/>
                  <w:strike w:val="false"/>
                  <w:dstrike w:val="false"/>
                  <w:color w:val="000000"/>
                  <w:sz w:val="18"/>
                  <w:u w:val="none"/>
                  <w:effect w:val="none"/>
                </w:rPr>
                <w:t>33</w:t>
              </w:r>
            </w:hyperlink>
          </w:p>
        </w:tc>
      </w:tr>
      <w:tr>
        <w:trPr/>
        <w:tc>
          <w:tcPr>
            <w:tcW w:w="8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Item 6.</w:t>
            </w:r>
          </w:p>
        </w:tc>
        <w:tc>
          <w:tcPr>
            <w:tcW w:w="79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5ab61b4bbe4a4ef9a239e38dfb69a0a6_139">
              <w:r>
                <w:rPr>
                  <w:rStyle w:val="InternetLink"/>
                  <w:rFonts w:ascii="Avenir LT Pro 45 Book;sans-serif" w:hAnsi="Avenir LT Pro 45 Book;sans-serif"/>
                  <w:b w:val="false"/>
                  <w:strike w:val="false"/>
                  <w:dstrike w:val="false"/>
                  <w:color w:val="000000"/>
                  <w:sz w:val="18"/>
                  <w:u w:val="none"/>
                  <w:effect w:val="none"/>
                </w:rPr>
                <w:t>Exhibits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39">
              <w:r>
                <w:rPr>
                  <w:rStyle w:val="InternetLink"/>
                  <w:rFonts w:ascii="Avenir LT Pro 45 Book;sans-serif" w:hAnsi="Avenir LT Pro 45 Book;sans-serif"/>
                  <w:b w:val="false"/>
                  <w:strike w:val="false"/>
                  <w:dstrike w:val="false"/>
                  <w:color w:val="000000"/>
                  <w:sz w:val="18"/>
                  <w:u w:val="none"/>
                  <w:effect w:val="none"/>
                </w:rPr>
                <w:t>34</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6"/>
            <w:tcBorders/>
            <w:tcMar>
              <w:top w:w="0" w:type="dxa"/>
              <w:left w:w="0" w:type="dxa"/>
              <w:bottom w:w="0" w:type="dxa"/>
              <w:right w:w="0" w:type="dxa"/>
            </w:tcMar>
            <w:vAlign w:val="center"/>
          </w:tcPr>
          <w:p>
            <w:pPr>
              <w:pStyle w:val="TableContents"/>
              <w:bidi w:val="0"/>
              <w:spacing w:lineRule="auto" w:line="312" w:before="120" w:after="120"/>
              <w:jc w:val="left"/>
              <w:rPr/>
            </w:pPr>
            <w:hyperlink w:anchor="i5ab61b4bbe4a4ef9a239e38dfb69a0a6_142">
              <w:r>
                <w:rPr>
                  <w:rStyle w:val="InternetLink"/>
                  <w:rFonts w:ascii="Avenir LT Pro 95 Black;sans-serif" w:hAnsi="Avenir LT Pro 95 Black;sans-serif"/>
                  <w:b/>
                  <w:strike w:val="false"/>
                  <w:dstrike w:val="false"/>
                  <w:color w:val="000000"/>
                  <w:sz w:val="18"/>
                  <w:u w:val="none"/>
                  <w:effect w:val="none"/>
                </w:rPr>
                <w:t>Signatures</w:t>
              </w:r>
            </w:hyperlink>
          </w:p>
        </w:tc>
        <w:tc>
          <w:tcPr>
            <w:tcW w:w="661" w:type="dxa"/>
            <w:gridSpan w:val="3"/>
            <w:tcBorders/>
            <w:tcMar>
              <w:top w:w="0" w:type="dxa"/>
              <w:left w:w="0" w:type="dxa"/>
              <w:bottom w:w="0" w:type="dxa"/>
              <w:right w:w="0" w:type="dxa"/>
            </w:tcMar>
            <w:vAlign w:val="center"/>
          </w:tcPr>
          <w:p>
            <w:pPr>
              <w:pStyle w:val="TableContents"/>
              <w:bidi w:val="0"/>
              <w:spacing w:lineRule="auto" w:line="312" w:before="80" w:after="80"/>
              <w:jc w:val="right"/>
              <w:rPr/>
            </w:pPr>
            <w:hyperlink w:anchor="i5ab61b4bbe4a4ef9a239e38dfb69a0a6_142">
              <w:r>
                <w:rPr>
                  <w:rStyle w:val="InternetLink"/>
                  <w:rFonts w:ascii="Avenir LT Pro 45 Book;sans-serif" w:hAnsi="Avenir LT Pro 45 Book;sans-serif"/>
                  <w:b w:val="false"/>
                  <w:strike w:val="false"/>
                  <w:dstrike w:val="false"/>
                  <w:color w:val="000000"/>
                  <w:sz w:val="18"/>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0" w:after="32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25"/>
        <w:gridCol w:w="2216"/>
        <w:gridCol w:w="2227"/>
        <w:gridCol w:w="109"/>
        <w:gridCol w:w="109"/>
        <w:gridCol w:w="109"/>
        <w:gridCol w:w="226"/>
        <w:gridCol w:w="841"/>
        <w:gridCol w:w="109"/>
        <w:gridCol w:w="109"/>
        <w:gridCol w:w="109"/>
        <w:gridCol w:w="109"/>
        <w:gridCol w:w="226"/>
        <w:gridCol w:w="826"/>
        <w:gridCol w:w="155"/>
      </w:tblGrid>
      <w:tr>
        <w:trPr/>
        <w:tc>
          <w:tcPr>
            <w:tcW w:w="272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(unaudited; in millions,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w:t>
              <w:br/>
              <w:t>2026</w:t>
            </w:r>
          </w:p>
        </w:tc>
      </w:tr>
      <w:tr>
        <w:trPr/>
        <w:tc>
          <w:tcPr>
            <w:tcW w:w="7168"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748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2,968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2,708 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Inventory,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342 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493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656 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Assets held for sale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5,246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4,814 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Property, plant and equipment,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961 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Intangible assets,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Goodwill</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7,663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6,342 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right-of-use assets,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491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526 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392 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15,632</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13,493 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2,180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1,988 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855</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819 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Current portion of long-term debt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Liabilities held for sale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3,220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2,827 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Long-term debt, net of current portion</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6,009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547</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587 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489 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10,296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8,531 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Commitments and contingencies (Note 11)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Stockholders’ equity: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Common stock, $0.0001 par value, 500,000,000 shares authorized, 125,492,013 and 126,380,657 shares issued and outstanding at July 3, 2026, and January 2, 2026, respectively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Additional paid-in capital</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319 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Retained earnings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5,219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4,647 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Accumulated other comprehensive loss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Leidos stockholders’ equity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5,284</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4,916 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Non-controlling interest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stockholders' equity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5,336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4,962 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 and stockholders' equity</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15,632</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13,493 </w:t>
            </w:r>
          </w:p>
        </w:tc>
        <w:tc>
          <w:tcPr>
            <w:tcW w:w="155"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60705"/>
                <wp:effectExtent l="0" t="0" r="0" b="0"/>
                <wp:wrapNone/>
                <wp:docPr id="4" name="Frame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 xml:space="preserve">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1812"/>
        <w:gridCol w:w="1419"/>
        <w:gridCol w:w="1426"/>
        <w:gridCol w:w="109"/>
        <w:gridCol w:w="109"/>
        <w:gridCol w:w="109"/>
        <w:gridCol w:w="226"/>
        <w:gridCol w:w="721"/>
        <w:gridCol w:w="109"/>
        <w:gridCol w:w="109"/>
        <w:gridCol w:w="109"/>
        <w:gridCol w:w="109"/>
        <w:gridCol w:w="226"/>
        <w:gridCol w:w="706"/>
        <w:gridCol w:w="109"/>
        <w:gridCol w:w="109"/>
        <w:gridCol w:w="109"/>
        <w:gridCol w:w="109"/>
        <w:gridCol w:w="226"/>
        <w:gridCol w:w="721"/>
        <w:gridCol w:w="109"/>
        <w:gridCol w:w="109"/>
        <w:gridCol w:w="109"/>
        <w:gridCol w:w="109"/>
        <w:gridCol w:w="226"/>
        <w:gridCol w:w="706"/>
        <w:gridCol w:w="155"/>
      </w:tblGrid>
      <w:tr>
        <w:trPr/>
        <w:tc>
          <w:tcPr>
            <w:tcW w:w="18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4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(unaudited;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4657"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8,958</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8,498 </w:t>
            </w:r>
          </w:p>
        </w:tc>
        <w:tc>
          <w:tcPr>
            <w:tcW w:w="15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 of revenues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3,741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3,471 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7,380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6,959 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Selling, general and administrative expenses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217 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506</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447 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integration and restructuring costs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27</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Equity earnings of non-consolidated subsidiaries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Operating income </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(69)</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(124)</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income (expense),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451</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518 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996 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tax expense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(95)</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(189)</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354</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682</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754 </w:t>
            </w:r>
          </w:p>
        </w:tc>
        <w:tc>
          <w:tcPr>
            <w:tcW w:w="15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Earnings per share: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Basic</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5.84 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3.01 </w:t>
            </w:r>
          </w:p>
        </w:tc>
        <w:tc>
          <w:tcPr>
            <w:tcW w:w="109"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5.37</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5.80 </w:t>
            </w:r>
          </w:p>
        </w:tc>
        <w:tc>
          <w:tcPr>
            <w:tcW w:w="155"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0410"/>
                <wp:effectExtent l="0" t="0" r="0" b="0"/>
                <wp:wrapNone/>
                <wp:docPr id="5" name="Frame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 xml:space="preserve">CONDENSED CONSOLIDATED STATEMENTS OF COMPREHENSIVE INCOME </w:t>
      </w:r>
    </w:p>
    <w:tbl>
      <w:tblPr>
        <w:tblW w:w="10205" w:type="dxa"/>
        <w:jc w:val="left"/>
        <w:tblInd w:w="0" w:type="dxa"/>
        <w:tblLayout w:type="fixed"/>
        <w:tblCellMar>
          <w:top w:w="28" w:type="dxa"/>
          <w:left w:w="28" w:type="dxa"/>
          <w:bottom w:w="28" w:type="dxa"/>
          <w:right w:w="28" w:type="dxa"/>
        </w:tblCellMar>
      </w:tblPr>
      <w:tblGrid>
        <w:gridCol w:w="2057"/>
        <w:gridCol w:w="1607"/>
        <w:gridCol w:w="1614"/>
        <w:gridCol w:w="109"/>
        <w:gridCol w:w="109"/>
        <w:gridCol w:w="109"/>
        <w:gridCol w:w="239"/>
        <w:gridCol w:w="559"/>
        <w:gridCol w:w="115"/>
        <w:gridCol w:w="115"/>
        <w:gridCol w:w="115"/>
        <w:gridCol w:w="115"/>
        <w:gridCol w:w="239"/>
        <w:gridCol w:w="559"/>
        <w:gridCol w:w="115"/>
        <w:gridCol w:w="109"/>
        <w:gridCol w:w="109"/>
        <w:gridCol w:w="109"/>
        <w:gridCol w:w="226"/>
        <w:gridCol w:w="526"/>
        <w:gridCol w:w="109"/>
        <w:gridCol w:w="109"/>
        <w:gridCol w:w="109"/>
        <w:gridCol w:w="109"/>
        <w:gridCol w:w="226"/>
        <w:gridCol w:w="526"/>
        <w:gridCol w:w="162"/>
      </w:tblGrid>
      <w:tr>
        <w:trPr/>
        <w:tc>
          <w:tcPr>
            <w:tcW w:w="205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(unaudited;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45"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5278"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59"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15"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5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11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62"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Foreign currency translation adjustments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15"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36 </w:t>
            </w:r>
          </w:p>
        </w:tc>
        <w:tc>
          <w:tcPr>
            <w:tcW w:w="11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6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Unrecognized loss on derivative instruments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1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16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Pension adjustments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w:t>
            </w:r>
          </w:p>
        </w:tc>
        <w:tc>
          <w:tcPr>
            <w:tcW w:w="115"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1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6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other comprehensive income, net of taxes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15"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1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27</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61 </w:t>
            </w:r>
          </w:p>
        </w:tc>
        <w:tc>
          <w:tcPr>
            <w:tcW w:w="162"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Comprehensive income </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358</w:t>
            </w:r>
            <w:r>
              <w:rPr>
                <w:color w:val="000000"/>
              </w:rPr>
              <w:t> </w:t>
            </w:r>
          </w:p>
        </w:tc>
        <w:tc>
          <w:tcPr>
            <w:tcW w:w="115"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427 </w:t>
            </w:r>
          </w:p>
        </w:tc>
        <w:tc>
          <w:tcPr>
            <w:tcW w:w="11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718</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819 </w:t>
            </w:r>
          </w:p>
        </w:tc>
        <w:tc>
          <w:tcPr>
            <w:tcW w:w="162"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ind w:left="0" w:right="0" w:hanging="12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15"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1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6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0"/>
              <w:ind w:left="0" w:right="0" w:hanging="12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Comprehensive income attributable to Leidos common stockholders</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5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1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5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425 </w:t>
            </w:r>
          </w:p>
        </w:tc>
        <w:tc>
          <w:tcPr>
            <w:tcW w:w="115"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709</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815 </w:t>
            </w:r>
          </w:p>
        </w:tc>
        <w:tc>
          <w:tcPr>
            <w:tcW w:w="162"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CONDENSED CONSOLIDATED STATEMENTS OF EQUITY</w:t>
      </w:r>
    </w:p>
    <w:tbl>
      <w:tblPr>
        <w:tblW w:w="12385" w:type="dxa"/>
        <w:jc w:val="left"/>
        <w:tblInd w:w="0" w:type="dxa"/>
        <w:tblLayout w:type="fixed"/>
        <w:tblCellMar>
          <w:top w:w="28" w:type="dxa"/>
          <w:left w:w="28" w:type="dxa"/>
          <w:bottom w:w="28" w:type="dxa"/>
          <w:right w:w="28" w:type="dxa"/>
        </w:tblCellMar>
      </w:tblPr>
      <w:tblGrid>
        <w:gridCol w:w="811"/>
        <w:gridCol w:w="344"/>
        <w:gridCol w:w="346"/>
        <w:gridCol w:w="300"/>
        <w:gridCol w:w="300"/>
        <w:gridCol w:w="301"/>
        <w:gridCol w:w="109"/>
        <w:gridCol w:w="109"/>
        <w:gridCol w:w="109"/>
        <w:gridCol w:w="283"/>
        <w:gridCol w:w="660"/>
        <w:gridCol w:w="138"/>
        <w:gridCol w:w="109"/>
        <w:gridCol w:w="109"/>
        <w:gridCol w:w="109"/>
        <w:gridCol w:w="226"/>
        <w:gridCol w:w="721"/>
        <w:gridCol w:w="109"/>
        <w:gridCol w:w="109"/>
        <w:gridCol w:w="109"/>
        <w:gridCol w:w="109"/>
        <w:gridCol w:w="453"/>
        <w:gridCol w:w="844"/>
        <w:gridCol w:w="219"/>
        <w:gridCol w:w="109"/>
        <w:gridCol w:w="109"/>
        <w:gridCol w:w="109"/>
        <w:gridCol w:w="292"/>
        <w:gridCol w:w="932"/>
        <w:gridCol w:w="142"/>
        <w:gridCol w:w="109"/>
        <w:gridCol w:w="109"/>
        <w:gridCol w:w="109"/>
        <w:gridCol w:w="485"/>
        <w:gridCol w:w="871"/>
        <w:gridCol w:w="235"/>
        <w:gridCol w:w="109"/>
        <w:gridCol w:w="109"/>
        <w:gridCol w:w="109"/>
        <w:gridCol w:w="289"/>
        <w:gridCol w:w="924"/>
        <w:gridCol w:w="198"/>
      </w:tblGrid>
      <w:tr>
        <w:trPr/>
        <w:tc>
          <w:tcPr>
            <w:tcW w:w="8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(unaudited; in millions, except per share data)</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Accumulated</w:t>
              <w:br/>
              <w:t>other 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Leidos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 stockholders' equity</w:t>
            </w:r>
          </w:p>
        </w:tc>
      </w:tr>
      <w:tr>
        <w:trPr/>
        <w:tc>
          <w:tcPr>
            <w:tcW w:w="150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January 2, 2026</w:t>
            </w:r>
          </w:p>
        </w:tc>
        <w:tc>
          <w:tcPr>
            <w:tcW w:w="600"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126 </w:t>
            </w:r>
          </w:p>
        </w:tc>
        <w:tc>
          <w:tcPr>
            <w:tcW w:w="30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6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319 </w:t>
            </w:r>
          </w:p>
        </w:tc>
        <w:tc>
          <w:tcPr>
            <w:tcW w:w="13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4,647 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w:t>
            </w:r>
          </w:p>
        </w:tc>
        <w:tc>
          <w:tcPr>
            <w:tcW w:w="21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2"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4,916 </w:t>
            </w:r>
          </w:p>
        </w:tc>
        <w:tc>
          <w:tcPr>
            <w:tcW w:w="142"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23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4,962 </w:t>
            </w:r>
          </w:p>
        </w:tc>
        <w:tc>
          <w:tcPr>
            <w:tcW w:w="19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328 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335 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 net of taxes</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Issuances of stock</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(244)</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(244)</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(244)</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Dividends of $0.43 per share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April 3, 2026</w:t>
            </w:r>
          </w:p>
        </w:tc>
        <w:tc>
          <w:tcPr>
            <w:tcW w:w="600"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126 </w:t>
            </w:r>
          </w:p>
        </w:tc>
        <w:tc>
          <w:tcPr>
            <w:tcW w:w="301"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60"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117 </w:t>
            </w:r>
          </w:p>
        </w:tc>
        <w:tc>
          <w:tcPr>
            <w:tcW w:w="138"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1"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4,921 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4"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w:t>
            </w:r>
          </w:p>
        </w:tc>
        <w:tc>
          <w:tcPr>
            <w:tcW w:w="21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2"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5,013 </w:t>
            </w:r>
          </w:p>
        </w:tc>
        <w:tc>
          <w:tcPr>
            <w:tcW w:w="142"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1"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51 </w:t>
            </w:r>
          </w:p>
        </w:tc>
        <w:tc>
          <w:tcPr>
            <w:tcW w:w="23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4"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5,064 </w:t>
            </w:r>
          </w:p>
        </w:tc>
        <w:tc>
          <w:tcPr>
            <w:tcW w:w="198"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354 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354 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356 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 net of taxes</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Issuances of stock</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Dividends of 0.43 per share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(56)</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(56)</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(56)</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9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Balance at July 3, 2026</w:t>
            </w:r>
          </w:p>
        </w:tc>
        <w:tc>
          <w:tcPr>
            <w:tcW w:w="600" w:type="dxa"/>
            <w:gridSpan w:val="2"/>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125</w:t>
            </w:r>
            <w:r>
              <w:rPr>
                <w:color w:val="000000"/>
              </w:rPr>
              <w:t> </w:t>
            </w:r>
          </w:p>
        </w:tc>
        <w:tc>
          <w:tcPr>
            <w:tcW w:w="301"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60"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w:t>
            </w:r>
            <w:r>
              <w:rPr>
                <w:color w:val="000000"/>
              </w:rPr>
              <w:t> </w:t>
            </w:r>
          </w:p>
        </w:tc>
        <w:tc>
          <w:tcPr>
            <w:tcW w:w="138"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5,219</w:t>
            </w:r>
            <w:r>
              <w:rPr>
                <w:color w:val="000000"/>
              </w:rPr>
              <w:t> </w:t>
            </w:r>
          </w:p>
        </w:tc>
        <w:tc>
          <w:tcPr>
            <w:tcW w:w="109"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4"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w:t>
            </w:r>
          </w:p>
        </w:tc>
        <w:tc>
          <w:tcPr>
            <w:tcW w:w="219"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32"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5,284</w:t>
            </w:r>
            <w:r>
              <w:rPr>
                <w:color w:val="000000"/>
              </w:rPr>
              <w:t> </w:t>
            </w:r>
          </w:p>
        </w:tc>
        <w:tc>
          <w:tcPr>
            <w:tcW w:w="142"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71"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w:t>
            </w:r>
            <w:r>
              <w:rPr>
                <w:color w:val="000000"/>
              </w:rPr>
              <w:t> </w:t>
            </w:r>
          </w:p>
        </w:tc>
        <w:tc>
          <w:tcPr>
            <w:tcW w:w="235"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24"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5,336</w:t>
            </w:r>
            <w:r>
              <w:rPr>
                <w:color w:val="000000"/>
              </w:rPr>
              <w:t> </w:t>
            </w:r>
          </w:p>
        </w:tc>
        <w:tc>
          <w:tcPr>
            <w:tcW w:w="198" w:type="dxa"/>
            <w:tcBorders>
              <w:top w:val="single" w:sz="8" w:space="0" w:color="90158B"/>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0410"/>
                <wp:effectExtent l="0" t="0" r="0" b="0"/>
                <wp:wrapNone/>
                <wp:docPr id="7" name="Frame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40" w:after="24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CONDENSED CONSOLIDATED STATEMENTS OF EQUITY [CONTINUED]</w:t>
      </w:r>
    </w:p>
    <w:tbl>
      <w:tblPr>
        <w:tblW w:w="12370" w:type="dxa"/>
        <w:jc w:val="left"/>
        <w:tblInd w:w="0" w:type="dxa"/>
        <w:tblLayout w:type="fixed"/>
        <w:tblCellMar>
          <w:top w:w="28" w:type="dxa"/>
          <w:left w:w="28" w:type="dxa"/>
          <w:bottom w:w="28" w:type="dxa"/>
          <w:right w:w="28" w:type="dxa"/>
        </w:tblCellMar>
      </w:tblPr>
      <w:tblGrid>
        <w:gridCol w:w="811"/>
        <w:gridCol w:w="344"/>
        <w:gridCol w:w="346"/>
        <w:gridCol w:w="300"/>
        <w:gridCol w:w="300"/>
        <w:gridCol w:w="301"/>
        <w:gridCol w:w="109"/>
        <w:gridCol w:w="109"/>
        <w:gridCol w:w="109"/>
        <w:gridCol w:w="234"/>
        <w:gridCol w:w="733"/>
        <w:gridCol w:w="114"/>
        <w:gridCol w:w="109"/>
        <w:gridCol w:w="109"/>
        <w:gridCol w:w="109"/>
        <w:gridCol w:w="226"/>
        <w:gridCol w:w="706"/>
        <w:gridCol w:w="109"/>
        <w:gridCol w:w="109"/>
        <w:gridCol w:w="109"/>
        <w:gridCol w:w="109"/>
        <w:gridCol w:w="391"/>
        <w:gridCol w:w="936"/>
        <w:gridCol w:w="189"/>
        <w:gridCol w:w="109"/>
        <w:gridCol w:w="109"/>
        <w:gridCol w:w="109"/>
        <w:gridCol w:w="296"/>
        <w:gridCol w:w="926"/>
        <w:gridCol w:w="144"/>
        <w:gridCol w:w="109"/>
        <w:gridCol w:w="109"/>
        <w:gridCol w:w="109"/>
        <w:gridCol w:w="485"/>
        <w:gridCol w:w="871"/>
        <w:gridCol w:w="235"/>
        <w:gridCol w:w="109"/>
        <w:gridCol w:w="109"/>
        <w:gridCol w:w="109"/>
        <w:gridCol w:w="293"/>
        <w:gridCol w:w="917"/>
        <w:gridCol w:w="201"/>
      </w:tblGrid>
      <w:tr>
        <w:trPr/>
        <w:tc>
          <w:tcPr>
            <w:tcW w:w="8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6"/>
              </w:rPr>
            </w:pPr>
            <w:r>
              <w:rPr>
                <w:rFonts w:ascii="Avenir LT Pro 35 Light;sans-serif" w:hAnsi="Avenir LT Pro 35 Light;sans-serif"/>
                <w:b w:val="false"/>
                <w:color w:val="000000"/>
                <w:sz w:val="16"/>
              </w:rPr>
              <w:t>(unaudited; in millions, except per share data)</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Accumulated</w:t>
              <w:br/>
              <w:t>other 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Leidos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6"/>
              </w:rPr>
            </w:pPr>
            <w:r>
              <w:rPr>
                <w:rFonts w:ascii="Avenir LT Pro 95 Black;sans-serif" w:hAnsi="Avenir LT Pro 95 Black;sans-serif"/>
                <w:b/>
                <w:color w:val="000000"/>
                <w:sz w:val="16"/>
              </w:rPr>
              <w:t>Total stockholders' equity</w:t>
            </w:r>
          </w:p>
        </w:tc>
      </w:tr>
      <w:tr>
        <w:trPr/>
        <w:tc>
          <w:tcPr>
            <w:tcW w:w="150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January 3, 2025</w:t>
            </w:r>
          </w:p>
        </w:tc>
        <w:tc>
          <w:tcPr>
            <w:tcW w:w="600"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131 </w:t>
            </w:r>
          </w:p>
        </w:tc>
        <w:tc>
          <w:tcPr>
            <w:tcW w:w="30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3"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1,112 </w:t>
            </w:r>
          </w:p>
        </w:tc>
        <w:tc>
          <w:tcPr>
            <w:tcW w:w="11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3,410 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w:t>
            </w:r>
          </w:p>
        </w:tc>
        <w:tc>
          <w:tcPr>
            <w:tcW w:w="18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4,412 </w:t>
            </w:r>
          </w:p>
        </w:tc>
        <w:tc>
          <w:tcPr>
            <w:tcW w:w="14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48 </w:t>
            </w:r>
          </w:p>
        </w:tc>
        <w:tc>
          <w:tcPr>
            <w:tcW w:w="23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17"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4,460 </w:t>
            </w:r>
          </w:p>
        </w:tc>
        <w:tc>
          <w:tcPr>
            <w:tcW w:w="20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363 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363 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365 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 net of taxes</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Issuances of stock</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ind w:left="0" w:right="0" w:hanging="12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(531)</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(531)</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(531)</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Dividends of $0.40 per share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April 4, 2025</w:t>
            </w:r>
          </w:p>
        </w:tc>
        <w:tc>
          <w:tcPr>
            <w:tcW w:w="600"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129 </w:t>
            </w:r>
          </w:p>
        </w:tc>
        <w:tc>
          <w:tcPr>
            <w:tcW w:w="301"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3"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619 </w:t>
            </w:r>
          </w:p>
        </w:tc>
        <w:tc>
          <w:tcPr>
            <w:tcW w:w="114"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3,721 </w:t>
            </w:r>
          </w:p>
        </w:tc>
        <w:tc>
          <w:tcPr>
            <w:tcW w:w="10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w:t>
            </w:r>
          </w:p>
        </w:tc>
        <w:tc>
          <w:tcPr>
            <w:tcW w:w="18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4,257 </w:t>
            </w:r>
          </w:p>
        </w:tc>
        <w:tc>
          <w:tcPr>
            <w:tcW w:w="144"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1"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45 </w:t>
            </w:r>
          </w:p>
        </w:tc>
        <w:tc>
          <w:tcPr>
            <w:tcW w:w="23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17"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4,302 </w:t>
            </w:r>
          </w:p>
        </w:tc>
        <w:tc>
          <w:tcPr>
            <w:tcW w:w="201"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 net of taxes</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Issuances of stock</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Dividends of $0.40 per share</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w:t>
            </w:r>
          </w:p>
        </w:tc>
        <w:tc>
          <w:tcPr>
            <w:tcW w:w="60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23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20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July 4, 2025</w:t>
            </w:r>
          </w:p>
        </w:tc>
        <w:tc>
          <w:tcPr>
            <w:tcW w:w="600" w:type="dxa"/>
            <w:gridSpan w:val="2"/>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128 </w:t>
            </w:r>
          </w:p>
        </w:tc>
        <w:tc>
          <w:tcPr>
            <w:tcW w:w="301"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3"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650 </w:t>
            </w:r>
          </w:p>
        </w:tc>
        <w:tc>
          <w:tcPr>
            <w:tcW w:w="114"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4,061 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w:t>
            </w:r>
          </w:p>
        </w:tc>
        <w:tc>
          <w:tcPr>
            <w:tcW w:w="18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4,662 </w:t>
            </w:r>
          </w:p>
        </w:tc>
        <w:tc>
          <w:tcPr>
            <w:tcW w:w="144"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1"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45 </w:t>
            </w:r>
          </w:p>
        </w:tc>
        <w:tc>
          <w:tcPr>
            <w:tcW w:w="235"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17"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4,707 </w:t>
            </w:r>
          </w:p>
        </w:tc>
        <w:tc>
          <w:tcPr>
            <w:tcW w:w="201"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TextBody"/>
        <w:bidi w:val="0"/>
        <w:spacing w:lineRule="auto" w:line="312" w:before="240" w:after="24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CONDENSED CONSOLIDATED STATEMENTS OF CASH FLOWS</w:t>
      </w:r>
    </w:p>
    <w:tbl>
      <w:tblPr>
        <w:tblW w:w="10116" w:type="dxa"/>
        <w:jc w:val="left"/>
        <w:tblInd w:w="0" w:type="dxa"/>
        <w:tblLayout w:type="fixed"/>
        <w:tblCellMar>
          <w:top w:w="28" w:type="dxa"/>
          <w:left w:w="28" w:type="dxa"/>
          <w:bottom w:w="28" w:type="dxa"/>
          <w:right w:w="28" w:type="dxa"/>
        </w:tblCellMar>
      </w:tblPr>
      <w:tblGrid>
        <w:gridCol w:w="2888"/>
        <w:gridCol w:w="2533"/>
        <w:gridCol w:w="2543"/>
        <w:gridCol w:w="243"/>
        <w:gridCol w:w="567"/>
        <w:gridCol w:w="109"/>
        <w:gridCol w:w="109"/>
        <w:gridCol w:w="109"/>
        <w:gridCol w:w="109"/>
        <w:gridCol w:w="226"/>
        <w:gridCol w:w="526"/>
        <w:gridCol w:w="154"/>
      </w:tblGrid>
      <w:tr>
        <w:trPr/>
        <w:tc>
          <w:tcPr>
            <w:tcW w:w="288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7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(unaudited; in millions)</w:t>
            </w:r>
          </w:p>
        </w:tc>
        <w:tc>
          <w:tcPr>
            <w:tcW w:w="919"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7964" w:type="dxa"/>
            <w:gridSpan w:val="3"/>
            <w:tcBorders>
              <w:top w:val="single" w:sz="4" w:space="0" w:color="901588"/>
              <w:bottom w:val="single" w:sz="4" w:space="0" w:color="B2B2B2"/>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operations:</w:t>
            </w:r>
          </w:p>
        </w:tc>
        <w:tc>
          <w:tcPr>
            <w:tcW w:w="919" w:type="dxa"/>
            <w:gridSpan w:val="3"/>
            <w:tcBorders>
              <w:top w:val="single" w:sz="4" w:space="0" w:color="901588"/>
              <w:bottom w:val="single" w:sz="4" w:space="0" w:color="B2B2B2"/>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B2B2B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901588"/>
              <w:bottom w:val="single" w:sz="4" w:space="0" w:color="B2B2B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243"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67"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Adjustments to reconcile net income to net cash provided by operations:</w:t>
            </w:r>
          </w:p>
        </w:tc>
        <w:tc>
          <w:tcPr>
            <w:tcW w:w="91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and amortization</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141 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Deferred income taxes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200 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loss on pension plan settlement</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Change in assets and liabilities, net of effects of acquisitions and dispositions:</w:t>
            </w:r>
          </w:p>
        </w:tc>
        <w:tc>
          <w:tcPr>
            <w:tcW w:w="91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(193)</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(236)</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 and other long-term assets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 and other long-term liabilities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(260)</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taxes receivable/payable</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provided by operating activities</w:t>
            </w:r>
          </w:p>
        </w:tc>
        <w:tc>
          <w:tcPr>
            <w:tcW w:w="810"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1,094</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544 </w:t>
            </w:r>
          </w:p>
        </w:tc>
        <w:tc>
          <w:tcPr>
            <w:tcW w:w="154"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investing activities:</w:t>
            </w:r>
          </w:p>
        </w:tc>
        <w:tc>
          <w:tcPr>
            <w:tcW w:w="91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of a business, net of cash acquired</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(2,338)</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(285)</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Payments for property, equipment and software</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Divestiture of a business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proceeds from sale of assets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used in investing activities</w:t>
            </w:r>
          </w:p>
        </w:tc>
        <w:tc>
          <w:tcPr>
            <w:tcW w:w="810"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(2,397)</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(336)</w:t>
            </w:r>
          </w:p>
        </w:tc>
        <w:tc>
          <w:tcPr>
            <w:tcW w:w="154"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financing activities:</w:t>
            </w:r>
          </w:p>
        </w:tc>
        <w:tc>
          <w:tcPr>
            <w:tcW w:w="91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Proceeds from debt issuance</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1,397</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997 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Repayments of borrowings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(559)</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Payments for debt issuance costs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(15)</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 payments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(110)</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(315)</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(537)</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Proceeds from issuances of stock</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interests</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81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provided by (used in) financing activities</w:t>
            </w:r>
          </w:p>
        </w:tc>
        <w:tc>
          <w:tcPr>
            <w:tcW w:w="810"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(193)</w:t>
            </w:r>
          </w:p>
        </w:tc>
        <w:tc>
          <w:tcPr>
            <w:tcW w:w="154"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3"/>
            <w:tcBorders>
              <w:top w:val="single" w:sz="4" w:space="0" w:color="B2B2B2"/>
              <w:bottom w:val="single" w:sz="4" w:space="0" w:color="B2B2B2"/>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Effect of foreign exchange rate changes on cash, cash equivalents and restricted cash</w:t>
            </w:r>
          </w:p>
        </w:tc>
        <w:tc>
          <w:tcPr>
            <w:tcW w:w="810" w:type="dxa"/>
            <w:gridSpan w:val="2"/>
            <w:tcBorders>
              <w:top w:val="single" w:sz="4" w:space="0" w:color="B2B2B2"/>
              <w:bottom w:val="sing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bottom w:val="sing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B2B2B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bottom w:val="sing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154" w:type="dxa"/>
            <w:tcBorders>
              <w:top w:val="single" w:sz="4" w:space="0" w:color="B2B2B2"/>
              <w:bottom w:val="sing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0410"/>
                <wp:effectExtent l="0" t="0" r="0" b="0"/>
                <wp:wrapNone/>
                <wp:docPr id="9"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HOLDINGS, INC.</w:t>
        <w:br/>
        <w:t>CONDENSED CONSOLIDATED STATEMENTS OF CASH FLOWS [CONTINUED]</w:t>
      </w:r>
    </w:p>
    <w:tbl>
      <w:tblPr>
        <w:tblW w:w="10205" w:type="dxa"/>
        <w:jc w:val="left"/>
        <w:tblInd w:w="0" w:type="dxa"/>
        <w:tblLayout w:type="fixed"/>
        <w:tblCellMar>
          <w:top w:w="28" w:type="dxa"/>
          <w:left w:w="28" w:type="dxa"/>
          <w:bottom w:w="28" w:type="dxa"/>
          <w:right w:w="28" w:type="dxa"/>
        </w:tblCellMar>
      </w:tblPr>
      <w:tblGrid>
        <w:gridCol w:w="3012"/>
        <w:gridCol w:w="2543"/>
        <w:gridCol w:w="2555"/>
        <w:gridCol w:w="226"/>
        <w:gridCol w:w="526"/>
        <w:gridCol w:w="109"/>
        <w:gridCol w:w="109"/>
        <w:gridCol w:w="109"/>
        <w:gridCol w:w="109"/>
        <w:gridCol w:w="226"/>
        <w:gridCol w:w="526"/>
        <w:gridCol w:w="155"/>
      </w:tblGrid>
      <w:tr>
        <w:trPr/>
        <w:tc>
          <w:tcPr>
            <w:tcW w:w="3012"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4" w:type="dxa"/>
            <w:gridSpan w:val="6"/>
            <w:tcBorders/>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4" w:type="dxa"/>
            <w:gridSpan w:val="6"/>
            <w:tcBorders/>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(unaudited; in millions)</w:t>
            </w:r>
          </w:p>
        </w:tc>
        <w:tc>
          <w:tcPr>
            <w:tcW w:w="861"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(decrease) increase in cash, cash equivalents and restricted cash, including cash classified in current assets held for sale</w:t>
            </w:r>
          </w:p>
        </w:tc>
        <w:tc>
          <w:tcPr>
            <w:tcW w:w="752"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(333)</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55"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change in cash balances classified as assets held for sale</w:t>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(decrease) increase in cash, cash equivalents and restricted cash</w:t>
            </w:r>
          </w:p>
        </w:tc>
        <w:tc>
          <w:tcPr>
            <w:tcW w:w="752"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(374)</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55"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cash equivalents and restricted cash at beginning of period</w:t>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1,204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991 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cash equivalents and restricted cash at end of period</w:t>
            </w:r>
          </w:p>
        </w:tc>
        <w:tc>
          <w:tcPr>
            <w:tcW w:w="752"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830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1,020 </w:t>
            </w:r>
          </w:p>
        </w:tc>
        <w:tc>
          <w:tcPr>
            <w:tcW w:w="155"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restricted cash at end of period</w:t>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 at end of period</w:t>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748</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930 </w:t>
            </w:r>
          </w:p>
        </w:tc>
        <w:tc>
          <w:tcPr>
            <w:tcW w:w="155"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Supplementary cash flow information:</w:t>
            </w:r>
          </w:p>
        </w:tc>
        <w:tc>
          <w:tcPr>
            <w:tcW w:w="861" w:type="dxa"/>
            <w:gridSpan w:val="3"/>
            <w:tcBorders/>
            <w:shd w:fill="F4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paid for income taxes</w:t>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162 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paid for interest</w:t>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Non-cash investing activity:</w:t>
            </w:r>
          </w:p>
        </w:tc>
        <w:tc>
          <w:tcPr>
            <w:tcW w:w="861"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Property, plant and equipment additions</w:t>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5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Non-cash financing activity:</w:t>
            </w:r>
          </w:p>
        </w:tc>
        <w:tc>
          <w:tcPr>
            <w:tcW w:w="861"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4" w:space="0" w:color="B2B2B2"/>
              <w:bottom w:val="single" w:sz="4" w:space="0" w:color="90158B"/>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Finance lease obligations</w:t>
            </w:r>
          </w:p>
        </w:tc>
        <w:tc>
          <w:tcPr>
            <w:tcW w:w="226" w:type="dxa"/>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w:t>
            </w:r>
            <w:r>
              <w:rPr>
                <w:color w:val="000000"/>
              </w:rPr>
              <w:t> </w:t>
            </w:r>
          </w:p>
        </w:tc>
        <w:tc>
          <w:tcPr>
            <w:tcW w:w="109" w:type="dxa"/>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B"/>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B2B2B2"/>
              <w:bottom w:val="single" w:sz="4" w:space="0" w:color="90158B"/>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4" w:space="0" w:color="B2B2B2"/>
              <w:bottom w:val="single" w:sz="4" w:space="0" w:color="90158B"/>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before="120" w:after="120"/>
        <w:jc w:val="left"/>
        <w:rPr/>
      </w:pPr>
      <w:r>
        <w:rPr/>
      </w:r>
    </w:p>
    <w:p>
      <w:pPr>
        <w:pStyle w:val="TextBody"/>
        <w:bidi w:val="0"/>
        <w:spacing w:lineRule="auto" w:line="288" w:before="240" w:after="283"/>
        <w:jc w:val="left"/>
        <w:rPr>
          <w:rFonts w:ascii="Avenir LT Pro 95 Black;sans-serif" w:hAnsi="Avenir LT Pro 95 Black;sans-serif"/>
          <w:b/>
          <w:color w:val="000000"/>
          <w:sz w:val="24"/>
        </w:rPr>
      </w:pPr>
      <w:r>
        <w:rPr>
          <w:rFonts w:ascii="Avenir LT Pro 95 Black;sans-serif" w:hAnsi="Avenir LT Pro 95 Black;sans-serif"/>
          <w:b/>
          <w:color w:val="000000"/>
          <w:sz w:val="24"/>
        </w:rPr>
        <w:t>LEIDOS HOLDINGS, INC.</w:t>
      </w:r>
    </w:p>
    <w:p>
      <w:pPr>
        <w:pStyle w:val="TextBody"/>
        <w:bidi w:val="0"/>
        <w:spacing w:lineRule="auto" w:line="288" w:before="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1–Basis of Presentation and Summary of Significant Accounting Policies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NATURE OF OPERATIONS AND BASIS OF PRESENTATION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50,000 global employees, Leidos' customers include the U.S. Department of War (“DoW”),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have a controlling interest in Hanford Mission Integration Solutions, LLC ("HMIS") and a joint venture with Centerra Group, LLC and Parsons Government Services, Inc. The financial results for HMIS are consolidated into our unaudited condensed consolidated financial statements. The unaudited condensed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unaudited condensed consolidated financial statements for the periods presented. Intercompany accounts and transactions between consolidated companies have been eliminated in consolidation.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accompanying unaudited condensed consolidated financial statements have been prepared in accordance with the rules of the U.S. Securities and Exchange Commission and accounting principles generally accepted in the United States of America ("GAAP"). Certain disclosures normally included in financial statements prepared in accordance with GAAP have been condensed or omitted pursuant to such rules. The preparation of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assets and lease liabilities, fair value and impairment of intangible assets and goodwill, income taxes, stock-based compensation expense and contingencies. These estimates have been prepared by management on the basis of the most current and best available information; however, actual results could differ materially from those estimates.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Certain amounts in the prior year financial statements have been reclassified to conform to the current year presentation. We combined "Deferred tax assets" with "Other long-term assets" and "Deferred tax liabilities" with "Other long-term liabilities" on the condensed consolidated balance sheets.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opinion of management, the accompanying unaudited condensed consolidated financial statements reflect all adjustments, which consist of normal recurring adjustments, necessary for a fair presentation thereof. The results reported in these unaudited condensed consolidated financial statements are not necessarily indicative of the results that may be expected for the entire year. These unaudited condensed consolidated financial statements should be read in conjunction with the consolidated financial statements and notes thereto included in the Annual Report on Form 10-K filed on February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0410"/>
                <wp:effectExtent l="0" t="0" r="0" b="0"/>
                <wp:wrapNone/>
                <wp:docPr id="11"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71" w:type="dxa"/>
                        <w:jc w:val="left"/>
                        <w:tblInd w:w="0" w:type="dxa"/>
                        <w:tblLayout w:type="fixed"/>
                        <w:tblCellMar>
                          <w:top w:w="28" w:type="dxa"/>
                          <w:left w:w="28" w:type="dxa"/>
                          <w:bottom w:w="28" w:type="dxa"/>
                          <w:right w:w="28" w:type="dxa"/>
                        </w:tblCellMar>
                      </w:tblPr>
                      <w:tblGrid>
                        <w:gridCol w:w="124"/>
                        <w:gridCol w:w="109"/>
                        <w:gridCol w:w="109"/>
                        <w:gridCol w:w="535"/>
                        <w:gridCol w:w="535"/>
                        <w:gridCol w:w="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288" w:before="12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ACCOUNTING STANDARDS UPDATES ADOPTED</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ASU 2025-06 Intangibles - Goodwill and Other-Internal-Use Software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September 2025, the FASB issued ASU 2025-06, which amends certain aspects of the accounting and disclosure of internal use software costs. Current guidance requires capitalization of internal-use software development costs depending on the nature of the costs and the project stage during which they occur. The amendments in this update remove references to prescriptive and sequential software development stages and require entities to start capitalizing software development costs when a) management authorizes and commits to funding the software project, and b) it is probable that the project will be completed, and the software will be used to perform the intended function.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amendments in this update are effective for public business entities for annual periods beginning after December 15, 2027, including interim periods within those annual reporting periods, and may be adopted on a prospective, modified or retrospective basis. Early adoption is permitted. Effective fiscal 2026, we adopted the requirements of ASU 2025-06, using the prospective method. The adoption did not have a material impact on our consolidated financial statements and related disclosures.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ACCOUNTING STANDARDS UPDATES ISSUED BUT NOT YET ADOPTED</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ASU 2024-03 Disaggregation of Income Statement Expenses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amendments in this update are effective for public entities for annual periods beginning after December 15, 2026, and interim periods beginning after December 15, 2027. The amendments may be adopted either prospectively or retrospectively. Early adoption is permitted. We are currently evaluating the impacts of this update and plan to adopt these amendments for annual disclosures in fiscal 2027 and interim disclosures in fiscal 2028.</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CHANGES IN ESTIMATES ON CONTRACTS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Changes in estimates on contracts were as follows:</w:t>
      </w:r>
    </w:p>
    <w:tbl>
      <w:tblPr>
        <w:tblW w:w="10205" w:type="dxa"/>
        <w:jc w:val="left"/>
        <w:tblInd w:w="0" w:type="dxa"/>
        <w:tblLayout w:type="fixed"/>
        <w:tblCellMar>
          <w:top w:w="28" w:type="dxa"/>
          <w:left w:w="28" w:type="dxa"/>
          <w:bottom w:w="28" w:type="dxa"/>
          <w:right w:w="28" w:type="dxa"/>
        </w:tblCellMar>
      </w:tblPr>
      <w:tblGrid>
        <w:gridCol w:w="1909"/>
        <w:gridCol w:w="1596"/>
        <w:gridCol w:w="1608"/>
        <w:gridCol w:w="109"/>
        <w:gridCol w:w="109"/>
        <w:gridCol w:w="109"/>
        <w:gridCol w:w="228"/>
        <w:gridCol w:w="608"/>
        <w:gridCol w:w="109"/>
        <w:gridCol w:w="109"/>
        <w:gridCol w:w="109"/>
        <w:gridCol w:w="109"/>
        <w:gridCol w:w="228"/>
        <w:gridCol w:w="593"/>
        <w:gridCol w:w="109"/>
        <w:gridCol w:w="109"/>
        <w:gridCol w:w="109"/>
        <w:gridCol w:w="109"/>
        <w:gridCol w:w="226"/>
        <w:gridCol w:w="601"/>
        <w:gridCol w:w="109"/>
        <w:gridCol w:w="109"/>
        <w:gridCol w:w="109"/>
        <w:gridCol w:w="109"/>
        <w:gridCol w:w="226"/>
        <w:gridCol w:w="586"/>
        <w:gridCol w:w="161"/>
      </w:tblGrid>
      <w:tr>
        <w:trPr/>
        <w:tc>
          <w:tcPr>
            <w:tcW w:w="190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5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511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Favorable impact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8"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46</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9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83</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95 </w:t>
            </w:r>
          </w:p>
        </w:tc>
        <w:tc>
          <w:tcPr>
            <w:tcW w:w="16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Unfavorable impact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(66)</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w:t>
            </w:r>
          </w:p>
        </w:tc>
        <w:tc>
          <w:tcPr>
            <w:tcW w:w="16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impact to income before income taxes</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8"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93"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8 </w:t>
            </w:r>
          </w:p>
        </w:tc>
        <w:tc>
          <w:tcPr>
            <w:tcW w:w="109"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1"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38 </w:t>
            </w:r>
          </w:p>
        </w:tc>
        <w:tc>
          <w:tcPr>
            <w:tcW w:w="16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Impact on diluted EPS attributable to Leidos common stockholders</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8"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0.15</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93"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0.05 </w:t>
            </w:r>
          </w:p>
        </w:tc>
        <w:tc>
          <w:tcPr>
            <w:tcW w:w="109"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01"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0.10</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0.22 </w:t>
            </w:r>
          </w:p>
        </w:tc>
        <w:tc>
          <w:tcPr>
            <w:tcW w:w="16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impact on diluted earnings per share ("EPS") attributable to Leidos common stockholders is calculated using the statutory tax rate.</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Revenue Recognized from Prior Obligations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recognized revenue of $21 million and $8 million from performance obligations satisfied in previous periods 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 xml:space="preserve">and six months ended July 3, 2026, respectively, compared to $3 million and $24 million 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4, 2025, respectively.The changes primarily relate to revisions of variable consideration including award and incentive fees, and revisions to estimates at completion resulting from changes in contract scope, mitigation of contract risks or true-ups of contract estimates at the end of contract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pPr>
      <w:r>
        <w:rPr>
          <w:rFonts w:ascii="Avenir LT Pro 95 Black;sans-serif" w:hAnsi="Avenir LT Pro 95 Black;sans-serif"/>
          <w:b/>
          <w:color w:val="B15BAC"/>
          <w:sz w:val="22"/>
        </w:rPr>
        <w:t>Note 2–Revenues</w:t>
      </w:r>
      <w:r>
        <w:rPr>
          <w:color w:val="000000"/>
        </w:rPr>
        <w:t xml:space="preserve"> </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REMAINING PERFORMANCE OBLIGATIONS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Remaining performance obligations ("RPO") represent the expected value of exercised contracts, both funded and unfunded, less revenue recognized to date. RPO does not include unexercised option periods and future potential task orders expected to be awarded under indefinite delivery/indefinite quantity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July 3, 2026, we had $20 billion of RPO and expect to recognize approximately 63% and 82% over the next 12 months and 24 months, respectively, with the remainder to be recognized thereafter.</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DISAGGREGATION OF REVENUES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disaggregate revenues by customer-type, contract-type and geographic location for each of our reportable segments.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Disaggregated revenues by customer-type were as follows:</w:t>
      </w:r>
    </w:p>
    <w:tbl>
      <w:tblPr>
        <w:tblW w:w="10205" w:type="dxa"/>
        <w:jc w:val="left"/>
        <w:tblInd w:w="0" w:type="dxa"/>
        <w:tblLayout w:type="fixed"/>
        <w:tblCellMar>
          <w:top w:w="28" w:type="dxa"/>
          <w:left w:w="28" w:type="dxa"/>
          <w:bottom w:w="28" w:type="dxa"/>
          <w:right w:w="28" w:type="dxa"/>
        </w:tblCellMar>
      </w:tblPr>
      <w:tblGrid>
        <w:gridCol w:w="1008"/>
        <w:gridCol w:w="868"/>
        <w:gridCol w:w="878"/>
        <w:gridCol w:w="408"/>
        <w:gridCol w:w="1305"/>
        <w:gridCol w:w="199"/>
        <w:gridCol w:w="109"/>
        <w:gridCol w:w="109"/>
        <w:gridCol w:w="109"/>
        <w:gridCol w:w="226"/>
        <w:gridCol w:w="721"/>
        <w:gridCol w:w="109"/>
        <w:gridCol w:w="109"/>
        <w:gridCol w:w="109"/>
        <w:gridCol w:w="109"/>
        <w:gridCol w:w="244"/>
        <w:gridCol w:w="779"/>
        <w:gridCol w:w="118"/>
        <w:gridCol w:w="109"/>
        <w:gridCol w:w="109"/>
        <w:gridCol w:w="109"/>
        <w:gridCol w:w="244"/>
        <w:gridCol w:w="568"/>
        <w:gridCol w:w="119"/>
        <w:gridCol w:w="109"/>
        <w:gridCol w:w="109"/>
        <w:gridCol w:w="109"/>
        <w:gridCol w:w="226"/>
        <w:gridCol w:w="721"/>
        <w:gridCol w:w="156"/>
      </w:tblGrid>
      <w:tr>
        <w:trPr/>
        <w:tc>
          <w:tcPr>
            <w:tcW w:w="10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r>
      <w:tr>
        <w:trPr/>
        <w:tc>
          <w:tcPr>
            <w:tcW w:w="2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912"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275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DoW and U.S. Intelligence Community</w:t>
            </w:r>
          </w:p>
        </w:tc>
        <w:tc>
          <w:tcPr>
            <w:tcW w:w="408"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130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1,097</w:t>
            </w:r>
            <w:r>
              <w:rPr>
                <w:color w:val="000000"/>
              </w:rPr>
              <w:t> </w:t>
            </w:r>
          </w:p>
        </w:tc>
        <w:tc>
          <w:tcPr>
            <w:tcW w:w="19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219</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18</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568"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902</w:t>
            </w:r>
            <w:r>
              <w:rPr>
                <w:color w:val="000000"/>
              </w:rPr>
              <w:t> </w:t>
            </w:r>
          </w:p>
        </w:tc>
        <w:tc>
          <w:tcPr>
            <w:tcW w:w="11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2,236</w:t>
            </w:r>
            <w:r>
              <w:rPr>
                <w:color w:val="000000"/>
              </w:rPr>
              <w:t> </w:t>
            </w:r>
          </w:p>
        </w:tc>
        <w:tc>
          <w:tcPr>
            <w:tcW w:w="156"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Other U.S. government agencies</w:t>
            </w:r>
            <w:r>
              <w:rPr>
                <w:rFonts w:ascii="Avenir LT Pro 35 Light;sans-serif" w:hAnsi="Avenir LT Pro 35 Light;sans-serif"/>
                <w:b w:val="false"/>
                <w:color w:val="000000"/>
                <w:sz w:val="12"/>
              </w:rPr>
              <w:t>(1)</w:t>
            </w:r>
          </w:p>
        </w:tc>
        <w:tc>
          <w:tcPr>
            <w:tcW w:w="17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379</w:t>
            </w:r>
            <w:r>
              <w:rPr>
                <w:color w:val="000000"/>
              </w:rPr>
              <w:t> </w:t>
            </w:r>
          </w:p>
        </w:tc>
        <w:tc>
          <w:tcPr>
            <w:tcW w:w="19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852</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298</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19</w:t>
            </w:r>
            <w:r>
              <w:rPr>
                <w:color w:val="000000"/>
              </w:rPr>
              <w:t> </w:t>
            </w:r>
          </w:p>
        </w:tc>
        <w:tc>
          <w:tcPr>
            <w:tcW w:w="1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1,548</w:t>
            </w:r>
            <w:r>
              <w:rPr>
                <w:color w:val="000000"/>
              </w:rPr>
              <w:t> </w:t>
            </w:r>
          </w:p>
        </w:tc>
        <w:tc>
          <w:tcPr>
            <w:tcW w:w="15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Commercial and non-U.S. customers</w:t>
            </w:r>
          </w:p>
        </w:tc>
        <w:tc>
          <w:tcPr>
            <w:tcW w:w="171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13</w:t>
            </w:r>
            <w:r>
              <w:rPr>
                <w:color w:val="000000"/>
              </w:rPr>
              <w:t> </w:t>
            </w:r>
          </w:p>
        </w:tc>
        <w:tc>
          <w:tcPr>
            <w:tcW w:w="19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15</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702</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34</w:t>
            </w:r>
            <w:r>
              <w:rPr>
                <w:color w:val="000000"/>
              </w:rPr>
              <w:t> </w:t>
            </w:r>
          </w:p>
        </w:tc>
        <w:tc>
          <w:tcPr>
            <w:tcW w:w="1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764</w:t>
            </w:r>
            <w:r>
              <w:rPr>
                <w:color w:val="000000"/>
              </w:rPr>
              <w:t> </w:t>
            </w:r>
          </w:p>
        </w:tc>
        <w:tc>
          <w:tcPr>
            <w:tcW w:w="15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0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30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1,489</w:t>
            </w:r>
            <w:r>
              <w:rPr>
                <w:color w:val="000000"/>
              </w:rPr>
              <w:t> </w:t>
            </w:r>
          </w:p>
        </w:tc>
        <w:tc>
          <w:tcPr>
            <w:tcW w:w="19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6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11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4,548</w:t>
            </w:r>
            <w:r>
              <w:rPr>
                <w:color w:val="000000"/>
              </w:rPr>
              <w:t> </w:t>
            </w:r>
          </w:p>
        </w:tc>
        <w:tc>
          <w:tcPr>
            <w:tcW w:w="15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0"/>
        <w:gridCol w:w="765"/>
        <w:gridCol w:w="774"/>
        <w:gridCol w:w="340"/>
        <w:gridCol w:w="1067"/>
        <w:gridCol w:w="167"/>
        <w:gridCol w:w="109"/>
        <w:gridCol w:w="109"/>
        <w:gridCol w:w="109"/>
        <w:gridCol w:w="226"/>
        <w:gridCol w:w="706"/>
        <w:gridCol w:w="109"/>
        <w:gridCol w:w="109"/>
        <w:gridCol w:w="109"/>
        <w:gridCol w:w="109"/>
        <w:gridCol w:w="267"/>
        <w:gridCol w:w="623"/>
        <w:gridCol w:w="131"/>
        <w:gridCol w:w="109"/>
        <w:gridCol w:w="109"/>
        <w:gridCol w:w="109"/>
        <w:gridCol w:w="226"/>
        <w:gridCol w:w="526"/>
        <w:gridCol w:w="109"/>
        <w:gridCol w:w="109"/>
        <w:gridCol w:w="109"/>
        <w:gridCol w:w="109"/>
        <w:gridCol w:w="226"/>
        <w:gridCol w:w="706"/>
        <w:gridCol w:w="109"/>
        <w:gridCol w:w="109"/>
        <w:gridCol w:w="109"/>
        <w:gridCol w:w="109"/>
        <w:gridCol w:w="109"/>
        <w:gridCol w:w="109"/>
        <w:gridCol w:w="109"/>
        <w:gridCol w:w="109"/>
        <w:gridCol w:w="157"/>
      </w:tblGrid>
      <w:tr>
        <w:trPr/>
        <w:tc>
          <w:tcPr>
            <w:tcW w:w="90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6"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57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DoW and U.S. Intelligence Community</w:t>
            </w:r>
          </w:p>
        </w:tc>
        <w:tc>
          <w:tcPr>
            <w:tcW w:w="340"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6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975 </w:t>
            </w:r>
          </w:p>
        </w:tc>
        <w:tc>
          <w:tcPr>
            <w:tcW w:w="167"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252 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13 </w:t>
            </w:r>
          </w:p>
        </w:tc>
        <w:tc>
          <w:tcPr>
            <w:tcW w:w="13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825 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2,065 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Other U.S. government agencies</w:t>
            </w:r>
            <w:r>
              <w:rPr>
                <w:rFonts w:ascii="Avenir LT Pro 35 Light;sans-serif" w:hAnsi="Avenir LT Pro 35 Light;sans-serif"/>
                <w:b w:val="false"/>
                <w:color w:val="000000"/>
                <w:sz w:val="12"/>
              </w:rPr>
              <w:t>(1)</w:t>
            </w:r>
          </w:p>
        </w:tc>
        <w:tc>
          <w:tcPr>
            <w:tcW w:w="140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408 </w:t>
            </w:r>
          </w:p>
        </w:tc>
        <w:tc>
          <w:tcPr>
            <w:tcW w:w="16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902 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280 </w:t>
            </w:r>
          </w:p>
        </w:tc>
        <w:tc>
          <w:tcPr>
            <w:tcW w:w="13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1,624 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Commercial and non-U.S. customers</w:t>
            </w:r>
          </w:p>
        </w:tc>
        <w:tc>
          <w:tcPr>
            <w:tcW w:w="140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10 </w:t>
            </w:r>
          </w:p>
        </w:tc>
        <w:tc>
          <w:tcPr>
            <w:tcW w:w="16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478 </w:t>
            </w:r>
          </w:p>
        </w:tc>
        <w:tc>
          <w:tcPr>
            <w:tcW w:w="13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544 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40"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1,393 </w:t>
            </w:r>
          </w:p>
        </w:tc>
        <w:tc>
          <w:tcPr>
            <w:tcW w:w="1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13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4,233 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jc w:val="left"/>
        <w:rPr/>
      </w:pPr>
      <w:r>
        <w:rPr>
          <w:rFonts w:ascii="Avenir LT Pro 45 Book;sans-serif" w:hAnsi="Avenir LT Pro 45 Book;sans-serif"/>
          <w:b w:val="false"/>
          <w:color w:val="000000"/>
          <w:sz w:val="9"/>
        </w:rPr>
        <w:t xml:space="preserve">(1) </w:t>
      </w:r>
      <w:r>
        <w:rPr>
          <w:rFonts w:ascii="Avenir LT Pro 45 Book;sans-serif" w:hAnsi="Avenir LT Pro 45 Book;sans-serif"/>
          <w:b w:val="false"/>
          <w:color w:val="000000"/>
          <w:sz w:val="14"/>
        </w:rPr>
        <w:t>Includes federal government agencies other than the DoW and U.S. Intelligence Community, as well as state and local government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0410"/>
                <wp:effectExtent l="0" t="0" r="0" b="0"/>
                <wp:wrapNone/>
                <wp:docPr id="13"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977"/>
        <w:gridCol w:w="839"/>
        <w:gridCol w:w="848"/>
        <w:gridCol w:w="400"/>
        <w:gridCol w:w="1281"/>
        <w:gridCol w:w="195"/>
        <w:gridCol w:w="109"/>
        <w:gridCol w:w="109"/>
        <w:gridCol w:w="109"/>
        <w:gridCol w:w="226"/>
        <w:gridCol w:w="721"/>
        <w:gridCol w:w="109"/>
        <w:gridCol w:w="109"/>
        <w:gridCol w:w="109"/>
        <w:gridCol w:w="109"/>
        <w:gridCol w:w="244"/>
        <w:gridCol w:w="779"/>
        <w:gridCol w:w="118"/>
        <w:gridCol w:w="109"/>
        <w:gridCol w:w="109"/>
        <w:gridCol w:w="109"/>
        <w:gridCol w:w="226"/>
        <w:gridCol w:w="721"/>
        <w:gridCol w:w="109"/>
        <w:gridCol w:w="109"/>
        <w:gridCol w:w="109"/>
        <w:gridCol w:w="109"/>
        <w:gridCol w:w="226"/>
        <w:gridCol w:w="721"/>
        <w:gridCol w:w="157"/>
      </w:tblGrid>
      <w:tr>
        <w:trPr/>
        <w:tc>
          <w:tcPr>
            <w:tcW w:w="9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r>
      <w:tr>
        <w:trPr/>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87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266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DoW and U.S. Intelligence Community</w:t>
            </w:r>
          </w:p>
        </w:tc>
        <w:tc>
          <w:tcPr>
            <w:tcW w:w="40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128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2,175</w:t>
            </w:r>
            <w:r>
              <w:rPr>
                <w:color w:val="000000"/>
              </w:rPr>
              <w:t> </w:t>
            </w:r>
          </w:p>
        </w:tc>
        <w:tc>
          <w:tcPr>
            <w:tcW w:w="19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468</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38</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1,724</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4,405</w:t>
            </w:r>
            <w:r>
              <w:rPr>
                <w:color w:val="000000"/>
              </w:rPr>
              <w:t> </w:t>
            </w:r>
          </w:p>
        </w:tc>
        <w:tc>
          <w:tcPr>
            <w:tcW w:w="157"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Other U.S. government agencies</w:t>
            </w:r>
            <w:r>
              <w:rPr>
                <w:rFonts w:ascii="Avenir LT Pro 35 Light;sans-serif" w:hAnsi="Avenir LT Pro 35 Light;sans-serif"/>
                <w:b w:val="false"/>
                <w:color w:val="000000"/>
                <w:sz w:val="12"/>
              </w:rPr>
              <w:t>(1)</w:t>
            </w:r>
          </w:p>
        </w:tc>
        <w:tc>
          <w:tcPr>
            <w:tcW w:w="1681"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782</w:t>
            </w:r>
            <w:r>
              <w:rPr>
                <w:color w:val="000000"/>
              </w:rPr>
              <w:t> </w:t>
            </w:r>
          </w:p>
        </w:tc>
        <w:tc>
          <w:tcPr>
            <w:tcW w:w="19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1,776</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570</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46</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3,174</w:t>
            </w:r>
            <w:r>
              <w:rPr>
                <w:color w:val="000000"/>
              </w:rPr>
              <w:t> </w:t>
            </w:r>
          </w:p>
        </w:tc>
        <w:tc>
          <w:tcPr>
            <w:tcW w:w="15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Commercial and non-U.S. customers</w:t>
            </w:r>
          </w:p>
        </w:tc>
        <w:tc>
          <w:tcPr>
            <w:tcW w:w="1681"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29</w:t>
            </w:r>
            <w:r>
              <w:rPr>
                <w:color w:val="000000"/>
              </w:rPr>
              <w:t> </w:t>
            </w:r>
          </w:p>
        </w:tc>
        <w:tc>
          <w:tcPr>
            <w:tcW w:w="19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30</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1,225</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68</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1,352</w:t>
            </w:r>
            <w:r>
              <w:rPr>
                <w:color w:val="000000"/>
              </w:rPr>
              <w:t> </w:t>
            </w:r>
          </w:p>
        </w:tc>
        <w:tc>
          <w:tcPr>
            <w:tcW w:w="15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0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8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2,986</w:t>
            </w:r>
            <w:r>
              <w:rPr>
                <w:color w:val="000000"/>
              </w:rPr>
              <w:t> </w:t>
            </w:r>
          </w:p>
        </w:tc>
        <w:tc>
          <w:tcPr>
            <w:tcW w:w="19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2,274</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1,833</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8,931</w:t>
            </w:r>
            <w:r>
              <w:rPr>
                <w:color w:val="000000"/>
              </w:rPr>
              <w:t> </w:t>
            </w:r>
          </w:p>
        </w:tc>
        <w:tc>
          <w:tcPr>
            <w:tcW w:w="15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8"/>
        <w:gridCol w:w="717"/>
        <w:gridCol w:w="725"/>
        <w:gridCol w:w="329"/>
        <w:gridCol w:w="1032"/>
        <w:gridCol w:w="16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109"/>
        <w:gridCol w:w="109"/>
        <w:gridCol w:w="109"/>
        <w:gridCol w:w="109"/>
        <w:gridCol w:w="158"/>
      </w:tblGrid>
      <w:tr>
        <w:trPr/>
        <w:tc>
          <w:tcPr>
            <w:tcW w:w="84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522"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Defense</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DoW and U.S. Intelligence Community</w:t>
            </w:r>
          </w:p>
        </w:tc>
        <w:tc>
          <w:tcPr>
            <w:tcW w:w="32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3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1,933 </w:t>
            </w:r>
          </w:p>
        </w:tc>
        <w:tc>
          <w:tcPr>
            <w:tcW w:w="16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521 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1,634 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4,124 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Other U.S. government agencies</w:t>
            </w:r>
            <w:r>
              <w:rPr>
                <w:rFonts w:ascii="Avenir LT Pro 35 Light;sans-serif" w:hAnsi="Avenir LT Pro 35 Light;sans-serif"/>
                <w:b w:val="false"/>
                <w:color w:val="000000"/>
                <w:sz w:val="12"/>
              </w:rPr>
              <w:t>(1)</w:t>
            </w:r>
          </w:p>
        </w:tc>
        <w:tc>
          <w:tcPr>
            <w:tcW w:w="136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837 </w:t>
            </w:r>
          </w:p>
        </w:tc>
        <w:tc>
          <w:tcPr>
            <w:tcW w:w="16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1,800 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555 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68 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3,260 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Commercial and non-U.S. customers</w:t>
            </w:r>
          </w:p>
        </w:tc>
        <w:tc>
          <w:tcPr>
            <w:tcW w:w="136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20 </w:t>
            </w:r>
          </w:p>
        </w:tc>
        <w:tc>
          <w:tcPr>
            <w:tcW w:w="16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949 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1,077 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32"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2,790 </w:t>
            </w:r>
          </w:p>
        </w:tc>
        <w:tc>
          <w:tcPr>
            <w:tcW w:w="16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2,353 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8,461 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jc w:val="left"/>
        <w:rPr/>
      </w:pPr>
      <w:r>
        <w:rPr>
          <w:rFonts w:ascii="Avenir LT Pro 45 Book;sans-serif" w:hAnsi="Avenir LT Pro 45 Book;sans-serif"/>
          <w:b w:val="false"/>
          <w:color w:val="000000"/>
          <w:sz w:val="9"/>
        </w:rPr>
        <w:t xml:space="preserve">(1) </w:t>
      </w:r>
      <w:r>
        <w:rPr>
          <w:rFonts w:ascii="Avenir LT Pro 45 Book;sans-serif" w:hAnsi="Avenir LT Pro 45 Book;sans-serif"/>
          <w:b w:val="false"/>
          <w:color w:val="000000"/>
          <w:sz w:val="14"/>
        </w:rPr>
        <w:t>Includes federal government agencies other than the DoW and U.S. Intelligence Community, as well as state and local government agencies.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Disaggregated revenues by contract-type were as follows:</w:t>
      </w:r>
    </w:p>
    <w:tbl>
      <w:tblPr>
        <w:tblW w:w="10205" w:type="dxa"/>
        <w:jc w:val="left"/>
        <w:tblInd w:w="0" w:type="dxa"/>
        <w:tblLayout w:type="fixed"/>
        <w:tblCellMar>
          <w:top w:w="28" w:type="dxa"/>
          <w:left w:w="28" w:type="dxa"/>
          <w:bottom w:w="28" w:type="dxa"/>
          <w:right w:w="28" w:type="dxa"/>
        </w:tblCellMar>
      </w:tblPr>
      <w:tblGrid>
        <w:gridCol w:w="890"/>
        <w:gridCol w:w="769"/>
        <w:gridCol w:w="777"/>
        <w:gridCol w:w="290"/>
        <w:gridCol w:w="926"/>
        <w:gridCol w:w="141"/>
        <w:gridCol w:w="109"/>
        <w:gridCol w:w="109"/>
        <w:gridCol w:w="109"/>
        <w:gridCol w:w="226"/>
        <w:gridCol w:w="721"/>
        <w:gridCol w:w="109"/>
        <w:gridCol w:w="109"/>
        <w:gridCol w:w="109"/>
        <w:gridCol w:w="109"/>
        <w:gridCol w:w="244"/>
        <w:gridCol w:w="779"/>
        <w:gridCol w:w="118"/>
        <w:gridCol w:w="109"/>
        <w:gridCol w:w="109"/>
        <w:gridCol w:w="109"/>
        <w:gridCol w:w="244"/>
        <w:gridCol w:w="568"/>
        <w:gridCol w:w="119"/>
        <w:gridCol w:w="109"/>
        <w:gridCol w:w="109"/>
        <w:gridCol w:w="109"/>
        <w:gridCol w:w="226"/>
        <w:gridCol w:w="721"/>
        <w:gridCol w:w="109"/>
        <w:gridCol w:w="109"/>
        <w:gridCol w:w="109"/>
        <w:gridCol w:w="109"/>
        <w:gridCol w:w="109"/>
        <w:gridCol w:w="109"/>
        <w:gridCol w:w="109"/>
        <w:gridCol w:w="109"/>
        <w:gridCol w:w="157"/>
      </w:tblGrid>
      <w:tr>
        <w:trPr/>
        <w:tc>
          <w:tcPr>
            <w:tcW w:w="89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357"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Cost-reimbursement and fixed-price-incentive-fee</w:t>
            </w:r>
          </w:p>
        </w:tc>
        <w:tc>
          <w:tcPr>
            <w:tcW w:w="29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9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904</w:t>
            </w:r>
            <w:r>
              <w:rPr>
                <w:color w:val="000000"/>
              </w:rPr>
              <w:t> </w:t>
            </w:r>
          </w:p>
        </w:tc>
        <w:tc>
          <w:tcPr>
            <w:tcW w:w="14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388</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193</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568"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541</w:t>
            </w:r>
            <w:r>
              <w:rPr>
                <w:color w:val="000000"/>
              </w:rPr>
              <w:t> </w:t>
            </w:r>
          </w:p>
        </w:tc>
        <w:tc>
          <w:tcPr>
            <w:tcW w:w="11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2,026</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Firm-fixed-price</w:t>
            </w:r>
          </w:p>
        </w:tc>
        <w:tc>
          <w:tcPr>
            <w:tcW w:w="121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352</w:t>
            </w:r>
            <w:r>
              <w:rPr>
                <w:color w:val="000000"/>
              </w:rPr>
              <w:t> </w:t>
            </w:r>
          </w:p>
        </w:tc>
        <w:tc>
          <w:tcPr>
            <w:tcW w:w="14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665</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516</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329</w:t>
            </w:r>
            <w:r>
              <w:rPr>
                <w:color w:val="000000"/>
              </w:rPr>
              <w:t> </w:t>
            </w:r>
          </w:p>
        </w:tc>
        <w:tc>
          <w:tcPr>
            <w:tcW w:w="1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1,862</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Time-and-materials and fixed-price-level-of-effort</w:t>
            </w:r>
          </w:p>
        </w:tc>
        <w:tc>
          <w:tcPr>
            <w:tcW w:w="121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233</w:t>
            </w:r>
            <w:r>
              <w:rPr>
                <w:color w:val="000000"/>
              </w:rPr>
              <w:t> </w:t>
            </w:r>
          </w:p>
        </w:tc>
        <w:tc>
          <w:tcPr>
            <w:tcW w:w="14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33</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309</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85</w:t>
            </w:r>
            <w:r>
              <w:rPr>
                <w:color w:val="000000"/>
              </w:rPr>
              <w:t> </w:t>
            </w:r>
          </w:p>
        </w:tc>
        <w:tc>
          <w:tcPr>
            <w:tcW w:w="1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660</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9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1,489</w:t>
            </w:r>
            <w:r>
              <w:rPr>
                <w:color w:val="000000"/>
              </w:rPr>
              <w:t> </w:t>
            </w:r>
          </w:p>
        </w:tc>
        <w:tc>
          <w:tcPr>
            <w:tcW w:w="14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6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11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4,548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9"/>
        <w:gridCol w:w="858"/>
        <w:gridCol w:w="867"/>
        <w:gridCol w:w="281"/>
        <w:gridCol w:w="881"/>
        <w:gridCol w:w="138"/>
        <w:gridCol w:w="109"/>
        <w:gridCol w:w="109"/>
        <w:gridCol w:w="109"/>
        <w:gridCol w:w="226"/>
        <w:gridCol w:w="706"/>
        <w:gridCol w:w="109"/>
        <w:gridCol w:w="109"/>
        <w:gridCol w:w="109"/>
        <w:gridCol w:w="109"/>
        <w:gridCol w:w="267"/>
        <w:gridCol w:w="623"/>
        <w:gridCol w:w="131"/>
        <w:gridCol w:w="109"/>
        <w:gridCol w:w="109"/>
        <w:gridCol w:w="109"/>
        <w:gridCol w:w="226"/>
        <w:gridCol w:w="526"/>
        <w:gridCol w:w="109"/>
        <w:gridCol w:w="109"/>
        <w:gridCol w:w="109"/>
        <w:gridCol w:w="109"/>
        <w:gridCol w:w="226"/>
        <w:gridCol w:w="706"/>
        <w:gridCol w:w="109"/>
        <w:gridCol w:w="109"/>
        <w:gridCol w:w="109"/>
        <w:gridCol w:w="109"/>
        <w:gridCol w:w="109"/>
        <w:gridCol w:w="109"/>
        <w:gridCol w:w="109"/>
        <w:gridCol w:w="109"/>
        <w:gridCol w:w="156"/>
      </w:tblGrid>
      <w:tr>
        <w:trPr/>
        <w:tc>
          <w:tcPr>
            <w:tcW w:w="98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30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Cost-reimbursement and fixed-price-incentive-fee</w:t>
            </w:r>
          </w:p>
        </w:tc>
        <w:tc>
          <w:tcPr>
            <w:tcW w:w="28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8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793 </w:t>
            </w:r>
          </w:p>
        </w:tc>
        <w:tc>
          <w:tcPr>
            <w:tcW w:w="138"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374 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156 </w:t>
            </w:r>
          </w:p>
        </w:tc>
        <w:tc>
          <w:tcPr>
            <w:tcW w:w="13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528 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1,851 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Firm-fixed-price</w:t>
            </w:r>
          </w:p>
        </w:tc>
        <w:tc>
          <w:tcPr>
            <w:tcW w:w="116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355 </w:t>
            </w:r>
          </w:p>
        </w:tc>
        <w:tc>
          <w:tcPr>
            <w:tcW w:w="13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761 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433 </w:t>
            </w:r>
          </w:p>
        </w:tc>
        <w:tc>
          <w:tcPr>
            <w:tcW w:w="13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278 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1,827 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Time-and-materials and fixed-price-level-of-effort</w:t>
            </w:r>
          </w:p>
        </w:tc>
        <w:tc>
          <w:tcPr>
            <w:tcW w:w="116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245 </w:t>
            </w:r>
          </w:p>
        </w:tc>
        <w:tc>
          <w:tcPr>
            <w:tcW w:w="13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182 </w:t>
            </w:r>
          </w:p>
        </w:tc>
        <w:tc>
          <w:tcPr>
            <w:tcW w:w="13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555 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8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8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1,393 </w:t>
            </w:r>
          </w:p>
        </w:tc>
        <w:tc>
          <w:tcPr>
            <w:tcW w:w="138"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13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4,233 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8"/>
        <w:gridCol w:w="741"/>
        <w:gridCol w:w="749"/>
        <w:gridCol w:w="282"/>
        <w:gridCol w:w="901"/>
        <w:gridCol w:w="137"/>
        <w:gridCol w:w="109"/>
        <w:gridCol w:w="109"/>
        <w:gridCol w:w="109"/>
        <w:gridCol w:w="226"/>
        <w:gridCol w:w="721"/>
        <w:gridCol w:w="109"/>
        <w:gridCol w:w="109"/>
        <w:gridCol w:w="109"/>
        <w:gridCol w:w="109"/>
        <w:gridCol w:w="244"/>
        <w:gridCol w:w="779"/>
        <w:gridCol w:w="118"/>
        <w:gridCol w:w="109"/>
        <w:gridCol w:w="109"/>
        <w:gridCol w:w="109"/>
        <w:gridCol w:w="226"/>
        <w:gridCol w:w="721"/>
        <w:gridCol w:w="109"/>
        <w:gridCol w:w="109"/>
        <w:gridCol w:w="109"/>
        <w:gridCol w:w="109"/>
        <w:gridCol w:w="226"/>
        <w:gridCol w:w="721"/>
        <w:gridCol w:w="109"/>
        <w:gridCol w:w="109"/>
        <w:gridCol w:w="109"/>
        <w:gridCol w:w="109"/>
        <w:gridCol w:w="109"/>
        <w:gridCol w:w="109"/>
        <w:gridCol w:w="109"/>
        <w:gridCol w:w="109"/>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32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Cost-reimbursement and fixed-price-incentive-fee</w:t>
            </w:r>
          </w:p>
        </w:tc>
        <w:tc>
          <w:tcPr>
            <w:tcW w:w="282"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90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1,808</w:t>
            </w:r>
            <w:r>
              <w:rPr>
                <w:color w:val="000000"/>
              </w:rPr>
              <w:t> </w:t>
            </w:r>
          </w:p>
        </w:tc>
        <w:tc>
          <w:tcPr>
            <w:tcW w:w="137"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816</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367</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1,063</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4,054</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Firm-fixed-price</w:t>
            </w:r>
          </w:p>
        </w:tc>
        <w:tc>
          <w:tcPr>
            <w:tcW w:w="118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696</w:t>
            </w:r>
            <w:r>
              <w:rPr>
                <w:color w:val="000000"/>
              </w:rPr>
              <w:t> </w:t>
            </w:r>
          </w:p>
        </w:tc>
        <w:tc>
          <w:tcPr>
            <w:tcW w:w="13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1,395</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951</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603</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3,645</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Time-and-materials and fixed-price-level-of-effort</w:t>
            </w:r>
          </w:p>
        </w:tc>
        <w:tc>
          <w:tcPr>
            <w:tcW w:w="118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482</w:t>
            </w:r>
            <w:r>
              <w:rPr>
                <w:color w:val="000000"/>
              </w:rPr>
              <w:t> </w:t>
            </w:r>
          </w:p>
        </w:tc>
        <w:tc>
          <w:tcPr>
            <w:tcW w:w="13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63</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515</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172</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1,232</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82"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0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2,986</w:t>
            </w:r>
            <w:r>
              <w:rPr>
                <w:color w:val="000000"/>
              </w:rPr>
              <w:t> </w:t>
            </w:r>
          </w:p>
        </w:tc>
        <w:tc>
          <w:tcPr>
            <w:tcW w:w="13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2,274</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1,833</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8,931</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936"/>
        <w:gridCol w:w="811"/>
        <w:gridCol w:w="819"/>
        <w:gridCol w:w="269"/>
        <w:gridCol w:w="845"/>
        <w:gridCol w:w="132"/>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109"/>
        <w:gridCol w:w="109"/>
        <w:gridCol w:w="109"/>
        <w:gridCol w:w="109"/>
        <w:gridCol w:w="158"/>
      </w:tblGrid>
      <w:tr>
        <w:trPr/>
        <w:tc>
          <w:tcPr>
            <w:tcW w:w="9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24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Defense</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Cost-reimbursement and fixed-price-incentive-fee</w:t>
            </w:r>
          </w:p>
        </w:tc>
        <w:tc>
          <w:tcPr>
            <w:tcW w:w="26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5"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1,588 </w:t>
            </w:r>
          </w:p>
        </w:tc>
        <w:tc>
          <w:tcPr>
            <w:tcW w:w="132"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781 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325 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1,045 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3,739 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Firm-fixed-price</w:t>
            </w:r>
          </w:p>
        </w:tc>
        <w:tc>
          <w:tcPr>
            <w:tcW w:w="1114"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698 </w:t>
            </w:r>
          </w:p>
        </w:tc>
        <w:tc>
          <w:tcPr>
            <w:tcW w:w="132"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1,496 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867 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535 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3,596 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Time-and-materials and fixed-price-level-of-effort</w:t>
            </w:r>
          </w:p>
        </w:tc>
        <w:tc>
          <w:tcPr>
            <w:tcW w:w="1114"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504 </w:t>
            </w:r>
          </w:p>
        </w:tc>
        <w:tc>
          <w:tcPr>
            <w:tcW w:w="132"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348 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198 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1,126 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6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5"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2,790 </w:t>
            </w:r>
          </w:p>
        </w:tc>
        <w:tc>
          <w:tcPr>
            <w:tcW w:w="132"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2,353 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8,461 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Disaggregated revenues by geographic location were as follows:</w:t>
      </w:r>
    </w:p>
    <w:tbl>
      <w:tblPr>
        <w:tblW w:w="10008" w:type="dxa"/>
        <w:jc w:val="left"/>
        <w:tblInd w:w="0" w:type="dxa"/>
        <w:tblLayout w:type="fixed"/>
        <w:tblCellMar>
          <w:top w:w="28" w:type="dxa"/>
          <w:left w:w="28" w:type="dxa"/>
          <w:bottom w:w="28" w:type="dxa"/>
          <w:right w:w="28" w:type="dxa"/>
        </w:tblCellMar>
      </w:tblPr>
      <w:tblGrid>
        <w:gridCol w:w="488"/>
        <w:gridCol w:w="429"/>
        <w:gridCol w:w="433"/>
        <w:gridCol w:w="480"/>
        <w:gridCol w:w="1535"/>
        <w:gridCol w:w="234"/>
        <w:gridCol w:w="109"/>
        <w:gridCol w:w="109"/>
        <w:gridCol w:w="109"/>
        <w:gridCol w:w="226"/>
        <w:gridCol w:w="721"/>
        <w:gridCol w:w="109"/>
        <w:gridCol w:w="109"/>
        <w:gridCol w:w="109"/>
        <w:gridCol w:w="109"/>
        <w:gridCol w:w="244"/>
        <w:gridCol w:w="779"/>
        <w:gridCol w:w="118"/>
        <w:gridCol w:w="109"/>
        <w:gridCol w:w="109"/>
        <w:gridCol w:w="109"/>
        <w:gridCol w:w="244"/>
        <w:gridCol w:w="568"/>
        <w:gridCol w:w="119"/>
        <w:gridCol w:w="109"/>
        <w:gridCol w:w="109"/>
        <w:gridCol w:w="109"/>
        <w:gridCol w:w="226"/>
        <w:gridCol w:w="721"/>
        <w:gridCol w:w="109"/>
        <w:gridCol w:w="109"/>
        <w:gridCol w:w="109"/>
        <w:gridCol w:w="109"/>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224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United States</w:t>
            </w:r>
          </w:p>
        </w:tc>
        <w:tc>
          <w:tcPr>
            <w:tcW w:w="48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153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1,488</w:t>
            </w:r>
            <w:r>
              <w:rPr>
                <w:color w:val="000000"/>
              </w:rPr>
              <w:t> </w:t>
            </w:r>
          </w:p>
        </w:tc>
        <w:tc>
          <w:tcPr>
            <w:tcW w:w="23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1,086</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626</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568"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944</w:t>
            </w:r>
            <w:r>
              <w:rPr>
                <w:color w:val="000000"/>
              </w:rPr>
              <w:t> </w:t>
            </w:r>
          </w:p>
        </w:tc>
        <w:tc>
          <w:tcPr>
            <w:tcW w:w="11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4,144</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International</w:t>
            </w:r>
          </w:p>
        </w:tc>
        <w:tc>
          <w:tcPr>
            <w:tcW w:w="2015"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w:t>
            </w:r>
            <w:r>
              <w:rPr>
                <w:color w:val="000000"/>
              </w:rPr>
              <w:t> </w:t>
            </w:r>
          </w:p>
        </w:tc>
        <w:tc>
          <w:tcPr>
            <w:tcW w:w="23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392</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11</w:t>
            </w:r>
            <w:r>
              <w:rPr>
                <w:color w:val="000000"/>
              </w:rPr>
              <w:t> </w:t>
            </w:r>
          </w:p>
        </w:tc>
        <w:tc>
          <w:tcPr>
            <w:tcW w:w="11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404</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8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53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1,489</w:t>
            </w:r>
            <w:r>
              <w:rPr>
                <w:color w:val="000000"/>
              </w:rPr>
              <w:t> </w:t>
            </w:r>
          </w:p>
        </w:tc>
        <w:tc>
          <w:tcPr>
            <w:tcW w:w="23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6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11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4,548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518" w:type="dxa"/>
        <w:jc w:val="left"/>
        <w:tblInd w:w="0" w:type="dxa"/>
        <w:tblLayout w:type="fixed"/>
        <w:tblCellMar>
          <w:top w:w="28" w:type="dxa"/>
          <w:left w:w="28" w:type="dxa"/>
          <w:bottom w:w="28" w:type="dxa"/>
          <w:right w:w="28" w:type="dxa"/>
        </w:tblCellMar>
      </w:tblPr>
      <w:tblGrid>
        <w:gridCol w:w="488"/>
        <w:gridCol w:w="429"/>
        <w:gridCol w:w="433"/>
        <w:gridCol w:w="428"/>
        <w:gridCol w:w="1341"/>
        <w:gridCol w:w="210"/>
        <w:gridCol w:w="109"/>
        <w:gridCol w:w="109"/>
        <w:gridCol w:w="109"/>
        <w:gridCol w:w="226"/>
        <w:gridCol w:w="706"/>
        <w:gridCol w:w="109"/>
        <w:gridCol w:w="109"/>
        <w:gridCol w:w="109"/>
        <w:gridCol w:w="109"/>
        <w:gridCol w:w="267"/>
        <w:gridCol w:w="623"/>
        <w:gridCol w:w="131"/>
        <w:gridCol w:w="109"/>
        <w:gridCol w:w="109"/>
        <w:gridCol w:w="109"/>
        <w:gridCol w:w="226"/>
        <w:gridCol w:w="526"/>
        <w:gridCol w:w="109"/>
        <w:gridCol w:w="109"/>
        <w:gridCol w:w="109"/>
        <w:gridCol w:w="109"/>
        <w:gridCol w:w="226"/>
        <w:gridCol w:w="706"/>
        <w:gridCol w:w="109"/>
        <w:gridCol w:w="109"/>
        <w:gridCol w:w="109"/>
        <w:gridCol w:w="109"/>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97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United States</w:t>
            </w:r>
          </w:p>
        </w:tc>
        <w:tc>
          <w:tcPr>
            <w:tcW w:w="42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4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1,392 </w:t>
            </w:r>
          </w:p>
        </w:tc>
        <w:tc>
          <w:tcPr>
            <w:tcW w:w="210"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445 </w:t>
            </w:r>
          </w:p>
        </w:tc>
        <w:tc>
          <w:tcPr>
            <w:tcW w:w="13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886 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3,893 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International</w:t>
            </w:r>
          </w:p>
        </w:tc>
        <w:tc>
          <w:tcPr>
            <w:tcW w:w="176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1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326 </w:t>
            </w:r>
          </w:p>
        </w:tc>
        <w:tc>
          <w:tcPr>
            <w:tcW w:w="13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340 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28"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4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1,393 </w:t>
            </w:r>
          </w:p>
        </w:tc>
        <w:tc>
          <w:tcPr>
            <w:tcW w:w="210"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13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4,233 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33" w:type="dxa"/>
        <w:jc w:val="left"/>
        <w:tblInd w:w="0" w:type="dxa"/>
        <w:tblLayout w:type="fixed"/>
        <w:tblCellMar>
          <w:top w:w="28" w:type="dxa"/>
          <w:left w:w="28" w:type="dxa"/>
          <w:bottom w:w="28" w:type="dxa"/>
          <w:right w:w="28" w:type="dxa"/>
        </w:tblCellMar>
      </w:tblPr>
      <w:tblGrid>
        <w:gridCol w:w="488"/>
        <w:gridCol w:w="429"/>
        <w:gridCol w:w="433"/>
        <w:gridCol w:w="480"/>
        <w:gridCol w:w="1535"/>
        <w:gridCol w:w="234"/>
        <w:gridCol w:w="109"/>
        <w:gridCol w:w="109"/>
        <w:gridCol w:w="109"/>
        <w:gridCol w:w="226"/>
        <w:gridCol w:w="721"/>
        <w:gridCol w:w="109"/>
        <w:gridCol w:w="109"/>
        <w:gridCol w:w="109"/>
        <w:gridCol w:w="109"/>
        <w:gridCol w:w="244"/>
        <w:gridCol w:w="779"/>
        <w:gridCol w:w="118"/>
        <w:gridCol w:w="109"/>
        <w:gridCol w:w="109"/>
        <w:gridCol w:w="109"/>
        <w:gridCol w:w="226"/>
        <w:gridCol w:w="721"/>
        <w:gridCol w:w="109"/>
        <w:gridCol w:w="109"/>
        <w:gridCol w:w="109"/>
        <w:gridCol w:w="109"/>
        <w:gridCol w:w="226"/>
        <w:gridCol w:w="721"/>
        <w:gridCol w:w="109"/>
        <w:gridCol w:w="109"/>
        <w:gridCol w:w="109"/>
        <w:gridCol w:w="109"/>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224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United States</w:t>
            </w:r>
          </w:p>
        </w:tc>
        <w:tc>
          <w:tcPr>
            <w:tcW w:w="48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153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2,985</w:t>
            </w:r>
            <w:r>
              <w:rPr>
                <w:color w:val="000000"/>
              </w:rPr>
              <w:t> </w:t>
            </w:r>
          </w:p>
        </w:tc>
        <w:tc>
          <w:tcPr>
            <w:tcW w:w="23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2,274</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79"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1,092</w:t>
            </w:r>
            <w:r>
              <w:rPr>
                <w:color w:val="000000"/>
              </w:rPr>
              <w:t>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1,819</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color w:val="000000"/>
                <w:sz w:val="18"/>
              </w:rPr>
            </w:pPr>
            <w:r>
              <w:rPr>
                <w:rFonts w:ascii="Avenir LT Pro 35 Light;sans-serif" w:hAnsi="Avenir LT Pro 35 Light;sans-serif"/>
                <w:b/>
                <w:color w:val="000000"/>
                <w:sz w:val="18"/>
              </w:rPr>
              <w:t>$</w:t>
            </w:r>
          </w:p>
        </w:tc>
        <w:tc>
          <w:tcPr>
            <w:tcW w:w="721"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8,170</w:t>
            </w:r>
            <w:r>
              <w:rPr>
                <w:color w:val="000000"/>
              </w:rPr>
              <w:t>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International</w:t>
            </w:r>
          </w:p>
        </w:tc>
        <w:tc>
          <w:tcPr>
            <w:tcW w:w="2015"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w:t>
            </w:r>
            <w:r>
              <w:rPr>
                <w:color w:val="000000"/>
              </w:rPr>
              <w:t> </w:t>
            </w:r>
          </w:p>
        </w:tc>
        <w:tc>
          <w:tcPr>
            <w:tcW w:w="23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741</w:t>
            </w:r>
            <w:r>
              <w:rPr>
                <w:color w:val="000000"/>
              </w:rPr>
              <w:t> </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19</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pPr>
            <w:r>
              <w:rPr>
                <w:rFonts w:ascii="Avenir LT Pro 35 Light;sans-serif" w:hAnsi="Avenir LT Pro 35 Light;sans-serif"/>
                <w:b/>
                <w:color w:val="000000"/>
                <w:sz w:val="18"/>
              </w:rPr>
              <w:t>761</w:t>
            </w:r>
            <w:r>
              <w:rPr>
                <w:color w:val="000000"/>
              </w:rPr>
              <w:t>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8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53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2,986</w:t>
            </w:r>
            <w:r>
              <w:rPr>
                <w:color w:val="000000"/>
              </w:rPr>
              <w:t> </w:t>
            </w:r>
          </w:p>
        </w:tc>
        <w:tc>
          <w:tcPr>
            <w:tcW w:w="23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2,274</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1,833</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8,931</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18" w:type="dxa"/>
        <w:jc w:val="left"/>
        <w:tblInd w:w="0" w:type="dxa"/>
        <w:tblLayout w:type="fixed"/>
        <w:tblCellMar>
          <w:top w:w="28" w:type="dxa"/>
          <w:left w:w="28" w:type="dxa"/>
          <w:bottom w:w="28" w:type="dxa"/>
          <w:right w:w="28" w:type="dxa"/>
        </w:tblCellMar>
      </w:tblPr>
      <w:tblGrid>
        <w:gridCol w:w="488"/>
        <w:gridCol w:w="429"/>
        <w:gridCol w:w="433"/>
        <w:gridCol w:w="428"/>
        <w:gridCol w:w="1341"/>
        <w:gridCol w:w="210"/>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979"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United States</w:t>
            </w:r>
          </w:p>
        </w:tc>
        <w:tc>
          <w:tcPr>
            <w:tcW w:w="42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4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2,789 </w:t>
            </w:r>
          </w:p>
        </w:tc>
        <w:tc>
          <w:tcPr>
            <w:tcW w:w="210"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2,353 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878 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1,754 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7,774 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International</w:t>
            </w:r>
          </w:p>
        </w:tc>
        <w:tc>
          <w:tcPr>
            <w:tcW w:w="176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1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662 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687 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428"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4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2,790 </w:t>
            </w:r>
          </w:p>
        </w:tc>
        <w:tc>
          <w:tcPr>
            <w:tcW w:w="210"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2,353 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1,540 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8,461 </w:t>
            </w:r>
          </w:p>
        </w:tc>
        <w:tc>
          <w:tcPr>
            <w:tcW w:w="10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Avenir LT Pro 45 Book;sans-serif" w:hAnsi="Avenir LT Pro 45 Book;sans-serif"/>
          <w:b w:val="false"/>
          <w:color w:val="000000"/>
          <w:sz w:val="18"/>
        </w:rPr>
        <w:t xml:space="preserve">Revenues by customer-type, contract-type and geographic location exclude lease income of $10 million and $27 million 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 xml:space="preserve">and six months ended July 3, 2026, respectively, and $20 million and $37 million for the </w:t>
      </w:r>
      <w:r>
        <w:rPr>
          <w:rFonts w:ascii="Avenir LT Pro 45 Book;sans-serif" w:hAnsi="Avenir LT Pro 45 Book;sans-serif"/>
          <w:b w:val="false"/>
          <w:color w:val="000000"/>
          <w:sz w:val="20"/>
        </w:rPr>
        <w:t xml:space="preserve">three and </w:t>
      </w:r>
      <w:r>
        <w:rPr>
          <w:rFonts w:ascii="Avenir LT Pro 45 Book;sans-serif" w:hAnsi="Avenir LT Pro 45 Book;sans-serif"/>
          <w:b w:val="false"/>
          <w:color w:val="000000"/>
          <w:sz w:val="18"/>
        </w:rPr>
        <w:t>six months ended July 4, 2025, respectively.</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CONTRACT ASSETS AND LIABILITIES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0410"/>
                <wp:effectExtent l="0" t="0" r="0" b="0"/>
                <wp:wrapNone/>
                <wp:docPr id="15"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Contract assets consist of unbilled receivables, which is the amount of revenue recognized that exceeds the amount billed to the customer. Unbilled receivables exclude amounts billable where the right to consideration is unconditional and not billed. Contract liabilities consist of deferred revenue, which represents cash advances received prior to performance for programs and billings in excess of revenue recognized.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components of contract assets and contract liabilities consisted of the following:</w:t>
      </w:r>
    </w:p>
    <w:tbl>
      <w:tblPr>
        <w:tblW w:w="9700" w:type="dxa"/>
        <w:jc w:val="left"/>
        <w:tblInd w:w="0" w:type="dxa"/>
        <w:tblLayout w:type="fixed"/>
        <w:tblCellMar>
          <w:top w:w="28" w:type="dxa"/>
          <w:left w:w="28" w:type="dxa"/>
          <w:bottom w:w="28" w:type="dxa"/>
          <w:right w:w="28" w:type="dxa"/>
        </w:tblCellMar>
      </w:tblPr>
      <w:tblGrid>
        <w:gridCol w:w="1101"/>
        <w:gridCol w:w="968"/>
        <w:gridCol w:w="976"/>
        <w:gridCol w:w="109"/>
        <w:gridCol w:w="109"/>
        <w:gridCol w:w="109"/>
        <w:gridCol w:w="1243"/>
        <w:gridCol w:w="1243"/>
        <w:gridCol w:w="1248"/>
        <w:gridCol w:w="109"/>
        <w:gridCol w:w="109"/>
        <w:gridCol w:w="109"/>
        <w:gridCol w:w="226"/>
        <w:gridCol w:w="526"/>
        <w:gridCol w:w="109"/>
        <w:gridCol w:w="109"/>
        <w:gridCol w:w="109"/>
        <w:gridCol w:w="109"/>
        <w:gridCol w:w="269"/>
        <w:gridCol w:w="627"/>
        <w:gridCol w:w="183"/>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Balance sheet line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w:t>
              <w:br/>
              <w:t>2026</w:t>
            </w:r>
          </w:p>
        </w:tc>
      </w:tr>
      <w:tr>
        <w:trPr/>
        <w:tc>
          <w:tcPr>
            <w:tcW w:w="3045"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Contract assets - current: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Unbilled receivables</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 net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918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7"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894 </w:t>
            </w:r>
          </w:p>
        </w:tc>
        <w:tc>
          <w:tcPr>
            <w:tcW w:w="18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Contract liabilities - current: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40"/>
              <w:jc w:val="left"/>
              <w:rPr/>
            </w:pPr>
            <w:r>
              <w:rPr>
                <w:rFonts w:ascii="Avenir LT Pro 35 Light;sans-serif" w:hAnsi="Avenir LT Pro 35 Light;sans-serif"/>
                <w:b w:val="false"/>
                <w:color w:val="000000"/>
                <w:sz w:val="18"/>
              </w:rPr>
              <w:t>Deferred revenue</w:t>
            </w:r>
            <w:r>
              <w:rPr>
                <w:rFonts w:ascii="Avenir LT Pro 35 Light;sans-serif" w:hAnsi="Avenir LT Pro 35 Light;sans-serif"/>
                <w:b w:val="false"/>
                <w:color w:val="000000"/>
                <w:sz w:val="12"/>
              </w:rPr>
              <w:t>(1)</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7"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348 </w:t>
            </w:r>
          </w:p>
        </w:tc>
        <w:tc>
          <w:tcPr>
            <w:tcW w:w="18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Contract liabilities - non-current: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40"/>
              <w:jc w:val="left"/>
              <w:rPr/>
            </w:pPr>
            <w:r>
              <w:rPr>
                <w:rFonts w:ascii="Avenir LT Pro 35 Light;sans-serif" w:hAnsi="Avenir LT Pro 35 Light;sans-serif"/>
                <w:b w:val="false"/>
                <w:color w:val="000000"/>
                <w:sz w:val="18"/>
              </w:rPr>
              <w:t>Deferred revenue</w:t>
            </w:r>
            <w:r>
              <w:rPr>
                <w:rFonts w:ascii="Avenir LT Pro 35 Light;sans-serif" w:hAnsi="Avenir LT Pro 35 Light;sans-serif"/>
                <w:b w:val="false"/>
                <w:color w:val="000000"/>
                <w:sz w:val="12"/>
              </w:rPr>
              <w:t>(1)</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liabilities</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7"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83"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jc w:val="left"/>
        <w:rPr/>
      </w:pPr>
      <w:r>
        <w:rPr>
          <w:rFonts w:ascii="Avenir LT Pro 45 Book;sans-serif" w:hAnsi="Avenir LT Pro 45 Book;sans-serif"/>
          <w:b w:val="false"/>
          <w:color w:val="000000"/>
          <w:sz w:val="9"/>
        </w:rPr>
        <w:t xml:space="preserve">(1) </w:t>
      </w:r>
      <w:r>
        <w:rPr>
          <w:rFonts w:ascii="Avenir LT Pro 45 Book;sans-serif" w:hAnsi="Avenir LT Pro 45 Book;sans-serif"/>
          <w:b w:val="false"/>
          <w:color w:val="000000"/>
          <w:sz w:val="14"/>
        </w:rPr>
        <w:t>Certain contracts record revenue net of cost of revenues, and therefore, the respective deferred revenue balance will not fully convert to revenue.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unbilled receivables was primarily due to the acquisition of Entrust (see "Note 3–Acquisitions and Divestitures") and revenue recognized on certain contracts, partially offset by the timing of billings on certain contracts.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For the </w:t>
      </w:r>
      <w:r>
        <w:rPr>
          <w:rFonts w:ascii="Avenir LT Pro 45 Book;sans-serif" w:hAnsi="Avenir LT Pro 45 Book;sans-serif"/>
          <w:b w:val="false"/>
          <w:color w:val="000000"/>
          <w:sz w:val="20"/>
        </w:rPr>
        <w:t>three and</w:t>
      </w:r>
      <w:r>
        <w:rPr>
          <w:color w:val="000000"/>
        </w:rPr>
        <w:t xml:space="preserve"> </w:t>
      </w:r>
      <w:r>
        <w:rPr>
          <w:rFonts w:ascii="Avenir LT Pro 45 Book;sans-serif" w:hAnsi="Avenir LT Pro 45 Book;sans-serif"/>
          <w:b w:val="false"/>
          <w:color w:val="000000"/>
          <w:sz w:val="18"/>
        </w:rPr>
        <w:t xml:space="preserve">six months ended July 3, 2026, $20 million and $76 million, respectively, of revenue recognized was included as a contract liability at January 2, 2026. For the </w:t>
      </w:r>
      <w:r>
        <w:rPr>
          <w:rFonts w:ascii="Avenir LT Pro 45 Book;sans-serif" w:hAnsi="Avenir LT Pro 45 Book;sans-serif"/>
          <w:b w:val="false"/>
          <w:color w:val="000000"/>
          <w:sz w:val="20"/>
        </w:rPr>
        <w:t>three and</w:t>
      </w:r>
      <w:r>
        <w:rPr>
          <w:color w:val="000000"/>
        </w:rPr>
        <w:t xml:space="preserve"> </w:t>
      </w:r>
      <w:r>
        <w:rPr>
          <w:rFonts w:ascii="Avenir LT Pro 45 Book;sans-serif" w:hAnsi="Avenir LT Pro 45 Book;sans-serif"/>
          <w:b w:val="false"/>
          <w:color w:val="000000"/>
          <w:sz w:val="18"/>
        </w:rPr>
        <w:t>six months ended July 4, 2025, $62 million and $199 million, respectively, of revenue recognized was included as a contract liability at January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Avenir LT Pro 95 Black;sans-serif" w:hAnsi="Avenir LT Pro 95 Black;sans-serif"/>
          <w:b/>
          <w:color w:val="B15BAC"/>
          <w:sz w:val="22"/>
        </w:rPr>
      </w:pPr>
      <w:r>
        <w:rPr>
          <w:rFonts w:ascii="Avenir LT Pro 95 Black;sans-serif" w:hAnsi="Avenir LT Pro 95 Black;sans-serif"/>
          <w:b/>
          <w:color w:val="B15BAC"/>
          <w:sz w:val="22"/>
        </w:rPr>
        <w:t xml:space="preserve">Note 3–Acquisitions and Divestitures </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ACQUISITIONS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Entrust Acquisition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March 27, 2026, ("Acquisition Date"), Leidos, Inc. completed the acquisition of KENE Holdings, L.P. and KENE Parent Inc. ("Entrust") to acquire all of the shares of Entrust for a purchase price of $2.4 billion in cash, subject to customary adjustments for Entrust’s cash, debt, transaction expenses and net working capital. Entrust is an engineering firm that provides infrastructure design, grid modernization and program management services primarily to electric, gas and pipeline utilities. This acquisition enhances existing energy infrastructure capabilities within our Homeland reportable segment.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preliminary fair values of the assets acquired and liabilities assumed at the Acquisition Date were as follows (in millions):</w:t>
      </w:r>
    </w:p>
    <w:tbl>
      <w:tblPr>
        <w:tblW w:w="5177" w:type="dxa"/>
        <w:jc w:val="left"/>
        <w:tblInd w:w="0" w:type="dxa"/>
        <w:tblLayout w:type="fixed"/>
        <w:tblCellMar>
          <w:top w:w="28" w:type="dxa"/>
          <w:left w:w="28" w:type="dxa"/>
          <w:bottom w:w="28" w:type="dxa"/>
          <w:right w:w="28" w:type="dxa"/>
        </w:tblCellMar>
      </w:tblPr>
      <w:tblGrid>
        <w:gridCol w:w="1359"/>
        <w:gridCol w:w="1193"/>
        <w:gridCol w:w="1197"/>
        <w:gridCol w:w="109"/>
        <w:gridCol w:w="109"/>
        <w:gridCol w:w="109"/>
        <w:gridCol w:w="226"/>
        <w:gridCol w:w="72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w:t>
            </w:r>
          </w:p>
        </w:tc>
        <w:tc>
          <w:tcPr>
            <w:tcW w:w="72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47 </w:t>
            </w:r>
          </w:p>
        </w:tc>
        <w:tc>
          <w:tcPr>
            <w:tcW w:w="15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162 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18 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Property, plant and equipment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12 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Intangible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664 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right-of-use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22 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Deferred tax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(75)</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(75)</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(21)</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(18)</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identifiable net assets acquired</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736 </w:t>
            </w:r>
          </w:p>
        </w:tc>
        <w:tc>
          <w:tcPr>
            <w:tcW w:w="15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Goodwill</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1,652 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Purchase price</w:t>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2,388</w:t>
            </w:r>
            <w:r>
              <w:rPr>
                <w:color w:val="000000"/>
              </w:rPr>
              <w:t> </w:t>
            </w:r>
          </w:p>
        </w:tc>
        <w:tc>
          <w:tcPr>
            <w:tcW w:w="15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Due to the timing and complexity of the acquisition, the assets acquired and liabilities assumed were recorded at their preliminary estimated fair values. As of July 3, 2026, we had not finalized the determination of fair values for substantially all of the acquired assets and liabilities assumed. The preliminary purchase price allocation is subject to change as we complete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6"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determination of the final working capital and the fair value of the acquired assets and liabilities assumed, the impact of which could be material.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goodwill represents intellectual capital and the acquired assembled workforce, neither of which qualify for recognition as a separate intangible asset. Of the preliminary goodwill recognized, approximately $119 million is tax deductible.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acquired customer relationships and backlog intangible assets are amortized over their respective estimated useful lives in proportion to the pattern of economic benefit based on expected future discounted cash flows.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the preliminary fair value of intangible assets acquired at the Acquisition Date and the related weighted average amortization period:</w:t>
      </w:r>
    </w:p>
    <w:tbl>
      <w:tblPr>
        <w:tblW w:w="6970" w:type="dxa"/>
        <w:jc w:val="left"/>
        <w:tblInd w:w="0" w:type="dxa"/>
        <w:tblLayout w:type="fixed"/>
        <w:tblCellMar>
          <w:top w:w="28" w:type="dxa"/>
          <w:left w:w="28" w:type="dxa"/>
          <w:bottom w:w="28" w:type="dxa"/>
          <w:right w:w="28" w:type="dxa"/>
        </w:tblCellMar>
      </w:tblPr>
      <w:tblGrid>
        <w:gridCol w:w="794"/>
        <w:gridCol w:w="696"/>
        <w:gridCol w:w="700"/>
        <w:gridCol w:w="1084"/>
        <w:gridCol w:w="1084"/>
        <w:gridCol w:w="1086"/>
        <w:gridCol w:w="109"/>
        <w:gridCol w:w="109"/>
        <w:gridCol w:w="109"/>
        <w:gridCol w:w="299"/>
        <w:gridCol w:w="696"/>
        <w:gridCol w:w="20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 xml:space="preserve">Weighted Amortization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Fair Value</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r>
      <w:tr>
        <w:trPr/>
        <w:tc>
          <w:tcPr>
            <w:tcW w:w="21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Customer relationships</w:t>
            </w:r>
          </w:p>
        </w:tc>
        <w:tc>
          <w:tcPr>
            <w:tcW w:w="325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10</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w:t>
            </w:r>
          </w:p>
        </w:tc>
        <w:tc>
          <w:tcPr>
            <w:tcW w:w="69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621 </w:t>
            </w:r>
          </w:p>
        </w:tc>
        <w:tc>
          <w:tcPr>
            <w:tcW w:w="20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Backlog</w:t>
            </w:r>
          </w:p>
        </w:tc>
        <w:tc>
          <w:tcPr>
            <w:tcW w:w="325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2</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shd w:fill="FFFFFF" w:val="clear"/>
              </w:rPr>
            </w:pPr>
            <w:r>
              <w:rPr>
                <w:rFonts w:ascii="Avenir LT Pro 35 Light;sans-serif" w:hAnsi="Avenir LT Pro 35 Light;sans-serif"/>
                <w:b w:val="false"/>
                <w:color w:val="000000"/>
                <w:sz w:val="18"/>
                <w:shd w:fill="FFFFFF" w:val="clear"/>
              </w:rPr>
              <w:t>43 </w:t>
            </w:r>
          </w:p>
        </w:tc>
        <w:tc>
          <w:tcPr>
            <w:tcW w:w="20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3254"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96"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664</w:t>
            </w:r>
            <w:r>
              <w:rPr>
                <w:color w:val="000000"/>
              </w:rPr>
              <w:t> </w:t>
            </w:r>
          </w:p>
        </w:tc>
        <w:tc>
          <w:tcPr>
            <w:tcW w:w="204"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Avenir LT Pro 45 Book;sans-serif" w:hAnsi="Avenir LT Pro 45 Book;sans-serif"/>
          <w:b w:val="false"/>
          <w:color w:val="000000"/>
          <w:sz w:val="18"/>
        </w:rPr>
        <w:t xml:space="preserve">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3, 2026</w:t>
      </w:r>
      <w:r>
        <w:rPr>
          <w:rFonts w:ascii="Avenir LT Pro 45 Book;sans-serif" w:hAnsi="Avenir LT Pro 45 Book;sans-serif"/>
          <w:b w:val="false"/>
          <w:color w:val="000000"/>
          <w:sz w:val="18"/>
          <w:shd w:fill="FFFFFF" w:val="clear"/>
        </w:rPr>
        <w:t>, $141 million and $152 million, res</w:t>
      </w:r>
      <w:r>
        <w:rPr>
          <w:rFonts w:ascii="Avenir LT Pro 45 Book;sans-serif" w:hAnsi="Avenir LT Pro 45 Book;sans-serif"/>
          <w:b w:val="false"/>
          <w:color w:val="000000"/>
          <w:sz w:val="18"/>
        </w:rPr>
        <w:t>pectively, of revenues related to Entrust were recognized within the Homeland reportable segment.</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Pro Forma Financial Information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pro forma financial information presents consolidated results of operations as if the acquisition of Entrust had occurred on January 4, 2025. The pro forma financial information was prepared based on historical financial information and has been adjusted to give effect to the events that are directly attributable to the acquisition of Entrust and factually supportable. These adjustments include amortization and interest expense that are directly attributable to the acquisition.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pro forma results below do not reflect future events that have occurred or may occur after the acquisition, including anticipated synergies or other expected benefits that may be realized from the acquisition. The pro forma information is not intended to reflect the actual results of operations that would have occurred if the acquisition had been completed on January 4, 2025, nor is it intended to be an indication of future operating results.</w:t>
      </w:r>
    </w:p>
    <w:tbl>
      <w:tblPr>
        <w:tblW w:w="10205" w:type="dxa"/>
        <w:jc w:val="left"/>
        <w:tblInd w:w="0" w:type="dxa"/>
        <w:tblLayout w:type="fixed"/>
        <w:tblCellMar>
          <w:top w:w="28" w:type="dxa"/>
          <w:left w:w="28" w:type="dxa"/>
          <w:bottom w:w="28" w:type="dxa"/>
          <w:right w:w="28" w:type="dxa"/>
        </w:tblCellMar>
      </w:tblPr>
      <w:tblGrid>
        <w:gridCol w:w="1847"/>
        <w:gridCol w:w="1570"/>
        <w:gridCol w:w="1566"/>
        <w:gridCol w:w="226"/>
        <w:gridCol w:w="721"/>
        <w:gridCol w:w="109"/>
        <w:gridCol w:w="109"/>
        <w:gridCol w:w="109"/>
        <w:gridCol w:w="109"/>
        <w:gridCol w:w="226"/>
        <w:gridCol w:w="706"/>
        <w:gridCol w:w="109"/>
        <w:gridCol w:w="109"/>
        <w:gridCol w:w="109"/>
        <w:gridCol w:w="109"/>
        <w:gridCol w:w="226"/>
        <w:gridCol w:w="721"/>
        <w:gridCol w:w="109"/>
        <w:gridCol w:w="109"/>
        <w:gridCol w:w="109"/>
        <w:gridCol w:w="109"/>
        <w:gridCol w:w="226"/>
        <w:gridCol w:w="706"/>
        <w:gridCol w:w="156"/>
      </w:tblGrid>
      <w:tr>
        <w:trPr/>
        <w:tc>
          <w:tcPr>
            <w:tcW w:w="184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4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 except per share amounts)</w:t>
            </w:r>
          </w:p>
        </w:tc>
        <w:tc>
          <w:tcPr>
            <w:tcW w:w="105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498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shd w:fill="F4E8F3" w:val="clear"/>
              </w:rPr>
            </w:pPr>
            <w:r>
              <w:rPr>
                <w:rFonts w:ascii="Avenir LT Pro 95 Black;sans-serif" w:hAnsi="Avenir LT Pro 95 Black;sans-serif"/>
                <w:b/>
                <w:color w:val="000000"/>
                <w:sz w:val="18"/>
                <w:shd w:fill="F4E8F3" w:val="clear"/>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shd w:fill="F4E8F3" w:val="clear"/>
              </w:rPr>
              <w:t>4,558</w:t>
            </w:r>
            <w:r>
              <w:rPr>
                <w:color w:val="000000"/>
                <w:shd w:fill="F4E8F3" w:val="clear"/>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4,394 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shd w:fill="F4E8F3" w:val="clear"/>
              </w:rPr>
            </w:pPr>
            <w:r>
              <w:rPr>
                <w:rFonts w:ascii="Avenir LT Pro 95 Black;sans-serif" w:hAnsi="Avenir LT Pro 95 Black;sans-serif"/>
                <w:b/>
                <w:color w:val="000000"/>
                <w:sz w:val="18"/>
                <w:shd w:fill="F4E8F3" w:val="clear"/>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shd w:fill="F4E8F3" w:val="clear"/>
              </w:rPr>
              <w:t>9,086</w:t>
            </w:r>
            <w:r>
              <w:rPr>
                <w:color w:val="000000"/>
                <w:shd w:fill="F4E8F3" w:val="clear"/>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8,772 </w:t>
            </w:r>
          </w:p>
        </w:tc>
        <w:tc>
          <w:tcPr>
            <w:tcW w:w="156"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355</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390 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697</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730 </w:t>
            </w:r>
          </w:p>
        </w:tc>
        <w:tc>
          <w:tcPr>
            <w:tcW w:w="15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353</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388 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726 </w:t>
            </w:r>
          </w:p>
        </w:tc>
        <w:tc>
          <w:tcPr>
            <w:tcW w:w="15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Earnings per share:</w:t>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Basic</w:t>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5.46</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5.63 </w:t>
            </w:r>
          </w:p>
        </w:tc>
        <w:tc>
          <w:tcPr>
            <w:tcW w:w="15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w:t>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2.80</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2.98 </w:t>
            </w:r>
          </w:p>
        </w:tc>
        <w:tc>
          <w:tcPr>
            <w:tcW w:w="109"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5.41</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5.59 </w:t>
            </w:r>
          </w:p>
        </w:tc>
        <w:tc>
          <w:tcPr>
            <w:tcW w:w="156"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pro forma financial information above includes the following nonrecurring significant adjustment made to account for certain costs incurred as if the acquisition had been completed on January 4, 2025:</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Acquisition-related costs of $1 million and $30 million for the three and six months ended July 3, 2026, respectively, were excluded from the pro forma financial information for fiscal 2026 and were included in the pro forma financial information for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0410"/>
                <wp:effectExtent l="0" t="0" r="0" b="0"/>
                <wp:wrapNone/>
                <wp:docPr id="17"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Kudu Dynamics Acquisition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May 23, 2025 (the "Purchase Date"), we completed the acquisition of Savanna Industries, Inc. ("Kudu Dynamics") for purchase consideration of $293 million, net of $29 million of cash acquired. The final goodwill recognized of $231 million represents intellectual capital and the acquired assembled workforce, neither of which qualify for recognition as a separate intangible asset. All of the goodwill recognized is tax deductible.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the final fair value of intangible assets acquired at the Purchase Date and the related weighted average amortization period:</w:t>
      </w:r>
    </w:p>
    <w:tbl>
      <w:tblPr>
        <w:tblW w:w="5816" w:type="dxa"/>
        <w:jc w:val="left"/>
        <w:tblInd w:w="0" w:type="dxa"/>
        <w:tblLayout w:type="fixed"/>
        <w:tblCellMar>
          <w:top w:w="28" w:type="dxa"/>
          <w:left w:w="28" w:type="dxa"/>
          <w:bottom w:w="28" w:type="dxa"/>
          <w:right w:w="28" w:type="dxa"/>
        </w:tblCellMar>
      </w:tblPr>
      <w:tblGrid>
        <w:gridCol w:w="374"/>
        <w:gridCol w:w="330"/>
        <w:gridCol w:w="331"/>
        <w:gridCol w:w="1084"/>
        <w:gridCol w:w="1084"/>
        <w:gridCol w:w="1086"/>
        <w:gridCol w:w="109"/>
        <w:gridCol w:w="109"/>
        <w:gridCol w:w="109"/>
        <w:gridCol w:w="345"/>
        <w:gridCol w:w="620"/>
        <w:gridCol w:w="235"/>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 xml:space="preserve">Weighted Amortization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Fair Value</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r>
      <w:tr>
        <w:trPr/>
        <w:tc>
          <w:tcPr>
            <w:tcW w:w="1035"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Programs </w:t>
            </w:r>
          </w:p>
        </w:tc>
        <w:tc>
          <w:tcPr>
            <w:tcW w:w="325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0"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60 </w:t>
            </w:r>
          </w:p>
        </w:tc>
        <w:tc>
          <w:tcPr>
            <w:tcW w:w="235"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Backlog</w:t>
            </w:r>
          </w:p>
        </w:tc>
        <w:tc>
          <w:tcPr>
            <w:tcW w:w="325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23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3254"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20"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72</w:t>
            </w:r>
            <w:r>
              <w:rPr>
                <w:color w:val="000000"/>
              </w:rPr>
              <w:t> </w:t>
            </w:r>
          </w:p>
        </w:tc>
        <w:tc>
          <w:tcPr>
            <w:tcW w:w="235" w:type="dxa"/>
            <w:tcBorders>
              <w:top w:val="single" w:sz="8"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Avenir LT Pro 45 Book;sans-serif" w:hAnsi="Avenir LT Pro 45 Book;sans-serif"/>
          <w:b w:val="false"/>
          <w:color w:val="000000"/>
          <w:sz w:val="18"/>
        </w:rPr>
        <w:t xml:space="preserve">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3, 2026, $17 million and $39 million, respectively, of revenues related to Kudu Dynamics were recognized within the Intelligence &amp; Digital reportable segment.</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Acquisition, Integration and Restructuring Costs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expenses were incurred related to the Company's acquisitions, integration and restructuring activities:</w:t>
      </w:r>
    </w:p>
    <w:tbl>
      <w:tblPr>
        <w:tblW w:w="9425" w:type="dxa"/>
        <w:jc w:val="left"/>
        <w:tblInd w:w="0" w:type="dxa"/>
        <w:tblLayout w:type="fixed"/>
        <w:tblCellMar>
          <w:top w:w="28" w:type="dxa"/>
          <w:left w:w="28" w:type="dxa"/>
          <w:bottom w:w="28" w:type="dxa"/>
          <w:right w:w="28" w:type="dxa"/>
        </w:tblCellMar>
      </w:tblPr>
      <w:tblGrid>
        <w:gridCol w:w="1767"/>
        <w:gridCol w:w="1555"/>
        <w:gridCol w:w="1568"/>
        <w:gridCol w:w="277"/>
        <w:gridCol w:w="498"/>
        <w:gridCol w:w="133"/>
        <w:gridCol w:w="133"/>
        <w:gridCol w:w="133"/>
        <w:gridCol w:w="133"/>
        <w:gridCol w:w="277"/>
        <w:gridCol w:w="498"/>
        <w:gridCol w:w="133"/>
        <w:gridCol w:w="109"/>
        <w:gridCol w:w="109"/>
        <w:gridCol w:w="109"/>
        <w:gridCol w:w="243"/>
        <w:gridCol w:w="437"/>
        <w:gridCol w:w="117"/>
        <w:gridCol w:w="117"/>
        <w:gridCol w:w="117"/>
        <w:gridCol w:w="117"/>
        <w:gridCol w:w="243"/>
        <w:gridCol w:w="437"/>
        <w:gridCol w:w="165"/>
      </w:tblGrid>
      <w:tr>
        <w:trPr/>
        <w:tc>
          <w:tcPr>
            <w:tcW w:w="176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908"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99"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51"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48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costs</w:t>
            </w:r>
          </w:p>
        </w:tc>
        <w:tc>
          <w:tcPr>
            <w:tcW w:w="277"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shd w:fill="F4E8F3" w:val="clear"/>
              </w:rPr>
            </w:pPr>
            <w:r>
              <w:rPr>
                <w:rFonts w:ascii="Avenir LT Pro 95 Black;sans-serif" w:hAnsi="Avenir LT Pro 95 Black;sans-serif"/>
                <w:b/>
                <w:color w:val="000000"/>
                <w:sz w:val="18"/>
                <w:shd w:fill="F4E8F3" w:val="clear"/>
              </w:rPr>
              <w:t>$</w:t>
            </w:r>
          </w:p>
        </w:tc>
        <w:tc>
          <w:tcPr>
            <w:tcW w:w="498"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shd w:fill="F4E8F3" w:val="clear"/>
              </w:rPr>
            </w:pPr>
            <w:r>
              <w:rPr>
                <w:color w:val="000000"/>
                <w:shd w:fill="F4E8F3" w:val="clear"/>
              </w:rPr>
              <w:t>— </w:t>
            </w:r>
          </w:p>
        </w:tc>
        <w:tc>
          <w:tcPr>
            <w:tcW w:w="133"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49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shd w:fill="F4E8F3" w:val="clear"/>
              </w:rPr>
            </w:pPr>
            <w:r>
              <w:rPr>
                <w:rFonts w:ascii="Avenir LT Pro 95 Black;sans-serif" w:hAnsi="Avenir LT Pro 95 Black;sans-serif"/>
                <w:b/>
                <w:color w:val="000000"/>
                <w:sz w:val="18"/>
                <w:shd w:fill="F4E8F3" w:val="clear"/>
              </w:rPr>
              <w:t>$</w:t>
            </w:r>
          </w:p>
        </w:tc>
        <w:tc>
          <w:tcPr>
            <w:tcW w:w="437"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shd w:fill="F4E8F3" w:val="clear"/>
              </w:rPr>
              <w:t>29</w:t>
            </w:r>
            <w:r>
              <w:rPr>
                <w:color w:val="000000"/>
                <w:shd w:fill="F4E8F3" w:val="clear"/>
              </w:rPr>
              <w:t> </w:t>
            </w:r>
          </w:p>
        </w:tc>
        <w:tc>
          <w:tcPr>
            <w:tcW w:w="117"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43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Integration costs</w:t>
            </w:r>
          </w:p>
        </w:tc>
        <w:tc>
          <w:tcPr>
            <w:tcW w:w="775"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w:t>
            </w:r>
            <w:r>
              <w:rPr>
                <w:color w:val="000000"/>
              </w:rPr>
              <w:t> </w:t>
            </w:r>
          </w:p>
        </w:tc>
        <w:tc>
          <w:tcPr>
            <w:tcW w:w="133"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17"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6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Restructuring costs</w:t>
            </w:r>
          </w:p>
        </w:tc>
        <w:tc>
          <w:tcPr>
            <w:tcW w:w="775"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27</w:t>
            </w:r>
            <w:r>
              <w:rPr>
                <w:color w:val="000000"/>
              </w:rPr>
              <w:t> </w:t>
            </w:r>
          </w:p>
        </w:tc>
        <w:tc>
          <w:tcPr>
            <w:tcW w:w="133"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37</w:t>
            </w:r>
            <w:r>
              <w:rPr>
                <w:color w:val="000000"/>
              </w:rPr>
              <w:t> </w:t>
            </w:r>
          </w:p>
        </w:tc>
        <w:tc>
          <w:tcPr>
            <w:tcW w:w="117"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6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acquisition, integration and restructuring costs</w:t>
            </w:r>
          </w:p>
        </w:tc>
        <w:tc>
          <w:tcPr>
            <w:tcW w:w="27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49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30</w:t>
            </w:r>
            <w:r>
              <w:rPr>
                <w:color w:val="000000"/>
              </w:rPr>
              <w:t> </w:t>
            </w:r>
          </w:p>
        </w:tc>
        <w:tc>
          <w:tcPr>
            <w:tcW w:w="13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w:t>
            </w:r>
          </w:p>
        </w:tc>
        <w:tc>
          <w:tcPr>
            <w:tcW w:w="498"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2 </w:t>
            </w:r>
          </w:p>
        </w:tc>
        <w:tc>
          <w:tcPr>
            <w:tcW w:w="13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43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70</w:t>
            </w:r>
            <w:r>
              <w:rPr>
                <w:color w:val="000000"/>
              </w:rPr>
              <w:t> </w:t>
            </w:r>
          </w:p>
        </w:tc>
        <w:tc>
          <w:tcPr>
            <w:tcW w:w="11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w:t>
            </w:r>
          </w:p>
        </w:tc>
        <w:tc>
          <w:tcPr>
            <w:tcW w:w="43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6 </w:t>
            </w:r>
          </w:p>
        </w:tc>
        <w:tc>
          <w:tcPr>
            <w:tcW w:w="165"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These costs were recorded within the Homeland, Health and Intelligence &amp; Digital reportable segments and Corporate, and presented in "Acquisition, integration and restructuring costs," "Cost of revenues," "Selling, general and administrative expenses," and "Interest expense, net" on the condensed consolidated statements of operations.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DIVESTITURES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April 14, 2026, Leidos, Inc. entered into a Contribution and Equity Purchase Agreement with certain affiliates of Altaris, LLC to form a new joint venture. The transaction will involve divesting our Security Enterprise Solutions and Industrial Automation businesses ("SES Business"), which will be combined with Analogic Corporation, a portfolio company of Altaris, LLC, in a newly formed joint venture. The joint venture will primarily focus on security product innovation, research and development, manufacturing, screening technologies, artificial Intelligence and 3D imaging solutions. The divestiture of the SES Business is expected to be completed during the second half of fiscal 2026. Upon close of the transaction, Leidos will retain a 41.5% non-controlling equity interest and Altaris will retain a 58.5% controlling interest in the new joint venture.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Company has presented the associated assets and liabilities of the SES Business as held for sale in the Company's condensed consolidated balance sheet as of July 3, 2026. The major classes of assets and liabilities classified as held for sale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8"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tbl>
      <w:tblPr>
        <w:tblW w:w="4982" w:type="dxa"/>
        <w:jc w:val="left"/>
        <w:tblInd w:w="0" w:type="dxa"/>
        <w:tblLayout w:type="fixed"/>
        <w:tblCellMar>
          <w:top w:w="28" w:type="dxa"/>
          <w:left w:w="28" w:type="dxa"/>
          <w:bottom w:w="28" w:type="dxa"/>
          <w:right w:w="28" w:type="dxa"/>
        </w:tblCellMar>
      </w:tblPr>
      <w:tblGrid>
        <w:gridCol w:w="1355"/>
        <w:gridCol w:w="1192"/>
        <w:gridCol w:w="1202"/>
        <w:gridCol w:w="109"/>
        <w:gridCol w:w="109"/>
        <w:gridCol w:w="109"/>
        <w:gridCol w:w="226"/>
        <w:gridCol w:w="526"/>
        <w:gridCol w:w="154"/>
      </w:tblGrid>
      <w:tr>
        <w:trPr/>
        <w:tc>
          <w:tcPr>
            <w:tcW w:w="135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r>
      <w:tr>
        <w:trPr/>
        <w:tc>
          <w:tcPr>
            <w:tcW w:w="374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41 </w:t>
            </w:r>
          </w:p>
        </w:tc>
        <w:tc>
          <w:tcPr>
            <w:tcW w:w="154"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94 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Inventory,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250 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Property, plant and equipment,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36 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Intangible assets,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112 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Goodwill</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337 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right-of-use assets, net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 held for sale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935</w:t>
            </w:r>
            <w:r>
              <w:rPr>
                <w:color w:val="000000"/>
              </w:rPr>
              <w:t> </w:t>
            </w:r>
          </w:p>
        </w:tc>
        <w:tc>
          <w:tcPr>
            <w:tcW w:w="154"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24 </w:t>
            </w:r>
          </w:p>
        </w:tc>
        <w:tc>
          <w:tcPr>
            <w:tcW w:w="154"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 held for sale</w:t>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163</w:t>
            </w:r>
            <w:r>
              <w:rPr>
                <w:color w:val="000000"/>
              </w:rPr>
              <w:t> </w:t>
            </w:r>
          </w:p>
        </w:tc>
        <w:tc>
          <w:tcPr>
            <w:tcW w:w="154"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Upon consummation of the transaction, Leidos will deconsolidate the SES Business and account for our 41.5% minority interest in the joint venture as an equity method investment. As the divestiture of the SES Business does not represent a material strategic shift in operations, the SES Business will not be presented as a discontinued operation.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the quarter ended July 3, 2026, we also reclassified $8 million of aircraft from "Property, plant and equipment, net" to "Assets held for sale" on the condensed consolidated balance sheets, following the execution of sale agreements for those aircraft. The sales are expected to be finalized during the second half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4–Goodwill and Intangible Assets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GOODWILL</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Beginning the first day of fiscal 2026, we completed a business realignment, which resulted in new reportable segments (see "Note 10–Business Segments").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Goodwill was allocated to reporting units within the new reportable segments based on a relative fair value approach.</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presents changes in the carrying amount of goodwill by reportable segment:</w:t>
      </w:r>
    </w:p>
    <w:tbl>
      <w:tblPr>
        <w:tblW w:w="10205" w:type="dxa"/>
        <w:jc w:val="left"/>
        <w:tblInd w:w="0" w:type="dxa"/>
        <w:tblLayout w:type="fixed"/>
        <w:tblCellMar>
          <w:top w:w="28" w:type="dxa"/>
          <w:left w:w="28" w:type="dxa"/>
          <w:bottom w:w="28" w:type="dxa"/>
          <w:right w:w="28" w:type="dxa"/>
        </w:tblCellMar>
      </w:tblPr>
      <w:tblGrid>
        <w:gridCol w:w="1107"/>
        <w:gridCol w:w="798"/>
        <w:gridCol w:w="804"/>
        <w:gridCol w:w="391"/>
        <w:gridCol w:w="1250"/>
        <w:gridCol w:w="190"/>
        <w:gridCol w:w="109"/>
        <w:gridCol w:w="109"/>
        <w:gridCol w:w="109"/>
        <w:gridCol w:w="226"/>
        <w:gridCol w:w="721"/>
        <w:gridCol w:w="109"/>
        <w:gridCol w:w="109"/>
        <w:gridCol w:w="109"/>
        <w:gridCol w:w="109"/>
        <w:gridCol w:w="244"/>
        <w:gridCol w:w="779"/>
        <w:gridCol w:w="118"/>
        <w:gridCol w:w="109"/>
        <w:gridCol w:w="109"/>
        <w:gridCol w:w="109"/>
        <w:gridCol w:w="226"/>
        <w:gridCol w:w="721"/>
        <w:gridCol w:w="109"/>
        <w:gridCol w:w="109"/>
        <w:gridCol w:w="109"/>
        <w:gridCol w:w="109"/>
        <w:gridCol w:w="226"/>
        <w:gridCol w:w="721"/>
        <w:gridCol w:w="157"/>
      </w:tblGrid>
      <w:tr>
        <w:trPr/>
        <w:tc>
          <w:tcPr>
            <w:tcW w:w="11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2709"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Goodwill at January 3, 2025</w:t>
            </w:r>
            <w:r>
              <w:rPr>
                <w:rFonts w:ascii="Avenir LT Pro 35 Light;sans-serif" w:hAnsi="Avenir LT Pro 35 Light;sans-serif"/>
                <w:b w:val="false"/>
                <w:color w:val="000000"/>
                <w:sz w:val="12"/>
              </w:rPr>
              <w:t>(1)</w:t>
            </w:r>
          </w:p>
        </w:tc>
        <w:tc>
          <w:tcPr>
            <w:tcW w:w="39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50"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2,007 </w:t>
            </w:r>
          </w:p>
        </w:tc>
        <w:tc>
          <w:tcPr>
            <w:tcW w:w="190"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1,336 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950 </w:t>
            </w:r>
          </w:p>
        </w:tc>
        <w:tc>
          <w:tcPr>
            <w:tcW w:w="118"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1,791 </w:t>
            </w:r>
          </w:p>
        </w:tc>
        <w:tc>
          <w:tcPr>
            <w:tcW w:w="10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6,084 </w:t>
            </w:r>
          </w:p>
        </w:tc>
        <w:tc>
          <w:tcPr>
            <w:tcW w:w="157"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of a business</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231 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231 </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Divestiture of a business</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Foreign currency translation adjustments</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Goodwill at January 2, 2026</w:t>
            </w:r>
            <w:r>
              <w:rPr>
                <w:rFonts w:ascii="Avenir LT Pro 35 Light;sans-serif" w:hAnsi="Avenir LT Pro 35 Light;sans-serif"/>
                <w:b w:val="false"/>
                <w:color w:val="000000"/>
                <w:sz w:val="12"/>
              </w:rPr>
              <w:t>(1)</w:t>
            </w:r>
          </w:p>
        </w:tc>
        <w:tc>
          <w:tcPr>
            <w:tcW w:w="1641"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2,238 </w:t>
            </w:r>
          </w:p>
        </w:tc>
        <w:tc>
          <w:tcPr>
            <w:tcW w:w="190"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1,336 </w:t>
            </w:r>
          </w:p>
        </w:tc>
        <w:tc>
          <w:tcPr>
            <w:tcW w:w="109"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977 </w:t>
            </w:r>
          </w:p>
        </w:tc>
        <w:tc>
          <w:tcPr>
            <w:tcW w:w="118"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1,791 </w:t>
            </w:r>
          </w:p>
        </w:tc>
        <w:tc>
          <w:tcPr>
            <w:tcW w:w="109"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6,342 </w:t>
            </w:r>
          </w:p>
        </w:tc>
        <w:tc>
          <w:tcPr>
            <w:tcW w:w="157"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of a business</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1,652 </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1,652 </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Foreign currency translation adjustments</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Transfers to assets held for sale</w:t>
            </w:r>
          </w:p>
        </w:tc>
        <w:tc>
          <w:tcPr>
            <w:tcW w:w="164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(337)</w:t>
            </w:r>
          </w:p>
        </w:tc>
        <w:tc>
          <w:tcPr>
            <w:tcW w:w="118"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(337)</w:t>
            </w:r>
          </w:p>
        </w:tc>
        <w:tc>
          <w:tcPr>
            <w:tcW w:w="157"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Goodwill at July 3, 2026</w:t>
            </w:r>
          </w:p>
        </w:tc>
        <w:tc>
          <w:tcPr>
            <w:tcW w:w="39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2,238</w:t>
            </w:r>
            <w:r>
              <w:rPr>
                <w:color w:val="000000"/>
              </w:rPr>
              <w:t> </w:t>
            </w:r>
          </w:p>
        </w:tc>
        <w:tc>
          <w:tcPr>
            <w:tcW w:w="19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1,336</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2,298</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1,791</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7,663</w:t>
            </w:r>
            <w:r>
              <w:rPr>
                <w:color w:val="000000"/>
              </w:rPr>
              <w:t> </w:t>
            </w:r>
          </w:p>
        </w:tc>
        <w:tc>
          <w:tcPr>
            <w:tcW w:w="15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jc w:val="left"/>
        <w:rPr/>
      </w:pPr>
      <w:r>
        <w:rPr>
          <w:rFonts w:ascii="Avenir LT Pro 45 Book;sans-serif" w:hAnsi="Avenir LT Pro 45 Book;sans-serif"/>
          <w:b w:val="false"/>
          <w:color w:val="000000"/>
          <w:sz w:val="9"/>
        </w:rPr>
        <w:t xml:space="preserve">(1) </w:t>
      </w:r>
      <w:r>
        <w:rPr>
          <w:rFonts w:ascii="Avenir LT Pro 45 Book;sans-serif" w:hAnsi="Avenir LT Pro 45 Book;sans-serif"/>
          <w:b w:val="false"/>
          <w:color w:val="000000"/>
          <w:sz w:val="14"/>
        </w:rPr>
        <w:t>Carrying amount includes accumulated impairment loss of $596 million within the Homeland segment, which is part of the SES Business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0410"/>
                <wp:effectExtent l="0" t="0" r="0" b="0"/>
                <wp:wrapNone/>
                <wp:docPr id="19"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evaluate qualitative factors that could cause us to consider whether the estimated fair value of each of our reporting units may be lower than the carrying value, including, but not limited to (i) macroeconomic conditions, (ii) industry and market considerations, (iii) our overall financial performance, including an analysis of our current and projected cash flows, revenues and earnings, (iv) a sustained decrease in share price and (v) other relevant entity-specific events including changes in management, strategy, partners or litigation.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conjunction with the change in reportable segments in fiscal 2026, the Company evaluated goodwill for impairment immediately before and after the change and determined that goodwill was not impaired.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the three and six months ended July 3, 2026, and July 4, 2025, there were no impairments to goodwill.</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INTANGIBLE ASSETS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487"/>
        <w:gridCol w:w="427"/>
        <w:gridCol w:w="433"/>
        <w:gridCol w:w="245"/>
        <w:gridCol w:w="782"/>
        <w:gridCol w:w="118"/>
        <w:gridCol w:w="109"/>
        <w:gridCol w:w="109"/>
        <w:gridCol w:w="109"/>
        <w:gridCol w:w="326"/>
        <w:gridCol w:w="1063"/>
        <w:gridCol w:w="157"/>
        <w:gridCol w:w="109"/>
        <w:gridCol w:w="109"/>
        <w:gridCol w:w="109"/>
        <w:gridCol w:w="273"/>
        <w:gridCol w:w="636"/>
        <w:gridCol w:w="132"/>
        <w:gridCol w:w="109"/>
        <w:gridCol w:w="109"/>
        <w:gridCol w:w="109"/>
        <w:gridCol w:w="241"/>
        <w:gridCol w:w="754"/>
        <w:gridCol w:w="116"/>
        <w:gridCol w:w="109"/>
        <w:gridCol w:w="109"/>
        <w:gridCol w:w="109"/>
        <w:gridCol w:w="298"/>
        <w:gridCol w:w="953"/>
        <w:gridCol w:w="145"/>
        <w:gridCol w:w="109"/>
        <w:gridCol w:w="109"/>
        <w:gridCol w:w="109"/>
        <w:gridCol w:w="243"/>
        <w:gridCol w:w="567"/>
        <w:gridCol w:w="174"/>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5"/>
            <w:tcBorders/>
            <w:shd w:fill="F4E8F3"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 2026</w:t>
            </w:r>
          </w:p>
        </w:tc>
      </w:tr>
      <w:tr>
        <w:trPr/>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145"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Gross carrying value</w:t>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Accumulated amortization</w:t>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Net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Gross carrying value</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Accumulated amortization</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carrying value</w:t>
            </w:r>
          </w:p>
        </w:tc>
      </w:tr>
      <w:tr>
        <w:trPr/>
        <w:tc>
          <w:tcPr>
            <w:tcW w:w="1347"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Customer relationships</w:t>
            </w:r>
          </w:p>
        </w:tc>
        <w:tc>
          <w:tcPr>
            <w:tcW w:w="245"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82"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662</w:t>
            </w:r>
            <w:r>
              <w:rPr>
                <w:color w:val="000000"/>
              </w:rPr>
              <w:t> </w:t>
            </w:r>
          </w:p>
        </w:tc>
        <w:tc>
          <w:tcPr>
            <w:tcW w:w="118"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063"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(37)</w:t>
            </w:r>
          </w:p>
        </w:tc>
        <w:tc>
          <w:tcPr>
            <w:tcW w:w="157"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3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625</w:t>
            </w:r>
            <w:r>
              <w:rPr>
                <w:color w:val="000000"/>
              </w:rPr>
              <w:t> </w:t>
            </w:r>
          </w:p>
        </w:tc>
        <w:tc>
          <w:tcPr>
            <w:tcW w:w="132"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54"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53 </w:t>
            </w:r>
          </w:p>
        </w:tc>
        <w:tc>
          <w:tcPr>
            <w:tcW w:w="116"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5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45"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6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19 </w:t>
            </w:r>
          </w:p>
        </w:tc>
        <w:tc>
          <w:tcPr>
            <w:tcW w:w="17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Programs</w:t>
            </w:r>
          </w:p>
        </w:tc>
        <w:tc>
          <w:tcPr>
            <w:tcW w:w="102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1,626</w:t>
            </w:r>
            <w:r>
              <w:rPr>
                <w:color w:val="000000"/>
              </w:rPr>
              <w:t> </w:t>
            </w:r>
          </w:p>
        </w:tc>
        <w:tc>
          <w:tcPr>
            <w:tcW w:w="118"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(1,359)</w:t>
            </w:r>
          </w:p>
        </w:tc>
        <w:tc>
          <w:tcPr>
            <w:tcW w:w="157"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267</w:t>
            </w:r>
            <w:r>
              <w:rPr>
                <w:color w:val="000000"/>
              </w:rPr>
              <w:t> </w:t>
            </w:r>
          </w:p>
        </w:tc>
        <w:tc>
          <w:tcPr>
            <w:tcW w:w="132"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1,748 </w:t>
            </w:r>
          </w:p>
        </w:tc>
        <w:tc>
          <w:tcPr>
            <w:tcW w:w="116"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(1,391)</w:t>
            </w:r>
          </w:p>
        </w:tc>
        <w:tc>
          <w:tcPr>
            <w:tcW w:w="14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357 </w:t>
            </w:r>
          </w:p>
        </w:tc>
        <w:tc>
          <w:tcPr>
            <w:tcW w:w="17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Backlog</w:t>
            </w:r>
          </w:p>
        </w:tc>
        <w:tc>
          <w:tcPr>
            <w:tcW w:w="102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55</w:t>
            </w:r>
            <w:r>
              <w:rPr>
                <w:color w:val="000000"/>
              </w:rPr>
              <w:t> </w:t>
            </w:r>
          </w:p>
        </w:tc>
        <w:tc>
          <w:tcPr>
            <w:tcW w:w="118"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w:t>
            </w:r>
          </w:p>
        </w:tc>
        <w:tc>
          <w:tcPr>
            <w:tcW w:w="157"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w:t>
            </w:r>
            <w:r>
              <w:rPr>
                <w:color w:val="000000"/>
              </w:rPr>
              <w:t> </w:t>
            </w:r>
          </w:p>
        </w:tc>
        <w:tc>
          <w:tcPr>
            <w:tcW w:w="132"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116"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4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7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Software and technology</w:t>
            </w:r>
          </w:p>
        </w:tc>
        <w:tc>
          <w:tcPr>
            <w:tcW w:w="102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93</w:t>
            </w:r>
            <w:r>
              <w:rPr>
                <w:color w:val="000000"/>
              </w:rPr>
              <w:t> </w:t>
            </w:r>
          </w:p>
        </w:tc>
        <w:tc>
          <w:tcPr>
            <w:tcW w:w="118"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(77)</w:t>
            </w:r>
          </w:p>
        </w:tc>
        <w:tc>
          <w:tcPr>
            <w:tcW w:w="157"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w:t>
            </w:r>
            <w:r>
              <w:rPr>
                <w:color w:val="000000"/>
              </w:rPr>
              <w:t> </w:t>
            </w:r>
          </w:p>
        </w:tc>
        <w:tc>
          <w:tcPr>
            <w:tcW w:w="132"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264 </w:t>
            </w:r>
          </w:p>
        </w:tc>
        <w:tc>
          <w:tcPr>
            <w:tcW w:w="116"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(187)</w:t>
            </w:r>
          </w:p>
        </w:tc>
        <w:tc>
          <w:tcPr>
            <w:tcW w:w="145"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77 </w:t>
            </w:r>
          </w:p>
        </w:tc>
        <w:tc>
          <w:tcPr>
            <w:tcW w:w="17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B2B2B2"/>
              <w:bottom w:val="single" w:sz="4" w:space="0" w:color="B2B2B2"/>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intangible assets</w:t>
            </w:r>
          </w:p>
        </w:tc>
        <w:tc>
          <w:tcPr>
            <w:tcW w:w="245"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82"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2,436</w:t>
            </w:r>
            <w:r>
              <w:rPr>
                <w:color w:val="000000"/>
              </w:rPr>
              <w:t> </w:t>
            </w:r>
          </w:p>
        </w:tc>
        <w:tc>
          <w:tcPr>
            <w:tcW w:w="118"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06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(1,493)</w:t>
            </w:r>
          </w:p>
        </w:tc>
        <w:tc>
          <w:tcPr>
            <w:tcW w:w="15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3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943</w:t>
            </w:r>
            <w:r>
              <w:rPr>
                <w:color w:val="000000"/>
              </w:rPr>
              <w:t> </w:t>
            </w:r>
          </w:p>
        </w:tc>
        <w:tc>
          <w:tcPr>
            <w:tcW w:w="132"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54"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2,077 </w:t>
            </w:r>
          </w:p>
        </w:tc>
        <w:tc>
          <w:tcPr>
            <w:tcW w:w="11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5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(1,619)</w:t>
            </w:r>
          </w:p>
        </w:tc>
        <w:tc>
          <w:tcPr>
            <w:tcW w:w="145"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67"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458 </w:t>
            </w:r>
          </w:p>
        </w:tc>
        <w:tc>
          <w:tcPr>
            <w:tcW w:w="174"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Amortization expense was $40 million and $70 million for the three and six months ended July 3, 2026, respectively, and $32 million and $62 million for the three and six months ended July 4, 2025, respectively.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estimated annual amortization expense as of July 3, 2026, was as follows:</w:t>
      </w:r>
    </w:p>
    <w:tbl>
      <w:tblPr>
        <w:tblW w:w="3996" w:type="dxa"/>
        <w:jc w:val="left"/>
        <w:tblInd w:w="0" w:type="dxa"/>
        <w:tblLayout w:type="fixed"/>
        <w:tblCellMar>
          <w:top w:w="28" w:type="dxa"/>
          <w:left w:w="28" w:type="dxa"/>
          <w:bottom w:w="28" w:type="dxa"/>
          <w:right w:w="28" w:type="dxa"/>
        </w:tblCellMar>
      </w:tblPr>
      <w:tblGrid>
        <w:gridCol w:w="1119"/>
        <w:gridCol w:w="984"/>
        <w:gridCol w:w="987"/>
        <w:gridCol w:w="226"/>
        <w:gridCol w:w="5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8"/>
              </w:rPr>
              <w:t>Fiscal year ending</w:t>
            </w:r>
            <w:r>
              <w:rPr>
                <w:color w:val="000000"/>
              </w:rPr>
              <w:t xml:space="preserve"> </w:t>
            </w:r>
            <w:r>
              <w:rPr>
                <w:rFonts w:ascii="Avenir LT Pro 35 Light;sans-serif" w:hAnsi="Avenir LT Pro 35 Light;sans-serif"/>
                <w:b w:val="false"/>
                <w:color w:val="000000"/>
                <w:sz w:val="18"/>
              </w:rPr>
              <w:t>(in millions)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2026 (remainder of year)</w:t>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74 </w:t>
            </w:r>
          </w:p>
        </w:tc>
        <w:tc>
          <w:tcPr>
            <w:tcW w:w="15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2027</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155 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2028</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150 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2029</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2030</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116 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2031 and thereafter</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313 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943 </w:t>
            </w:r>
          </w:p>
        </w:tc>
        <w:tc>
          <w:tcPr>
            <w:tcW w:w="154"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 xml:space="preserve">Note 5–Fair Value Measurements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that are observable, either directly or indirectly, or quoted prices that are not active (Level 2); and unobservable inputs in which there is little or no market data (e.g., discounted cash flow and other similar pricing models), which requires us to develop our own market participant assumptions used in pricing the asset or liability (Level 3).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carrying amounts of our financial instruments, which include cash equivalents, accounts receivable, accounts payable and accrued expenses, are reasonable estimates of their respective fair values. We are a limited partner in an investment fund. The investment’s fair value is measured using the net asset value ("NAV") practical expedient and is therefore excluded from the fair value hierarchy. Estimated fair value is based on our proportionate share of the fund’s NAV.</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of July 3, 2026, and January 2, 2026, the fair value of debt was $6.0 billion and $4.7 billion, respectively, and the carrying amount was $6.0 billion and $4.6 billion, respectively (see "Note 6–Debt"). The fair value of long-term debt is determined based on current interest rates available for debt with terms and maturities similar to our existing debt arrangements and our credit rating (Level 2 inputs).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assets and liabilities acquired in connection with the Kudu Dynamics and Entrust acquisitions were measured at fair value on a non-recurring basis using Level 3 inputs (see "Note 3–Acquisitions and Divestitures").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20"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00" w:before="60" w:after="6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6–Debt</w:t>
      </w:r>
    </w:p>
    <w:p>
      <w:pPr>
        <w:pStyle w:val="TextBody"/>
        <w:bidi w:val="0"/>
        <w:spacing w:lineRule="auto" w:line="300" w:before="60" w:after="6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debt consisted of the following:</w:t>
      </w:r>
    </w:p>
    <w:tbl>
      <w:tblPr>
        <w:tblW w:w="10205" w:type="dxa"/>
        <w:jc w:val="left"/>
        <w:tblInd w:w="0" w:type="dxa"/>
        <w:tblLayout w:type="fixed"/>
        <w:tblCellMar>
          <w:top w:w="28" w:type="dxa"/>
          <w:left w:w="28" w:type="dxa"/>
          <w:bottom w:w="28" w:type="dxa"/>
          <w:right w:w="28" w:type="dxa"/>
        </w:tblCellMar>
      </w:tblPr>
      <w:tblGrid>
        <w:gridCol w:w="1577"/>
        <w:gridCol w:w="1247"/>
        <w:gridCol w:w="1217"/>
        <w:gridCol w:w="385"/>
        <w:gridCol w:w="307"/>
        <w:gridCol w:w="766"/>
        <w:gridCol w:w="109"/>
        <w:gridCol w:w="109"/>
        <w:gridCol w:w="109"/>
        <w:gridCol w:w="398"/>
        <w:gridCol w:w="337"/>
        <w:gridCol w:w="843"/>
        <w:gridCol w:w="109"/>
        <w:gridCol w:w="109"/>
        <w:gridCol w:w="109"/>
        <w:gridCol w:w="226"/>
        <w:gridCol w:w="721"/>
        <w:gridCol w:w="109"/>
        <w:gridCol w:w="109"/>
        <w:gridCol w:w="109"/>
        <w:gridCol w:w="109"/>
        <w:gridCol w:w="226"/>
        <w:gridCol w:w="706"/>
        <w:gridCol w:w="159"/>
      </w:tblGrid>
      <w:tr>
        <w:trPr/>
        <w:tc>
          <w:tcPr>
            <w:tcW w:w="157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Stated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w:t>
              <w:br/>
              <w:t>2026</w:t>
            </w:r>
          </w:p>
        </w:tc>
      </w:tr>
      <w:tr>
        <w:trPr/>
        <w:tc>
          <w:tcPr>
            <w:tcW w:w="404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Senior unsecured term loan:</w:t>
            </w:r>
          </w:p>
        </w:tc>
        <w:tc>
          <w:tcPr>
            <w:tcW w:w="1458"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$1,000 million term loan, due March 2028</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4.97</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5.11</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Senior unsecured notes:</w:t>
            </w:r>
          </w:p>
        </w:tc>
        <w:tc>
          <w:tcPr>
            <w:tcW w:w="145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$600 million notes, due March 2029</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4.20</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million notes, due May 2030</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4.38</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4.50</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$1,000 million notes, due February 2031</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million notes, due March 2032</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5.42</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$250 million notes, due July 2032</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7.13</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7.43</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250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million notes, due March 2033</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5.75</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5.81</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$300 million notes, due July 2033</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5.88</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161 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million notes, due March 2035</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5.55</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$800 million notes, due March 2036</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5.03</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800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$300 million notes, due December 2040</w:t>
            </w:r>
          </w:p>
        </w:tc>
        <w:tc>
          <w:tcPr>
            <w:tcW w:w="69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5.95</w:t>
            </w:r>
          </w:p>
        </w:tc>
        <w:tc>
          <w:tcPr>
            <w:tcW w:w="766"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6.03</w:t>
            </w:r>
          </w:p>
        </w:tc>
        <w:tc>
          <w:tcPr>
            <w:tcW w:w="843"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218</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218 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Finance leases due on various dates through fiscal 2032</w:t>
            </w:r>
          </w:p>
        </w:tc>
        <w:tc>
          <w:tcPr>
            <w:tcW w:w="1458"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Various</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2.28%-6.31%</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54 </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unamortized debt discounts and deferred debt issuance costs</w:t>
            </w:r>
          </w:p>
        </w:tc>
        <w:tc>
          <w:tcPr>
            <w:tcW w:w="145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(43)</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long-term debt</w:t>
            </w:r>
          </w:p>
        </w:tc>
        <w:tc>
          <w:tcPr>
            <w:tcW w:w="145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6,031</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4,648 </w:t>
            </w:r>
          </w:p>
        </w:tc>
        <w:tc>
          <w:tcPr>
            <w:tcW w:w="159"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current portion</w:t>
            </w:r>
          </w:p>
        </w:tc>
        <w:tc>
          <w:tcPr>
            <w:tcW w:w="145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(22)</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w:t>
            </w:r>
          </w:p>
        </w:tc>
        <w:tc>
          <w:tcPr>
            <w:tcW w:w="15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1"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long-term debt, net of current portion</w:t>
            </w:r>
          </w:p>
        </w:tc>
        <w:tc>
          <w:tcPr>
            <w:tcW w:w="1458"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6,009</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4,628 </w:t>
            </w:r>
          </w:p>
        </w:tc>
        <w:tc>
          <w:tcPr>
            <w:tcW w:w="159"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left"/>
        <w:rPr>
          <w:rFonts w:ascii="Avenir LT Pro 95 Black;sans-serif" w:hAnsi="Avenir LT Pro 95 Black;sans-serif"/>
          <w:b/>
          <w:color w:val="901588"/>
          <w:sz w:val="20"/>
        </w:rPr>
      </w:pPr>
      <w:r>
        <w:rPr>
          <w:rFonts w:ascii="Avenir LT Pro 95 Black;sans-serif" w:hAnsi="Avenir LT Pro 95 Black;sans-serif"/>
          <w:b/>
          <w:color w:val="901588"/>
          <w:sz w:val="20"/>
        </w:rPr>
        <w:t>REVOLVING CREDIT FACILITY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February 12, 2026, we amended and restated our existing senior unsecured revolving credit facility (the “Revolving Facility”) to increase the borrowing capacity from $1.0 billion to $1.5 billion. The Revolving Facility will mature in February 2031 and permits two additional one-year extensions subject to lender consent. Borrowings under the Revolving Facility will bear interest at a rate determined, at the Company's option, based on either an alternate base rate or term SOFR rate, plus an applicable margin and is subject to an annual commitment fee rate of 0.11% on the unused credit availability. As of July 3, 2026, and January 2, 2026, there were no borrowings outstanding under the Revolving Facility.</w:t>
      </w:r>
    </w:p>
    <w:p>
      <w:pPr>
        <w:pStyle w:val="TextBody"/>
        <w:bidi w:val="0"/>
        <w:spacing w:lineRule="auto" w:line="288" w:before="200" w:after="60"/>
        <w:jc w:val="left"/>
        <w:rPr>
          <w:rFonts w:ascii="Avenir LT Pro 95 Black;sans-serif" w:hAnsi="Avenir LT Pro 95 Black;sans-serif"/>
          <w:b/>
          <w:color w:val="901588"/>
          <w:sz w:val="20"/>
        </w:rPr>
      </w:pPr>
      <w:r>
        <w:rPr>
          <w:rFonts w:ascii="Avenir LT Pro 95 Black;sans-serif" w:hAnsi="Avenir LT Pro 95 Black;sans-serif"/>
          <w:b/>
          <w:color w:val="901588"/>
          <w:sz w:val="20"/>
        </w:rPr>
        <w:t>SENIOR NOTES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March 2, 2026, we issued and sold $600 million senior notes maturing in March 2029 (the "2029 Notes") and $800 million senior notes maturing in March 2036 (the "2036 Notes", and together with the 2029 Notes, the "Notes"). The Notes are senior unsecured obligations issued by Leidos, Inc. and guaranteed by Leidos Holdings, Inc. The annual interest rates for the 2029 Notes and the 2036 Notes are 4.10% and 5.00%, respectively, and the interest is payable on a semi-annual basis. In connection with the issuance of the Notes, $10 million of debt issuance costs and discount were recognized,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0410"/>
                <wp:effectExtent l="0" t="0" r="0" b="0"/>
                <wp:wrapNone/>
                <wp:docPr id="21"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18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recorded as an offset against the carrying value of debt. The proceeds from the Notes were used to fund a portion of the consideration payable in connection with the acquisition of Entrust and for general corporate purposes.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BRIDGE FACILITY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connection with the acquisition of Entrust, we entered into an agreement with Citigroup Global Markets Inc., which provided for a senior unsecured 364-day bridge loan facility in an aggregate principal amount of $1.4 billion (the "Bridge Facility"). The Bridge Facility was undrawn and terminated following the issuance of the Notes. As a result, we recognized $5 million of fees which were recorded within "Interest expense, net" on the condensed consolidated statements of operations.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COMMERCIAL PAPER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 commercial paper program in which the Company may issue short-term unsecured commercial paper notes ("Commercial Paper Notes") not to exceed $1.5 billion. The proceeds will be used for general corporate purposes, including working capital, capital expenditures, acquisitions and share repurchases.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Commercial Paper Notes are issued in minimum denominations of $0.25 million and have maturities of up to 397 days from the date of issuance. The Commercial Paper Notes either bear a stated or floating interest rate, if interest bearing, or will be sold at a discount from the face amount. As of July 3, 2026, and January 2, 2026, we did not have any Commercial Paper Notes outstanding.</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COVENANTS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Revolving Facility, Commercial Paper Notes, senior unsecured term loan and notes are fully and unconditionally guaranteed and contain certain customary restrictive covenants, including among other things, restrictions on our ability to create liens and enter into sale and leaseback transactions under certain circumstances.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financial covenants in the Revolving Facility and the senior unsecured term loan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were in compliance with all financial covenants as of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7–Accumulated Other Comprehensive Income (Loss)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Changes in the components of Accumulated Other Comprehensive Income (Loss) ("AOCI") were as follows:</w:t>
      </w:r>
    </w:p>
    <w:tbl>
      <w:tblPr>
        <w:tblW w:w="10205" w:type="dxa"/>
        <w:jc w:val="left"/>
        <w:tblInd w:w="0" w:type="dxa"/>
        <w:tblLayout w:type="fixed"/>
        <w:tblCellMar>
          <w:top w:w="28" w:type="dxa"/>
          <w:left w:w="28" w:type="dxa"/>
          <w:bottom w:w="28" w:type="dxa"/>
          <w:right w:w="28" w:type="dxa"/>
        </w:tblCellMar>
      </w:tblPr>
      <w:tblGrid>
        <w:gridCol w:w="1005"/>
        <w:gridCol w:w="498"/>
        <w:gridCol w:w="461"/>
        <w:gridCol w:w="643"/>
        <w:gridCol w:w="1199"/>
        <w:gridCol w:w="311"/>
        <w:gridCol w:w="109"/>
        <w:gridCol w:w="109"/>
        <w:gridCol w:w="109"/>
        <w:gridCol w:w="884"/>
        <w:gridCol w:w="1179"/>
        <w:gridCol w:w="429"/>
        <w:gridCol w:w="109"/>
        <w:gridCol w:w="109"/>
        <w:gridCol w:w="109"/>
        <w:gridCol w:w="482"/>
        <w:gridCol w:w="900"/>
        <w:gridCol w:w="233"/>
        <w:gridCol w:w="109"/>
        <w:gridCol w:w="109"/>
        <w:gridCol w:w="109"/>
        <w:gridCol w:w="237"/>
        <w:gridCol w:w="592"/>
        <w:gridCol w:w="171"/>
      </w:tblGrid>
      <w:tr>
        <w:trPr/>
        <w:tc>
          <w:tcPr>
            <w:tcW w:w="100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Unrecognized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Pension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 AOCI</w:t>
            </w:r>
          </w:p>
        </w:tc>
      </w:tr>
      <w:tr>
        <w:trPr/>
        <w:tc>
          <w:tcPr>
            <w:tcW w:w="1964"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January 3, 2025</w:t>
            </w:r>
          </w:p>
        </w:tc>
        <w:tc>
          <w:tcPr>
            <w:tcW w:w="643"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9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(98)</w:t>
            </w:r>
          </w:p>
        </w:tc>
        <w:tc>
          <w:tcPr>
            <w:tcW w:w="31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7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429"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00"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w:t>
            </w:r>
          </w:p>
        </w:tc>
        <w:tc>
          <w:tcPr>
            <w:tcW w:w="233"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9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w:t>
            </w:r>
          </w:p>
        </w:tc>
        <w:tc>
          <w:tcPr>
            <w:tcW w:w="1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 (loss)</w:t>
            </w:r>
          </w:p>
        </w:tc>
        <w:tc>
          <w:tcPr>
            <w:tcW w:w="184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74 </w:t>
            </w:r>
          </w:p>
        </w:tc>
        <w:tc>
          <w:tcPr>
            <w:tcW w:w="31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42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w:t>
            </w:r>
          </w:p>
        </w:tc>
        <w:tc>
          <w:tcPr>
            <w:tcW w:w="2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72 </w:t>
            </w:r>
          </w:p>
        </w:tc>
        <w:tc>
          <w:tcPr>
            <w:tcW w:w="1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Taxes</w:t>
            </w:r>
          </w:p>
        </w:tc>
        <w:tc>
          <w:tcPr>
            <w:tcW w:w="184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w:t>
            </w:r>
          </w:p>
        </w:tc>
        <w:tc>
          <w:tcPr>
            <w:tcW w:w="31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42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w:t>
            </w:r>
          </w:p>
        </w:tc>
        <w:tc>
          <w:tcPr>
            <w:tcW w:w="1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Reclassification from AOCI</w:t>
            </w:r>
          </w:p>
        </w:tc>
        <w:tc>
          <w:tcPr>
            <w:tcW w:w="184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w:t>
            </w:r>
          </w:p>
        </w:tc>
        <w:tc>
          <w:tcPr>
            <w:tcW w:w="42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w:t>
            </w:r>
          </w:p>
        </w:tc>
        <w:tc>
          <w:tcPr>
            <w:tcW w:w="1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Balance at January 2, 2026</w:t>
            </w:r>
          </w:p>
        </w:tc>
        <w:tc>
          <w:tcPr>
            <w:tcW w:w="184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w:t>
            </w:r>
          </w:p>
        </w:tc>
        <w:tc>
          <w:tcPr>
            <w:tcW w:w="31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w:t>
            </w:r>
          </w:p>
        </w:tc>
        <w:tc>
          <w:tcPr>
            <w:tcW w:w="429"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w:t>
            </w:r>
          </w:p>
        </w:tc>
        <w:tc>
          <w:tcPr>
            <w:tcW w:w="233"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w:t>
            </w:r>
          </w:p>
        </w:tc>
        <w:tc>
          <w:tcPr>
            <w:tcW w:w="17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comprehensive income</w:t>
            </w:r>
          </w:p>
        </w:tc>
        <w:tc>
          <w:tcPr>
            <w:tcW w:w="184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13 </w:t>
            </w:r>
          </w:p>
        </w:tc>
        <w:tc>
          <w:tcPr>
            <w:tcW w:w="31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20 </w:t>
            </w:r>
          </w:p>
        </w:tc>
        <w:tc>
          <w:tcPr>
            <w:tcW w:w="2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33 </w:t>
            </w:r>
          </w:p>
        </w:tc>
        <w:tc>
          <w:tcPr>
            <w:tcW w:w="1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Taxes</w:t>
            </w:r>
          </w:p>
        </w:tc>
        <w:tc>
          <w:tcPr>
            <w:tcW w:w="184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1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w:t>
            </w:r>
          </w:p>
        </w:tc>
        <w:tc>
          <w:tcPr>
            <w:tcW w:w="233"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w:t>
            </w:r>
          </w:p>
        </w:tc>
        <w:tc>
          <w:tcPr>
            <w:tcW w:w="1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Balance at July 3, 2026</w:t>
            </w:r>
          </w:p>
        </w:tc>
        <w:tc>
          <w:tcPr>
            <w:tcW w:w="64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19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w:t>
            </w:r>
          </w:p>
        </w:tc>
        <w:tc>
          <w:tcPr>
            <w:tcW w:w="31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884"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17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w:t>
            </w:r>
          </w:p>
        </w:tc>
        <w:tc>
          <w:tcPr>
            <w:tcW w:w="42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00"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92"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w:t>
            </w:r>
          </w:p>
        </w:tc>
        <w:tc>
          <w:tcPr>
            <w:tcW w:w="17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Reclassifications from unrecognized gain (loss) on derivative instruments are recorded in "Interest expense, net" in the condensed consolidated statements of operations.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May 20, 2022, the trustee of our UK defined benefit pension plan (the “Plan”) invested the assets of the Plan in a bulk purchase annuity policy to fully insure the benefits payable to the members of the Plan. The transaction was structured to enable a full buy-out, at which time the insurer would assume direct responsibility for all future pension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60705"/>
                <wp:effectExtent l="0" t="0" r="0" b="0"/>
                <wp:wrapNone/>
                <wp:docPr id="22"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February 11, 2026, the Plan completed a full buy-out, thus relieving the Company of future pension obligations. As a result, we recognized a $23 million settlement loss primarily related to the unamortized loss previously recorded within AOCI. The settlement loss was recorded in "Other income (expense), net"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8–Earnings Per Share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provides a reconciliation of the weighted average number of shares outstanding used to compute basic and diluted EPS for the periods presented: </w:t>
      </w:r>
    </w:p>
    <w:tbl>
      <w:tblPr>
        <w:tblW w:w="10205" w:type="dxa"/>
        <w:jc w:val="left"/>
        <w:tblInd w:w="0" w:type="dxa"/>
        <w:tblLayout w:type="fixed"/>
        <w:tblCellMar>
          <w:top w:w="28" w:type="dxa"/>
          <w:left w:w="28" w:type="dxa"/>
          <w:bottom w:w="28" w:type="dxa"/>
          <w:right w:w="28" w:type="dxa"/>
        </w:tblCellMar>
      </w:tblPr>
      <w:tblGrid>
        <w:gridCol w:w="1991"/>
        <w:gridCol w:w="1723"/>
        <w:gridCol w:w="1746"/>
        <w:gridCol w:w="109"/>
        <w:gridCol w:w="109"/>
        <w:gridCol w:w="109"/>
        <w:gridCol w:w="246"/>
        <w:gridCol w:w="242"/>
        <w:gridCol w:w="211"/>
        <w:gridCol w:w="211"/>
        <w:gridCol w:w="211"/>
        <w:gridCol w:w="211"/>
        <w:gridCol w:w="246"/>
        <w:gridCol w:w="242"/>
        <w:gridCol w:w="211"/>
        <w:gridCol w:w="109"/>
        <w:gridCol w:w="109"/>
        <w:gridCol w:w="109"/>
        <w:gridCol w:w="236"/>
        <w:gridCol w:w="236"/>
        <w:gridCol w:w="223"/>
        <w:gridCol w:w="185"/>
        <w:gridCol w:w="185"/>
        <w:gridCol w:w="185"/>
        <w:gridCol w:w="263"/>
        <w:gridCol w:w="263"/>
        <w:gridCol w:w="284"/>
      </w:tblGrid>
      <w:tr>
        <w:trPr/>
        <w:tc>
          <w:tcPr>
            <w:tcW w:w="199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633"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555"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546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Basic weighted average number of shares outstanding</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126</w:t>
            </w:r>
          </w:p>
        </w:tc>
        <w:tc>
          <w:tcPr>
            <w:tcW w:w="633"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126</w:t>
            </w:r>
          </w:p>
        </w:tc>
        <w:tc>
          <w:tcPr>
            <w:tcW w:w="555"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129 </w:t>
            </w:r>
          </w:p>
        </w:tc>
        <w:tc>
          <w:tcPr>
            <w:tcW w:w="28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Dilutive common share equivalents—stock options and other stock awards</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3"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w:t>
            </w:r>
          </w:p>
        </w:tc>
        <w:tc>
          <w:tcPr>
            <w:tcW w:w="555"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8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weighted average number of shares outstanding</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126</w:t>
            </w:r>
          </w:p>
        </w:tc>
        <w:tc>
          <w:tcPr>
            <w:tcW w:w="633"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127</w:t>
            </w:r>
          </w:p>
        </w:tc>
        <w:tc>
          <w:tcPr>
            <w:tcW w:w="555"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84"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Anti-dilutive stock-based awards are excluded from the weighted average number of shares outstanding used to compute diluted EPS. The total outstanding stock options and vesting stock awards that were anti-dilutive were less than 1.0 million for the three and six months ended July 3, 2026, and less than 0.5 million for the three and six months ended July 4, 2025.</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During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3, 2026, we made open market repurchases of our common stock for an aggregate purchase price of $66 million and $266 million, respectively. All repurchased shares were immediately retired. There were no open market repurchases during the three and six months ended July 4, 2025.</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fiscal 2025, we entered into an accelerated share repurchase agreement with a financial institution to repurchase shares of our outstanding common stock. We paid $500 million to the financial institution and received 3.6 million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9–Income Taxes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effective tax rate was 21.1% for the three months ended July 3, 2026, compared to 24.1% for the three months ended July 4, 2025, and 21.5% for the six months ended July 3, 2026, compared to 23.9% for the six months ended July 4, 2025. The decrease in both periods was primarily due to a decrease in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10–Business Segments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operations and reportable segments are organized around the customers and markets we serve. We define our reportable segments based on the way the chief operating decision maker ("CODM"), currently our Chief Executive Officer, manages operations for the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Beginning in fiscal 2026, we realigned our business to report in five operating segments, which are aggregated into four reportable segments in accordance with the criteria established under ASC 280: Intelligence &amp; Digital, Health, Homeland and Defense. Our reportable segments are focused on specific, defined capability sets that we bring to our customers. Additionally, we separately present the unallocable costs associated with corporate functions as Corporate. As a result of this change, prior year segment results have been recast to reflect the current reportable segment structure.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Intelligence &amp; Digital business delivers mission-focused capabilities to the U.S. federal government and the U.S. Intelligence Community. The business integrates intelligence tradecraft, full-spectrum cyber capabilities, and advanced technical solutions at scale to improve decision-making across large, distributed mission networks and classified environments. We conduct technological research and development, software engineering, modeling and simulation, advanced analytics, network modernization, artificial intelligence development, and IT service management, modernizing critical systems and enabling resilient, high-performing mission operations.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Health business delivers services and solutions to federal and commercial customers in areas of public health, care coordination, and life and environmental sciences. Our offerings include IT infrastructure modernization, software development, research and implementation, response to hazardous material incidents, mission software solutions and wellness exams.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0410"/>
                <wp:effectExtent l="0" t="0" r="0" b="0"/>
                <wp:wrapNone/>
                <wp:docPr id="23"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Homeland business serves five markets: air traffic, airports and borders, security equipment, commercial energy engineering and international. We provide safety critical software for the automation of air traffic both domestically and internationally. Additionally, we provide protection of the borders and airports through software and logistics programs. We provide security equipment for various end users. Internationally, we support defense and other government customers with software development programs, data analytics, information technology and intelligence operations.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Defense business develops and produces advanced space, aerial, surface, and sub-surface manned and un-manned defense systems. Our offerings include manufacturing, prototyping, weapons development, analytics and other advanced defense services.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Corporate includes the operations of various corporate activities, certain corporate expense items that are not reimbursed by our U.S. government customers and certain other expense items excluded from a reportable segment's performance.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business segment information for the periods presented:</w:t>
      </w:r>
    </w:p>
    <w:tbl>
      <w:tblPr>
        <w:tblW w:w="10205" w:type="dxa"/>
        <w:jc w:val="left"/>
        <w:tblInd w:w="0" w:type="dxa"/>
        <w:tblLayout w:type="fixed"/>
        <w:tblCellMar>
          <w:top w:w="28" w:type="dxa"/>
          <w:left w:w="28" w:type="dxa"/>
          <w:bottom w:w="28" w:type="dxa"/>
          <w:right w:w="28" w:type="dxa"/>
        </w:tblCellMar>
      </w:tblPr>
      <w:tblGrid>
        <w:gridCol w:w="1006"/>
        <w:gridCol w:w="744"/>
        <w:gridCol w:w="683"/>
        <w:gridCol w:w="109"/>
        <w:gridCol w:w="109"/>
        <w:gridCol w:w="109"/>
        <w:gridCol w:w="416"/>
        <w:gridCol w:w="1302"/>
        <w:gridCol w:w="202"/>
        <w:gridCol w:w="109"/>
        <w:gridCol w:w="109"/>
        <w:gridCol w:w="109"/>
        <w:gridCol w:w="226"/>
        <w:gridCol w:w="706"/>
        <w:gridCol w:w="109"/>
        <w:gridCol w:w="109"/>
        <w:gridCol w:w="109"/>
        <w:gridCol w:w="109"/>
        <w:gridCol w:w="247"/>
        <w:gridCol w:w="773"/>
        <w:gridCol w:w="121"/>
        <w:gridCol w:w="109"/>
        <w:gridCol w:w="109"/>
        <w:gridCol w:w="109"/>
        <w:gridCol w:w="244"/>
        <w:gridCol w:w="568"/>
        <w:gridCol w:w="119"/>
        <w:gridCol w:w="109"/>
        <w:gridCol w:w="109"/>
        <w:gridCol w:w="109"/>
        <w:gridCol w:w="226"/>
        <w:gridCol w:w="721"/>
        <w:gridCol w:w="157"/>
      </w:tblGrid>
      <w:tr>
        <w:trPr/>
        <w:tc>
          <w:tcPr>
            <w:tcW w:w="10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5"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r>
      <w:tr>
        <w:trPr/>
        <w:tc>
          <w:tcPr>
            <w:tcW w:w="2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243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02"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1,499 </w:t>
            </w:r>
          </w:p>
        </w:tc>
        <w:tc>
          <w:tcPr>
            <w:tcW w:w="202" w:type="dxa"/>
            <w:tcBorders>
              <w:top w:val="single" w:sz="4"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1,086 </w:t>
            </w:r>
          </w:p>
        </w:tc>
        <w:tc>
          <w:tcPr>
            <w:tcW w:w="109" w:type="dxa"/>
            <w:tcBorders>
              <w:top w:val="single" w:sz="4"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1,018 </w:t>
            </w:r>
          </w:p>
        </w:tc>
        <w:tc>
          <w:tcPr>
            <w:tcW w:w="12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6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955 </w:t>
            </w:r>
          </w:p>
        </w:tc>
        <w:tc>
          <w:tcPr>
            <w:tcW w:w="11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157"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Direct labor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386 </w:t>
            </w:r>
          </w:p>
        </w:tc>
        <w:tc>
          <w:tcPr>
            <w:tcW w:w="202"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197 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222 </w:t>
            </w:r>
          </w:p>
        </w:tc>
        <w:tc>
          <w:tcPr>
            <w:tcW w:w="12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214 </w:t>
            </w:r>
          </w:p>
        </w:tc>
        <w:tc>
          <w:tcPr>
            <w:tcW w:w="11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1,019</w:t>
            </w:r>
            <w:r>
              <w:rPr>
                <w:color w:val="000000"/>
              </w:rPr>
              <w:t> </w:t>
            </w:r>
          </w:p>
        </w:tc>
        <w:tc>
          <w:tcPr>
            <w:tcW w:w="15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02"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19 </w:t>
            </w:r>
          </w:p>
        </w:tc>
        <w:tc>
          <w:tcPr>
            <w:tcW w:w="12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11 </w:t>
            </w:r>
          </w:p>
        </w:tc>
        <w:tc>
          <w:tcPr>
            <w:tcW w:w="11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40</w:t>
            </w:r>
            <w:r>
              <w:rPr>
                <w:color w:val="000000"/>
              </w:rPr>
              <w:t> </w:t>
            </w:r>
          </w:p>
        </w:tc>
        <w:tc>
          <w:tcPr>
            <w:tcW w:w="15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segment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964 </w:t>
            </w:r>
          </w:p>
        </w:tc>
        <w:tc>
          <w:tcPr>
            <w:tcW w:w="202"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632 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685 </w:t>
            </w:r>
          </w:p>
        </w:tc>
        <w:tc>
          <w:tcPr>
            <w:tcW w:w="12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646 </w:t>
            </w:r>
          </w:p>
        </w:tc>
        <w:tc>
          <w:tcPr>
            <w:tcW w:w="11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2,927</w:t>
            </w:r>
            <w:r>
              <w:rPr>
                <w:color w:val="000000"/>
              </w:rPr>
              <w:t> </w:t>
            </w:r>
          </w:p>
        </w:tc>
        <w:tc>
          <w:tcPr>
            <w:tcW w:w="15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Segment operating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02"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142 </w:t>
            </w:r>
          </w:p>
        </w:tc>
        <w:tc>
          <w:tcPr>
            <w:tcW w:w="202" w:type="dxa"/>
            <w:tcBorders>
              <w:top w:val="single" w:sz="8"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254 </w:t>
            </w:r>
          </w:p>
        </w:tc>
        <w:tc>
          <w:tcPr>
            <w:tcW w:w="109" w:type="dxa"/>
            <w:tcBorders>
              <w:top w:val="single" w:sz="8"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92 </w:t>
            </w:r>
          </w:p>
        </w:tc>
        <w:tc>
          <w:tcPr>
            <w:tcW w:w="12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6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84 </w:t>
            </w:r>
          </w:p>
        </w:tc>
        <w:tc>
          <w:tcPr>
            <w:tcW w:w="11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572</w:t>
            </w:r>
            <w:r>
              <w:rPr>
                <w:color w:val="000000"/>
              </w:rPr>
              <w:t> </w:t>
            </w:r>
          </w:p>
        </w:tc>
        <w:tc>
          <w:tcPr>
            <w:tcW w:w="157"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58</w:t>
            </w:r>
            <w:r>
              <w:rPr>
                <w:color w:val="000000"/>
              </w:rPr>
              <w:t> </w:t>
            </w:r>
          </w:p>
        </w:tc>
        <w:tc>
          <w:tcPr>
            <w:tcW w:w="15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operating income</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157"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25"/>
        <w:gridCol w:w="832"/>
        <w:gridCol w:w="774"/>
        <w:gridCol w:w="109"/>
        <w:gridCol w:w="109"/>
        <w:gridCol w:w="109"/>
        <w:gridCol w:w="395"/>
        <w:gridCol w:w="1239"/>
        <w:gridCol w:w="194"/>
        <w:gridCol w:w="109"/>
        <w:gridCol w:w="109"/>
        <w:gridCol w:w="109"/>
        <w:gridCol w:w="226"/>
        <w:gridCol w:w="706"/>
        <w:gridCol w:w="109"/>
        <w:gridCol w:w="109"/>
        <w:gridCol w:w="109"/>
        <w:gridCol w:w="109"/>
        <w:gridCol w:w="267"/>
        <w:gridCol w:w="623"/>
        <w:gridCol w:w="131"/>
        <w:gridCol w:w="109"/>
        <w:gridCol w:w="109"/>
        <w:gridCol w:w="109"/>
        <w:gridCol w:w="226"/>
        <w:gridCol w:w="526"/>
        <w:gridCol w:w="109"/>
        <w:gridCol w:w="109"/>
        <w:gridCol w:w="109"/>
        <w:gridCol w:w="109"/>
        <w:gridCol w:w="226"/>
        <w:gridCol w:w="706"/>
        <w:gridCol w:w="156"/>
      </w:tblGrid>
      <w:tr>
        <w:trPr/>
        <w:tc>
          <w:tcPr>
            <w:tcW w:w="11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7"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Three Months Ended July 4, 2025</w:t>
            </w:r>
          </w:p>
        </w:tc>
      </w:tr>
      <w:tr>
        <w:trPr/>
        <w:tc>
          <w:tcPr>
            <w:tcW w:w="2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Health</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Homeland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Defense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Total</w:t>
            </w:r>
          </w:p>
        </w:tc>
      </w:tr>
      <w:tr>
        <w:trPr/>
        <w:tc>
          <w:tcPr>
            <w:tcW w:w="273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39"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1,408 </w:t>
            </w:r>
          </w:p>
        </w:tc>
        <w:tc>
          <w:tcPr>
            <w:tcW w:w="19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1,175 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13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15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Direct labor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374 </w:t>
            </w:r>
          </w:p>
        </w:tc>
        <w:tc>
          <w:tcPr>
            <w:tcW w:w="19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161 </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204 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9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segment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892 </w:t>
            </w:r>
          </w:p>
        </w:tc>
        <w:tc>
          <w:tcPr>
            <w:tcW w:w="19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667 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539 </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605 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2,703 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Segment operating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39"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135 </w:t>
            </w:r>
          </w:p>
        </w:tc>
        <w:tc>
          <w:tcPr>
            <w:tcW w:w="19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3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580 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operating income</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15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60705"/>
                <wp:effectExtent l="0" t="0" r="0" b="0"/>
                <wp:wrapNone/>
                <wp:docPr id="24"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977"/>
        <w:gridCol w:w="723"/>
        <w:gridCol w:w="661"/>
        <w:gridCol w:w="109"/>
        <w:gridCol w:w="109"/>
        <w:gridCol w:w="109"/>
        <w:gridCol w:w="407"/>
        <w:gridCol w:w="1276"/>
        <w:gridCol w:w="198"/>
        <w:gridCol w:w="109"/>
        <w:gridCol w:w="109"/>
        <w:gridCol w:w="109"/>
        <w:gridCol w:w="226"/>
        <w:gridCol w:w="706"/>
        <w:gridCol w:w="109"/>
        <w:gridCol w:w="109"/>
        <w:gridCol w:w="109"/>
        <w:gridCol w:w="109"/>
        <w:gridCol w:w="247"/>
        <w:gridCol w:w="773"/>
        <w:gridCol w:w="121"/>
        <w:gridCol w:w="109"/>
        <w:gridCol w:w="109"/>
        <w:gridCol w:w="109"/>
        <w:gridCol w:w="226"/>
        <w:gridCol w:w="706"/>
        <w:gridCol w:w="109"/>
        <w:gridCol w:w="109"/>
        <w:gridCol w:w="109"/>
        <w:gridCol w:w="109"/>
        <w:gridCol w:w="226"/>
        <w:gridCol w:w="721"/>
        <w:gridCol w:w="158"/>
      </w:tblGrid>
      <w:tr>
        <w:trPr/>
        <w:tc>
          <w:tcPr>
            <w:tcW w:w="9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7"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r>
      <w:tr>
        <w:trPr/>
        <w:tc>
          <w:tcPr>
            <w:tcW w:w="2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236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7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3,012 </w:t>
            </w:r>
          </w:p>
        </w:tc>
        <w:tc>
          <w:tcPr>
            <w:tcW w:w="198" w:type="dxa"/>
            <w:tcBorders>
              <w:top w:val="single" w:sz="4"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2,274 </w:t>
            </w:r>
          </w:p>
        </w:tc>
        <w:tc>
          <w:tcPr>
            <w:tcW w:w="109" w:type="dxa"/>
            <w:tcBorders>
              <w:top w:val="single" w:sz="4"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1,834 </w:t>
            </w:r>
          </w:p>
        </w:tc>
        <w:tc>
          <w:tcPr>
            <w:tcW w:w="12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1,838 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8,958</w:t>
            </w:r>
            <w:r>
              <w:rPr>
                <w:color w:val="000000"/>
              </w:rPr>
              <w:t> </w:t>
            </w:r>
          </w:p>
        </w:tc>
        <w:tc>
          <w:tcPr>
            <w:tcW w:w="158"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Direct labor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786 </w:t>
            </w:r>
          </w:p>
        </w:tc>
        <w:tc>
          <w:tcPr>
            <w:tcW w:w="198"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397 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400 </w:t>
            </w:r>
          </w:p>
        </w:tc>
        <w:tc>
          <w:tcPr>
            <w:tcW w:w="12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438 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2,021</w:t>
            </w:r>
            <w:r>
              <w:rPr>
                <w:color w:val="000000"/>
              </w:rPr>
              <w:t> </w:t>
            </w:r>
          </w:p>
        </w:tc>
        <w:tc>
          <w:tcPr>
            <w:tcW w:w="15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15 </w:t>
            </w:r>
          </w:p>
        </w:tc>
        <w:tc>
          <w:tcPr>
            <w:tcW w:w="198"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21"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70</w:t>
            </w:r>
            <w:r>
              <w:rPr>
                <w:color w:val="000000"/>
              </w:rPr>
              <w:t> </w:t>
            </w:r>
          </w:p>
        </w:tc>
        <w:tc>
          <w:tcPr>
            <w:tcW w:w="15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segment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1,923 </w:t>
            </w:r>
          </w:p>
        </w:tc>
        <w:tc>
          <w:tcPr>
            <w:tcW w:w="198"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1,332 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1,283 </w:t>
            </w:r>
          </w:p>
        </w:tc>
        <w:tc>
          <w:tcPr>
            <w:tcW w:w="121"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1,232 </w:t>
            </w:r>
          </w:p>
        </w:tc>
        <w:tc>
          <w:tcPr>
            <w:tcW w:w="10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5,770</w:t>
            </w:r>
            <w:r>
              <w:rPr>
                <w:color w:val="000000"/>
              </w:rPr>
              <w:t> </w:t>
            </w:r>
          </w:p>
        </w:tc>
        <w:tc>
          <w:tcPr>
            <w:tcW w:w="15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Segment operating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7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288 </w:t>
            </w:r>
          </w:p>
        </w:tc>
        <w:tc>
          <w:tcPr>
            <w:tcW w:w="198" w:type="dxa"/>
            <w:tcBorders>
              <w:top w:val="single" w:sz="8"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538 </w:t>
            </w:r>
          </w:p>
        </w:tc>
        <w:tc>
          <w:tcPr>
            <w:tcW w:w="109" w:type="dxa"/>
            <w:tcBorders>
              <w:top w:val="single" w:sz="8" w:space="0" w:color="90158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12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146 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1,097</w:t>
            </w:r>
            <w:r>
              <w:rPr>
                <w:color w:val="000000"/>
              </w:rPr>
              <w:t> </w:t>
            </w:r>
          </w:p>
        </w:tc>
        <w:tc>
          <w:tcPr>
            <w:tcW w:w="158"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w:t>
            </w:r>
            <w:r>
              <w:rPr>
                <w:color w:val="000000"/>
              </w:rPr>
              <w:t> </w:t>
            </w:r>
          </w:p>
        </w:tc>
        <w:tc>
          <w:tcPr>
            <w:tcW w:w="15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operating income</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158"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0"/>
        <w:gridCol w:w="791"/>
        <w:gridCol w:w="732"/>
        <w:gridCol w:w="109"/>
        <w:gridCol w:w="109"/>
        <w:gridCol w:w="109"/>
        <w:gridCol w:w="381"/>
        <w:gridCol w:w="1196"/>
        <w:gridCol w:w="187"/>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8"/>
      </w:tblGrid>
      <w:tr>
        <w:trPr/>
        <w:tc>
          <w:tcPr>
            <w:tcW w:w="10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5"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Six Months Ended July 4, 2025</w:t>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Health</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Homeland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Defense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Total</w:t>
            </w:r>
          </w:p>
        </w:tc>
      </w:tr>
      <w:tr>
        <w:trPr/>
        <w:tc>
          <w:tcPr>
            <w:tcW w:w="259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9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2,816 </w:t>
            </w:r>
          </w:p>
        </w:tc>
        <w:tc>
          <w:tcPr>
            <w:tcW w:w="187"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2,363 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1,541 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8,498 </w:t>
            </w:r>
          </w:p>
        </w:tc>
        <w:tc>
          <w:tcPr>
            <w:tcW w:w="158"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Direct labor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757 </w:t>
            </w:r>
          </w:p>
        </w:tc>
        <w:tc>
          <w:tcPr>
            <w:tcW w:w="18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405 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323 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1,897 </w:t>
            </w:r>
          </w:p>
        </w:tc>
        <w:tc>
          <w:tcPr>
            <w:tcW w:w="15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18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15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segment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1,780 </w:t>
            </w:r>
          </w:p>
        </w:tc>
        <w:tc>
          <w:tcPr>
            <w:tcW w:w="18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1,355 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1,079 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1,190 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5,404 </w:t>
            </w:r>
          </w:p>
        </w:tc>
        <w:tc>
          <w:tcPr>
            <w:tcW w:w="15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Segment operating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9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267 </w:t>
            </w:r>
          </w:p>
        </w:tc>
        <w:tc>
          <w:tcPr>
            <w:tcW w:w="18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591 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1,135 </w:t>
            </w:r>
          </w:p>
        </w:tc>
        <w:tc>
          <w:tcPr>
            <w:tcW w:w="15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34 </w:t>
            </w:r>
          </w:p>
        </w:tc>
        <w:tc>
          <w:tcPr>
            <w:tcW w:w="15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operating income</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15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statement of operations performance measures used to evaluate segment performance are revenues and operating income. As a result, "Interest expense, net," "Other income (expense), net" and "Income tax expense" as reported in the condensed consolidated statements of operations are not allocated to our segments.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segment expenses include direct program costs such as material and subcontractor expenses, as well as allocable indirect costs such as depreciation and Corporate compensation expenses, but excludes direct labor which is separately presented above. The Health and Defense segments also include equity earnings of non-consolidated subsidiaries within operating income.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U.S. Government Cost Accounting Standards, indirect costs including depreciation expense are collected in indirect cost pools, which are then collectively allocated to the reportable segments based on a representative causal or beneficial relationship of the costs in the pool to the costs in the base. As such, depreciation expense is not separately disclosed on the condensed consolidated statements of operations.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Asset information by segment is not a key measure of performance used by the CODM.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0410"/>
                <wp:effectExtent l="0" t="0" r="0" b="0"/>
                <wp:wrapNone/>
                <wp:docPr id="25"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283"/>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NOTES TO CONDENSED CONSOLIDATED FINANCIAL STATEMENTS (UNAUDITED)</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 xml:space="preserve">Note 11–Commitments and Contingencies </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LEGAL PROCEEDINGS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CONTINGENCIES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Government Investigations and Reviews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Defense Contract Audit Agency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July 3, 2026, active indirect cost audits by the Defense Contract Audit Agency remain open for fiscal 2024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July 3, 2026, we believe we have adequately reserved for potential adjustments from audits or reviews of contract costs.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Other Government Investigations and Reviews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COMMITMENTS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of July 3, 2026, we have outstanding letters of credit of $111 million, principally related to performance guarantees on contracts and outstanding surety bonds with a notional amount of $154 million, principally related to performance and subcontractor payment bonds on contracts. The value of the surety bonds may vary due to changes in the underlying project status and/or contractual modifications.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July 3, 2026, we invested $18 million in an investment fund as a limited partner and have committed to invest an additional $82 million over the next five years. The timing of our capital contributions is uncertain.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July 3, 2026, the future expirations of the outstanding letters of credit and surety bonds were as follows:</w:t>
      </w:r>
    </w:p>
    <w:tbl>
      <w:tblPr>
        <w:tblW w:w="3996" w:type="dxa"/>
        <w:jc w:val="left"/>
        <w:tblInd w:w="0" w:type="dxa"/>
        <w:tblLayout w:type="fixed"/>
        <w:tblCellMar>
          <w:top w:w="28" w:type="dxa"/>
          <w:left w:w="28" w:type="dxa"/>
          <w:bottom w:w="28" w:type="dxa"/>
          <w:right w:w="28" w:type="dxa"/>
        </w:tblCellMar>
      </w:tblPr>
      <w:tblGrid>
        <w:gridCol w:w="1119"/>
        <w:gridCol w:w="984"/>
        <w:gridCol w:w="987"/>
        <w:gridCol w:w="226"/>
        <w:gridCol w:w="5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LT Pro 95 Black;sans-serif" w:hAnsi="Avenir LT Pro 95 Black;sans-serif"/>
                <w:b/>
                <w:color w:val="000000"/>
                <w:sz w:val="18"/>
              </w:rPr>
              <w:t>Fiscal year ending</w:t>
            </w:r>
            <w:r>
              <w:rPr>
                <w:color w:val="000000"/>
              </w:rPr>
              <w:t xml:space="preserve"> </w:t>
            </w:r>
            <w:r>
              <w:rPr>
                <w:rFonts w:ascii="Avenir LT Pro 35 Light;sans-serif" w:hAnsi="Avenir LT Pro 35 Light;sans-serif"/>
                <w:b w:val="false"/>
                <w:color w:val="000000"/>
                <w:sz w:val="18"/>
              </w:rPr>
              <w:t>(in millions)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2026 (remainder of year)</w:t>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134 </w:t>
            </w:r>
          </w:p>
        </w:tc>
        <w:tc>
          <w:tcPr>
            <w:tcW w:w="154"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2027</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2028</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2029</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2030</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2031 and thereafter</w:t>
            </w:r>
          </w:p>
        </w:tc>
        <w:tc>
          <w:tcPr>
            <w:tcW w:w="75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54"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265 </w:t>
            </w:r>
          </w:p>
        </w:tc>
        <w:tc>
          <w:tcPr>
            <w:tcW w:w="154" w:type="dxa"/>
            <w:tcBorders>
              <w:top w:val="single" w:sz="8" w:space="0" w:color="901588"/>
              <w:bottom w:val="double" w:sz="8" w:space="0" w:color="901588"/>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60705"/>
                <wp:effectExtent l="0" t="0" r="0" b="0"/>
                <wp:wrapNone/>
                <wp:docPr id="26"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8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2. Management's Discussion and Analysis of Financial Condition and Results of Operations</w:t>
      </w:r>
    </w:p>
    <w:p>
      <w:pPr>
        <w:pStyle w:val="TextBody"/>
        <w:bidi w:val="0"/>
        <w:spacing w:lineRule="auto" w:line="312" w:before="120" w:after="120"/>
        <w:jc w:val="left"/>
        <w:rPr>
          <w:rFonts w:ascii="Avenir LT Pro 45 Book;sans-serif" w:hAnsi="Avenir LT Pro 45 Book;sans-serif"/>
          <w:b w:val="false"/>
          <w:i/>
          <w:color w:val="000000"/>
          <w:sz w:val="18"/>
        </w:rPr>
      </w:pPr>
      <w:r>
        <w:rPr>
          <w:rFonts w:ascii="Avenir LT Pro 45 Book;sans-serif" w:hAnsi="Avenir LT Pro 45 Book;sans-serif"/>
          <w:b w:val="false"/>
          <w:i/>
          <w:color w:val="000000"/>
          <w:sz w:val="18"/>
        </w:rPr>
        <w:t xml:space="preserve">The following discussion and analysis of Leidos Holdings, Inc.'s ("Leidos") financial condition, results of operations, and quantitative and qualitative discussion about business environment and trends should be read in conjunction with Leidos' condensed consolidated financial statements and related notes. </w:t>
      </w:r>
    </w:p>
    <w:p>
      <w:pPr>
        <w:pStyle w:val="TextBody"/>
        <w:bidi w:val="0"/>
        <w:spacing w:lineRule="auto" w:line="312" w:before="120" w:after="120"/>
        <w:jc w:val="left"/>
        <w:rPr>
          <w:rFonts w:ascii="Avenir LT Pro 45 Book;sans-serif" w:hAnsi="Avenir LT Pro 45 Book;sans-serif"/>
          <w:b w:val="false"/>
          <w:i/>
          <w:color w:val="000000"/>
          <w:sz w:val="18"/>
        </w:rPr>
      </w:pPr>
      <w:r>
        <w:rPr>
          <w:rFonts w:ascii="Avenir LT Pro 45 Book;sans-serif" w:hAnsi="Avenir LT Pro 45 Book;sans-serif"/>
          <w:b w:val="false"/>
          <w:i/>
          <w:color w:val="000000"/>
          <w:sz w:val="18"/>
        </w:rPr>
        <w:t>The following discussion contains forward-looking statements, including statements regarding our intent, belief or current expectations with respect to, among other things, trends affecting our financial condition or results of operations, backlog, our industry, the impact of our merger and acquisition activity, government budgets and spending, our business contingency plans, interest rates and uncertainties in tax due to new tax legislation or other regulatory developments. In some cases, forward-looking statements can be identified by words such as “will,” “expect,” “estimate,” “plan,” “potential,” “continue” or similar expressions. Such statements are not guarantees of future performance and involve risks and uncertainties and actual results may differ materially from those in the forward-looking statements as a result of various factors. Some of these factors include, but are not limited to, the risk factors set forth in our Annual Report on Form 10-K, as updated by the risk factor in this report under Part II, Item 1A. "Risk Factors" and as may be further updated in subsequent filings with the U.S. Securities and Exchange Commission.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pStyle w:val="TextBody"/>
        <w:bidi w:val="0"/>
        <w:spacing w:lineRule="auto" w:line="312" w:before="120" w:after="120"/>
        <w:jc w:val="left"/>
        <w:rPr>
          <w:rFonts w:ascii="Avenir LT Pro 45 Book;sans-serif" w:hAnsi="Avenir LT Pro 45 Book;sans-serif"/>
          <w:b w:val="false"/>
          <w:i/>
          <w:color w:val="000000"/>
          <w:sz w:val="18"/>
        </w:rPr>
      </w:pPr>
      <w:r>
        <w:rPr>
          <w:rFonts w:ascii="Avenir LT Pro 45 Book;sans-serif" w:hAnsi="Avenir LT Pro 45 Book;sans-serif"/>
          <w:b w:val="false"/>
          <w:i/>
          <w:color w:val="000000"/>
          <w:sz w:val="18"/>
        </w:rPr>
        <w:t>Unless indicated otherwise, references in this report to "we," "us" and "our" refer collectively to Leidos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OVERVIEW</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Leidos is an industry and technology leader serving government and commercial customers with smarter, more efficient digital and mission innovations. Headquartered in Reston, Virginia, with 50,000 global employees, we pursue strategic growth across five pillars: defense tech; energy infrastructure; cyber; mission and digital solutions; and managed health services. Our customers include the U.S. Department of War (“DoW”), the U.S. Intelligence Community, the U.S. Department of Homeland Security, the Federal Aviation Administration, the Department of Veterans Affairs, and many other U.S. civilian, state and local government agencies, foreign government agencies and commercial businesses.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Beginning in fiscal 2026, we realigned our business and operate in four reportable segments that are focused on specific, defined capability sets we bring to our customers. As a result of this change, prior year segment results and disclosures have been recast to reflect the current reportable segment structure. We now operate in the following reportable segments: Intelligence &amp; Digital, Health, Homeland and Defense. We also separately present the unallocable costs associated with corporate functions as Corporate (see "Note 10–Business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BUSINESS ENVIRONMENT AND TRENDS</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U.S. GOVERNMENT MARKETS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During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3, 2026, we generated approximately 83% and 85%, respectively, of total revenues from contracts with the U.S. government, as compared to 87% for both the three and six months ended July 4, 2025.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While Congress continues to advance the government fiscal year 2027 appropriations bills, it is increasingly expected that lawmakers will rely on a short-term continuing resolution ("CR") to keep the government funded beyond the September 30, 2026 deadline. Failure to pass the appropriations bills or a CR by September 30, 2026, will result in a full or partial federal government shutdown.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0410"/>
                <wp:effectExtent l="0" t="0" r="0" b="0"/>
                <wp:wrapNone/>
                <wp:docPr id="27" name="Frame2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INTERNATIONAL MARKETS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Sales to customers in international markets represented approximately 9% and 8% of total revenues for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 xml:space="preserve">and six months ended July 3, 2026, respectively, and as compared to 8% of total revenues for both the </w:t>
      </w:r>
      <w:r>
        <w:rPr>
          <w:rFonts w:ascii="Avenir LT Pro 45 Book;sans-serif" w:hAnsi="Avenir LT Pro 45 Book;sans-serif"/>
          <w:b w:val="false"/>
          <w:color w:val="000000"/>
          <w:sz w:val="20"/>
        </w:rPr>
        <w:t>three</w:t>
      </w:r>
      <w:r>
        <w:rPr>
          <w:color w:val="000000"/>
        </w:rPr>
        <w:t xml:space="preserve"> </w:t>
      </w:r>
      <w:r>
        <w:rPr>
          <w:rFonts w:ascii="Avenir LT Pro 45 Book;sans-serif" w:hAnsi="Avenir LT Pro 45 Book;sans-serif"/>
          <w:b w:val="false"/>
          <w:color w:val="000000"/>
          <w:sz w:val="18"/>
        </w:rPr>
        <w:t>and six months ended July 4, 2025. Our international customers include foreign governments and their agencies. Our international business increases our exposure to international markets and the associated international regulatory, foreign currency exchange rate and geopolitical risks.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Changes in international trade policies, including higher tariffs on imported goods and materials, may increase the cost of certain goods necessary to fulfill our contractual requirements and for internal purposes. We expect to recover certain portions of the increase to the cost of goods through contractual measures. While we continue to evaluate the tariff environment and potential impacts of higher tariffs, we currently do not expect them to have a significant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RESULTS OF OPERATIONS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our condensed consolidated results of operations for the periods presented:</w:t>
      </w:r>
    </w:p>
    <w:tbl>
      <w:tblPr>
        <w:tblW w:w="10766" w:type="dxa"/>
        <w:jc w:val="left"/>
        <w:tblInd w:w="0" w:type="dxa"/>
        <w:tblLayout w:type="fixed"/>
        <w:tblCellMar>
          <w:top w:w="28" w:type="dxa"/>
          <w:left w:w="28" w:type="dxa"/>
          <w:bottom w:w="28" w:type="dxa"/>
          <w:right w:w="28" w:type="dxa"/>
        </w:tblCellMar>
      </w:tblPr>
      <w:tblGrid>
        <w:gridCol w:w="972"/>
        <w:gridCol w:w="853"/>
        <w:gridCol w:w="291"/>
        <w:gridCol w:w="226"/>
        <w:gridCol w:w="721"/>
        <w:gridCol w:w="286"/>
        <w:gridCol w:w="109"/>
        <w:gridCol w:w="109"/>
        <w:gridCol w:w="109"/>
        <w:gridCol w:w="226"/>
        <w:gridCol w:w="706"/>
        <w:gridCol w:w="271"/>
        <w:gridCol w:w="109"/>
        <w:gridCol w:w="109"/>
        <w:gridCol w:w="109"/>
        <w:gridCol w:w="340"/>
        <w:gridCol w:w="261"/>
        <w:gridCol w:w="442"/>
        <w:gridCol w:w="109"/>
        <w:gridCol w:w="109"/>
        <w:gridCol w:w="109"/>
        <w:gridCol w:w="226"/>
        <w:gridCol w:w="721"/>
        <w:gridCol w:w="286"/>
        <w:gridCol w:w="109"/>
        <w:gridCol w:w="109"/>
        <w:gridCol w:w="109"/>
        <w:gridCol w:w="226"/>
        <w:gridCol w:w="706"/>
        <w:gridCol w:w="271"/>
        <w:gridCol w:w="109"/>
        <w:gridCol w:w="109"/>
        <w:gridCol w:w="109"/>
        <w:gridCol w:w="320"/>
        <w:gridCol w:w="281"/>
        <w:gridCol w:w="499"/>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(dollars in millions)</w:t>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2116"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w:t>
            </w:r>
          </w:p>
        </w:tc>
        <w:tc>
          <w:tcPr>
            <w:tcW w:w="44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8,958</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8,498 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w:t>
            </w:r>
          </w:p>
        </w:tc>
        <w:tc>
          <w:tcPr>
            <w:tcW w:w="499"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w:t>
            </w:r>
          </w:p>
        </w:tc>
        <w:tc>
          <w:tcPr>
            <w:tcW w:w="44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w:t>
            </w:r>
          </w:p>
        </w:tc>
        <w:tc>
          <w:tcPr>
            <w:tcW w:w="499"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 net</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18.9</w:t>
            </w:r>
          </w:p>
        </w:tc>
        <w:tc>
          <w:tcPr>
            <w:tcW w:w="44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(142)</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35.2</w:t>
            </w:r>
          </w:p>
        </w:tc>
        <w:tc>
          <w:tcPr>
            <w:tcW w:w="499"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451</w:t>
            </w:r>
            <w:r>
              <w:rPr>
                <w:color w:val="000000"/>
              </w:rPr>
              <w:t> </w:t>
            </w:r>
          </w:p>
        </w:tc>
        <w:tc>
          <w:tcPr>
            <w:tcW w:w="286"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518 </w:t>
            </w:r>
          </w:p>
        </w:tc>
        <w:tc>
          <w:tcPr>
            <w:tcW w:w="27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w:t>
            </w:r>
          </w:p>
        </w:tc>
        <w:tc>
          <w:tcPr>
            <w:tcW w:w="442"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880</w:t>
            </w:r>
            <w:r>
              <w:rPr>
                <w:color w:val="000000"/>
              </w:rPr>
              <w:t> </w:t>
            </w:r>
          </w:p>
        </w:tc>
        <w:tc>
          <w:tcPr>
            <w:tcW w:w="286"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996 </w:t>
            </w:r>
          </w:p>
        </w:tc>
        <w:tc>
          <w:tcPr>
            <w:tcW w:w="27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(11.6</w:t>
            </w:r>
          </w:p>
        </w:tc>
        <w:tc>
          <w:tcPr>
            <w:tcW w:w="499"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tax expense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(95)</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(24.0</w:t>
            </w:r>
          </w:p>
        </w:tc>
        <w:tc>
          <w:tcPr>
            <w:tcW w:w="44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(189)</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(20.6</w:t>
            </w:r>
          </w:p>
        </w:tc>
        <w:tc>
          <w:tcPr>
            <w:tcW w:w="499"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286"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27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(9.4</w:t>
            </w:r>
          </w:p>
        </w:tc>
        <w:tc>
          <w:tcPr>
            <w:tcW w:w="442"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286"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271" w:type="dxa"/>
            <w:tcBorders>
              <w:top w:val="single" w:sz="8"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(8.8</w:t>
            </w:r>
          </w:p>
        </w:tc>
        <w:tc>
          <w:tcPr>
            <w:tcW w:w="499" w:type="dxa"/>
            <w:tcBorders>
              <w:top w:val="single" w:sz="8"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354</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27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w:t>
            </w:r>
          </w:p>
        </w:tc>
        <w:tc>
          <w:tcPr>
            <w:tcW w:w="442"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682</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754 </w:t>
            </w:r>
          </w:p>
        </w:tc>
        <w:tc>
          <w:tcPr>
            <w:tcW w:w="27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w:t>
            </w:r>
          </w:p>
        </w:tc>
        <w:tc>
          <w:tcPr>
            <w:tcW w:w="499"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2116"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Operating margin</w:t>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11.3</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13.4</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11.4</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13.0</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SEGMENT AND CORPORATE RESULTS</w:t>
      </w:r>
    </w:p>
    <w:tbl>
      <w:tblPr>
        <w:tblW w:w="10205" w:type="dxa"/>
        <w:jc w:val="left"/>
        <w:tblInd w:w="0" w:type="dxa"/>
        <w:tblLayout w:type="fixed"/>
        <w:tblCellMar>
          <w:top w:w="28" w:type="dxa"/>
          <w:left w:w="28" w:type="dxa"/>
          <w:bottom w:w="28" w:type="dxa"/>
          <w:right w:w="28" w:type="dxa"/>
        </w:tblCellMar>
      </w:tblPr>
      <w:tblGrid>
        <w:gridCol w:w="570"/>
        <w:gridCol w:w="502"/>
        <w:gridCol w:w="503"/>
        <w:gridCol w:w="226"/>
        <w:gridCol w:w="721"/>
        <w:gridCol w:w="286"/>
        <w:gridCol w:w="109"/>
        <w:gridCol w:w="109"/>
        <w:gridCol w:w="109"/>
        <w:gridCol w:w="226"/>
        <w:gridCol w:w="706"/>
        <w:gridCol w:w="271"/>
        <w:gridCol w:w="109"/>
        <w:gridCol w:w="109"/>
        <w:gridCol w:w="109"/>
        <w:gridCol w:w="259"/>
        <w:gridCol w:w="221"/>
        <w:gridCol w:w="552"/>
        <w:gridCol w:w="109"/>
        <w:gridCol w:w="109"/>
        <w:gridCol w:w="109"/>
        <w:gridCol w:w="226"/>
        <w:gridCol w:w="721"/>
        <w:gridCol w:w="286"/>
        <w:gridCol w:w="109"/>
        <w:gridCol w:w="109"/>
        <w:gridCol w:w="109"/>
        <w:gridCol w:w="226"/>
        <w:gridCol w:w="706"/>
        <w:gridCol w:w="271"/>
        <w:gridCol w:w="109"/>
        <w:gridCol w:w="109"/>
        <w:gridCol w:w="109"/>
        <w:gridCol w:w="258"/>
        <w:gridCol w:w="211"/>
        <w:gridCol w:w="622"/>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Intelligence &amp; Digital</w:t>
            </w:r>
          </w:p>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(dollars in millions)</w:t>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1575"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1,499</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1,408 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w:t>
            </w:r>
          </w:p>
        </w:tc>
        <w:tc>
          <w:tcPr>
            <w:tcW w:w="55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3,012</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2,816 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w:t>
            </w:r>
          </w:p>
        </w:tc>
        <w:tc>
          <w:tcPr>
            <w:tcW w:w="62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575"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142</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w:t>
            </w:r>
          </w:p>
        </w:tc>
        <w:tc>
          <w:tcPr>
            <w:tcW w:w="55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288</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267 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7.9</w:t>
            </w:r>
          </w:p>
        </w:tc>
        <w:tc>
          <w:tcPr>
            <w:tcW w:w="62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575" w:type="dxa"/>
            <w:gridSpan w:val="3"/>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Operating margin</w:t>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9.5</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9.6</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9.6</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9.5</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revenues and operating income for the three months ended July 3, 2026, as compared to the three months ended July 4, 2025, was primarily attributable to program wins, partially offset by the completion of certain contracts.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increase in revenues for the six months ended July 3, 2026, as compared to the six months ended July 4, 2025, was primarily attributable to program wins and $27 million of increased revenues recognized from the acquisition of Savanna Industries, Inc. ("Kudu Dynamics"), partially offset by the completion of certain contracts.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operating income for the six months ended July 3, 2026, as compared to the six months ended July 4, 2025, was primarily attributable to program wins and improved margins from program mix, partially offset by the completion of certain contracts.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60705"/>
                <wp:effectExtent l="0" t="0" r="0" b="0"/>
                <wp:wrapNone/>
                <wp:docPr id="28"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tbl>
      <w:tblPr>
        <w:tblW w:w="10205" w:type="dxa"/>
        <w:jc w:val="left"/>
        <w:tblInd w:w="0" w:type="dxa"/>
        <w:tblLayout w:type="fixed"/>
        <w:tblCellMar>
          <w:top w:w="28" w:type="dxa"/>
          <w:left w:w="28" w:type="dxa"/>
          <w:bottom w:w="28" w:type="dxa"/>
          <w:right w:w="28" w:type="dxa"/>
        </w:tblCellMar>
      </w:tblPr>
      <w:tblGrid>
        <w:gridCol w:w="563"/>
        <w:gridCol w:w="365"/>
        <w:gridCol w:w="368"/>
        <w:gridCol w:w="226"/>
        <w:gridCol w:w="721"/>
        <w:gridCol w:w="286"/>
        <w:gridCol w:w="109"/>
        <w:gridCol w:w="109"/>
        <w:gridCol w:w="109"/>
        <w:gridCol w:w="226"/>
        <w:gridCol w:w="706"/>
        <w:gridCol w:w="271"/>
        <w:gridCol w:w="109"/>
        <w:gridCol w:w="109"/>
        <w:gridCol w:w="109"/>
        <w:gridCol w:w="340"/>
        <w:gridCol w:w="288"/>
        <w:gridCol w:w="584"/>
        <w:gridCol w:w="109"/>
        <w:gridCol w:w="109"/>
        <w:gridCol w:w="109"/>
        <w:gridCol w:w="226"/>
        <w:gridCol w:w="721"/>
        <w:gridCol w:w="286"/>
        <w:gridCol w:w="109"/>
        <w:gridCol w:w="109"/>
        <w:gridCol w:w="109"/>
        <w:gridCol w:w="226"/>
        <w:gridCol w:w="706"/>
        <w:gridCol w:w="271"/>
        <w:gridCol w:w="109"/>
        <w:gridCol w:w="109"/>
        <w:gridCol w:w="109"/>
        <w:gridCol w:w="313"/>
        <w:gridCol w:w="222"/>
        <w:gridCol w:w="655"/>
      </w:tblGrid>
      <w:tr>
        <w:trPr/>
        <w:tc>
          <w:tcPr>
            <w:tcW w:w="5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Health</w:t>
            </w:r>
          </w:p>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(dollars in millions)</w:t>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129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1,175 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w:t>
            </w:r>
          </w:p>
        </w:tc>
        <w:tc>
          <w:tcPr>
            <w:tcW w:w="584"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2,274</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2,363 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(3.8</w:t>
            </w:r>
          </w:p>
        </w:tc>
        <w:tc>
          <w:tcPr>
            <w:tcW w:w="655"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96"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254</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(16.2</w:t>
            </w:r>
          </w:p>
        </w:tc>
        <w:tc>
          <w:tcPr>
            <w:tcW w:w="584"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538</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591 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w:t>
            </w:r>
          </w:p>
        </w:tc>
        <w:tc>
          <w:tcPr>
            <w:tcW w:w="655"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96"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Operating margin</w:t>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23.4</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25.8</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23.7</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25.0</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decrease in revenues and operating income for the three and six months ended July 3, 2026, as compared to the three and six months ended July 4, 2025, was primarily attributable to a net decrease in volumes.</w:t>
      </w:r>
    </w:p>
    <w:tbl>
      <w:tblPr>
        <w:tblW w:w="10205" w:type="dxa"/>
        <w:jc w:val="left"/>
        <w:tblInd w:w="0" w:type="dxa"/>
        <w:tblLayout w:type="fixed"/>
        <w:tblCellMar>
          <w:top w:w="28" w:type="dxa"/>
          <w:left w:w="28" w:type="dxa"/>
          <w:bottom w:w="28" w:type="dxa"/>
          <w:right w:w="28" w:type="dxa"/>
        </w:tblCellMar>
      </w:tblPr>
      <w:tblGrid>
        <w:gridCol w:w="428"/>
        <w:gridCol w:w="376"/>
        <w:gridCol w:w="377"/>
        <w:gridCol w:w="226"/>
        <w:gridCol w:w="721"/>
        <w:gridCol w:w="286"/>
        <w:gridCol w:w="109"/>
        <w:gridCol w:w="109"/>
        <w:gridCol w:w="109"/>
        <w:gridCol w:w="226"/>
        <w:gridCol w:w="526"/>
        <w:gridCol w:w="271"/>
        <w:gridCol w:w="328"/>
        <w:gridCol w:w="328"/>
        <w:gridCol w:w="330"/>
        <w:gridCol w:w="340"/>
        <w:gridCol w:w="192"/>
        <w:gridCol w:w="458"/>
        <w:gridCol w:w="109"/>
        <w:gridCol w:w="109"/>
        <w:gridCol w:w="109"/>
        <w:gridCol w:w="226"/>
        <w:gridCol w:w="721"/>
        <w:gridCol w:w="286"/>
        <w:gridCol w:w="109"/>
        <w:gridCol w:w="109"/>
        <w:gridCol w:w="109"/>
        <w:gridCol w:w="226"/>
        <w:gridCol w:w="706"/>
        <w:gridCol w:w="271"/>
        <w:gridCol w:w="109"/>
        <w:gridCol w:w="109"/>
        <w:gridCol w:w="109"/>
        <w:gridCol w:w="320"/>
        <w:gridCol w:w="210"/>
        <w:gridCol w:w="518"/>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1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Homeland</w:t>
            </w:r>
          </w:p>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(dollars in millions)</w:t>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986"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118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27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901588"/>
            </w:tcBorders>
            <w:tcMar>
              <w:left w:w="0" w:type="dxa"/>
              <w:bottom w:w="0" w:type="dxa"/>
              <w:right w:w="0" w:type="dxa"/>
            </w:tcMar>
            <w:vAlign w:val="center"/>
          </w:tcPr>
          <w:p>
            <w:pPr>
              <w:pStyle w:val="TableContents"/>
              <w:bidi w:val="0"/>
              <w:spacing w:before="0" w:after="283"/>
              <w:ind w:left="0" w:right="0" w:firstLine="900"/>
              <w:jc w:val="left"/>
              <w:rPr>
                <w:sz w:val="4"/>
                <w:szCs w:val="4"/>
              </w:rPr>
            </w:pPr>
            <w:r>
              <w:rPr>
                <w:sz w:val="4"/>
                <w:szCs w:val="4"/>
              </w:rPr>
            </w:r>
          </w:p>
        </w:tc>
        <w:tc>
          <w:tcPr>
            <w:tcW w:w="532"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32.0</w:t>
            </w:r>
          </w:p>
        </w:tc>
        <w:tc>
          <w:tcPr>
            <w:tcW w:w="458"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1,834</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1,541 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19.0</w:t>
            </w:r>
          </w:p>
        </w:tc>
        <w:tc>
          <w:tcPr>
            <w:tcW w:w="518"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18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92</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27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43.8</w:t>
            </w:r>
          </w:p>
        </w:tc>
        <w:tc>
          <w:tcPr>
            <w:tcW w:w="458"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125</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8"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181"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Operating margin</w:t>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9.0</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8.3</w:t>
            </w:r>
          </w:p>
        </w:tc>
        <w:tc>
          <w:tcPr>
            <w:tcW w:w="271"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986"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6.8</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8.1</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Avenir LT Pro 45 Book;sans-serif" w:hAnsi="Avenir LT Pro 45 Book;sans-serif"/>
          <w:b w:val="false"/>
          <w:color w:val="000000"/>
          <w:sz w:val="18"/>
        </w:rPr>
        <w:t xml:space="preserve">The increase in revenues for the three months ended July 3, 2026, as compared to the three months ended July 4, 2025, was primarily attributable to a net increase in volumes, program wins, </w:t>
      </w:r>
      <w:r>
        <w:rPr>
          <w:rFonts w:ascii="Avenir LT Pro 45 Book;sans-serif" w:hAnsi="Avenir LT Pro 45 Book;sans-serif"/>
          <w:b w:val="false"/>
          <w:color w:val="000000"/>
          <w:sz w:val="18"/>
          <w:shd w:fill="FFFFFF" w:val="clear"/>
        </w:rPr>
        <w:t>$141 million</w:t>
      </w:r>
      <w:r>
        <w:rPr>
          <w:color w:val="000000"/>
        </w:rPr>
        <w:t xml:space="preserve"> </w:t>
      </w:r>
      <w:r>
        <w:rPr>
          <w:rFonts w:ascii="Avenir LT Pro 45 Book;sans-serif" w:hAnsi="Avenir LT Pro 45 Book;sans-serif"/>
          <w:b w:val="false"/>
          <w:color w:val="000000"/>
          <w:sz w:val="18"/>
        </w:rPr>
        <w:t>recognized from the acquisition of Entrust and a $14 million favorable impact from exchange rate movements, partially offset by the completion of certain contracts.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increase in revenues for the six months ended July 3, 2026, as compared to the six months ended July 4, 2025, was primarily attributable to a net increase in volumes, program wins, </w:t>
      </w:r>
      <w:r>
        <w:rPr>
          <w:rFonts w:ascii="Avenir LT Pro 45 Book;sans-serif" w:hAnsi="Avenir LT Pro 45 Book;sans-serif"/>
          <w:b w:val="false"/>
          <w:color w:val="000000"/>
          <w:sz w:val="18"/>
          <w:shd w:fill="FFFFFF" w:val="clear"/>
        </w:rPr>
        <w:t>$152 million</w:t>
      </w:r>
      <w:r>
        <w:rPr>
          <w:color w:val="000000"/>
        </w:rPr>
        <w:t xml:space="preserve"> </w:t>
      </w:r>
      <w:r>
        <w:rPr>
          <w:rFonts w:ascii="Avenir LT Pro 45 Book;sans-serif" w:hAnsi="Avenir LT Pro 45 Book;sans-serif"/>
          <w:b w:val="false"/>
          <w:color w:val="000000"/>
          <w:sz w:val="18"/>
        </w:rPr>
        <w:t>recognized from the acquisition of Entrust and a $37 million favorable impact from exchange rate movements, partially offset by the completion of certain contracts and write-downs on certain programs.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operating income for the three and six months ended July 3, 2026, as compared to the three and six months ended July 4, 2025, was primarily attributable to a net increase in volumes, program wins and the contribution from the acquisition of Entrust. The increase was partially offset by increased amortization, acquisition and restructuring expenses.</w:t>
      </w:r>
    </w:p>
    <w:tbl>
      <w:tblPr>
        <w:tblW w:w="10205" w:type="dxa"/>
        <w:jc w:val="left"/>
        <w:tblInd w:w="0" w:type="dxa"/>
        <w:tblLayout w:type="fixed"/>
        <w:tblCellMar>
          <w:top w:w="28" w:type="dxa"/>
          <w:left w:w="28" w:type="dxa"/>
          <w:bottom w:w="28" w:type="dxa"/>
          <w:right w:w="28" w:type="dxa"/>
        </w:tblCellMar>
      </w:tblPr>
      <w:tblGrid>
        <w:gridCol w:w="482"/>
        <w:gridCol w:w="376"/>
        <w:gridCol w:w="378"/>
        <w:gridCol w:w="226"/>
        <w:gridCol w:w="526"/>
        <w:gridCol w:w="286"/>
        <w:gridCol w:w="109"/>
        <w:gridCol w:w="109"/>
        <w:gridCol w:w="109"/>
        <w:gridCol w:w="226"/>
        <w:gridCol w:w="526"/>
        <w:gridCol w:w="271"/>
        <w:gridCol w:w="328"/>
        <w:gridCol w:w="328"/>
        <w:gridCol w:w="330"/>
        <w:gridCol w:w="259"/>
        <w:gridCol w:w="221"/>
        <w:gridCol w:w="553"/>
        <w:gridCol w:w="109"/>
        <w:gridCol w:w="109"/>
        <w:gridCol w:w="109"/>
        <w:gridCol w:w="226"/>
        <w:gridCol w:w="721"/>
        <w:gridCol w:w="286"/>
        <w:gridCol w:w="109"/>
        <w:gridCol w:w="109"/>
        <w:gridCol w:w="109"/>
        <w:gridCol w:w="226"/>
        <w:gridCol w:w="706"/>
        <w:gridCol w:w="271"/>
        <w:gridCol w:w="109"/>
        <w:gridCol w:w="109"/>
        <w:gridCol w:w="109"/>
        <w:gridCol w:w="312"/>
        <w:gridCol w:w="211"/>
        <w:gridCol w:w="622"/>
      </w:tblGrid>
      <w:tr>
        <w:trPr/>
        <w:tc>
          <w:tcPr>
            <w:tcW w:w="4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12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Defense</w:t>
            </w:r>
          </w:p>
          <w:p>
            <w:pPr>
              <w:pStyle w:val="TableContents"/>
              <w:bidi w:val="0"/>
              <w:spacing w:lineRule="auto" w:line="288" w:before="0" w:after="0"/>
              <w:jc w:val="lef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(dollars in millions)</w:t>
            </w:r>
          </w:p>
        </w:tc>
        <w:tc>
          <w:tcPr>
            <w:tcW w:w="1038"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986"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123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271"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901588"/>
            </w:tcBorders>
            <w:tcMar>
              <w:left w:w="0" w:type="dxa"/>
              <w:bottom w:w="0" w:type="dxa"/>
              <w:right w:w="0" w:type="dxa"/>
            </w:tcMar>
            <w:vAlign w:val="center"/>
          </w:tcPr>
          <w:p>
            <w:pPr>
              <w:pStyle w:val="TableContents"/>
              <w:bidi w:val="0"/>
              <w:spacing w:before="0" w:after="283"/>
              <w:ind w:left="0" w:right="0" w:firstLine="900"/>
              <w:jc w:val="left"/>
              <w:rPr>
                <w:sz w:val="4"/>
                <w:szCs w:val="4"/>
              </w:rPr>
            </w:pPr>
            <w:r>
              <w:rPr>
                <w:sz w:val="4"/>
                <w:szCs w:val="4"/>
              </w:rPr>
            </w:r>
          </w:p>
        </w:tc>
        <w:tc>
          <w:tcPr>
            <w:tcW w:w="480"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w:t>
            </w:r>
          </w:p>
        </w:tc>
        <w:tc>
          <w:tcPr>
            <w:tcW w:w="553"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1,838</w:t>
            </w:r>
            <w:r>
              <w:rPr>
                <w:color w:val="000000"/>
              </w:rPr>
              <w:t> </w:t>
            </w:r>
          </w:p>
        </w:tc>
        <w:tc>
          <w:tcPr>
            <w:tcW w:w="286"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271" w:type="dxa"/>
            <w:tcBorders>
              <w:top w:val="single" w:sz="4" w:space="0" w:color="901588"/>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622" w:type="dxa"/>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36"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752"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84</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78 </w:t>
            </w:r>
          </w:p>
        </w:tc>
        <w:tc>
          <w:tcPr>
            <w:tcW w:w="271"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w:t>
            </w:r>
          </w:p>
        </w:tc>
        <w:tc>
          <w:tcPr>
            <w:tcW w:w="553"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146</w:t>
            </w:r>
            <w:r>
              <w:rPr>
                <w:color w:val="000000"/>
              </w:rPr>
              <w:t> </w:t>
            </w:r>
          </w:p>
        </w:tc>
        <w:tc>
          <w:tcPr>
            <w:tcW w:w="286"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271" w:type="dxa"/>
            <w:tcBorders>
              <w:top w:val="single" w:sz="4" w:space="0" w:color="B2B2B2"/>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w:t>
            </w:r>
          </w:p>
        </w:tc>
        <w:tc>
          <w:tcPr>
            <w:tcW w:w="622" w:type="dxa"/>
            <w:tcBorders>
              <w:top w:val="single" w:sz="4" w:space="0" w:color="B2B2B2"/>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36"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Operating margin</w:t>
            </w:r>
          </w:p>
        </w:tc>
        <w:tc>
          <w:tcPr>
            <w:tcW w:w="752"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8.8</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8.7</w:t>
            </w:r>
          </w:p>
        </w:tc>
        <w:tc>
          <w:tcPr>
            <w:tcW w:w="271"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986"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7.9</w:t>
            </w:r>
          </w:p>
        </w:tc>
        <w:tc>
          <w:tcPr>
            <w:tcW w:w="286"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i/>
                <w:color w:val="000000"/>
                <w:sz w:val="18"/>
              </w:rPr>
            </w:pPr>
            <w:r>
              <w:rPr>
                <w:rFonts w:ascii="Avenir LT Pro 95 Black;sans-serif" w:hAnsi="Avenir LT Pro 95 Black;sans-serif"/>
                <w:b/>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8.5</w:t>
            </w:r>
          </w:p>
        </w:tc>
        <w:tc>
          <w:tcPr>
            <w:tcW w:w="271" w:type="dxa"/>
            <w:tcBorders>
              <w:top w:val="single" w:sz="4" w:space="0" w:color="B2B2B2"/>
              <w:bottom w:val="single" w:sz="4" w:space="0" w:color="901588"/>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w:t>
            </w:r>
          </w:p>
        </w:tc>
        <w:tc>
          <w:tcPr>
            <w:tcW w:w="327"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2B2B2"/>
              <w:bottom w:val="single" w:sz="4" w:space="0" w:color="901588"/>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revenues for the three and six months ended July 3, 2026, as compared to the three and six months ended July 4, 2025, was primarily attributable to program wins and increased volumes on existing contracts, partially offset by the completion of certain contracts.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operating income for the three months ended July 3, 2026, as compared to the three months ended July 4, 2025, was primarily attributable to program wins, partially offset by the completion of certain contracts.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decrease in operating income for the six months ended July 3, 2026, as compared to the six months ended July 4, 2025, was primarily attributable to the completion of higher-margin contracts, partially offset by program wins.</w:t>
      </w:r>
    </w:p>
    <w:tbl>
      <w:tblPr>
        <w:tblW w:w="9763" w:type="dxa"/>
        <w:jc w:val="left"/>
        <w:tblInd w:w="0" w:type="dxa"/>
        <w:tblLayout w:type="fixed"/>
        <w:tblCellMar>
          <w:top w:w="28" w:type="dxa"/>
          <w:left w:w="28" w:type="dxa"/>
          <w:bottom w:w="28" w:type="dxa"/>
          <w:right w:w="28" w:type="dxa"/>
        </w:tblCellMar>
      </w:tblPr>
      <w:tblGrid>
        <w:gridCol w:w="657"/>
        <w:gridCol w:w="577"/>
        <w:gridCol w:w="580"/>
        <w:gridCol w:w="226"/>
        <w:gridCol w:w="496"/>
        <w:gridCol w:w="109"/>
        <w:gridCol w:w="109"/>
        <w:gridCol w:w="109"/>
        <w:gridCol w:w="109"/>
        <w:gridCol w:w="226"/>
        <w:gridCol w:w="376"/>
        <w:gridCol w:w="109"/>
        <w:gridCol w:w="109"/>
        <w:gridCol w:w="109"/>
        <w:gridCol w:w="109"/>
        <w:gridCol w:w="509"/>
        <w:gridCol w:w="509"/>
        <w:gridCol w:w="511"/>
        <w:gridCol w:w="109"/>
        <w:gridCol w:w="109"/>
        <w:gridCol w:w="109"/>
        <w:gridCol w:w="226"/>
        <w:gridCol w:w="496"/>
        <w:gridCol w:w="109"/>
        <w:gridCol w:w="109"/>
        <w:gridCol w:w="109"/>
        <w:gridCol w:w="109"/>
        <w:gridCol w:w="226"/>
        <w:gridCol w:w="496"/>
        <w:gridCol w:w="109"/>
        <w:gridCol w:w="109"/>
        <w:gridCol w:w="109"/>
        <w:gridCol w:w="109"/>
        <w:gridCol w:w="323"/>
        <w:gridCol w:w="323"/>
        <w:gridCol w:w="93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000000"/>
                <w:sz w:val="18"/>
              </w:rPr>
            </w:pPr>
            <w:r>
              <w:rPr>
                <w:rFonts w:ascii="Avenir LT Pro 95 Black;sans-serif" w:hAnsi="Avenir LT Pro 95 Black;sans-serif"/>
                <w:b/>
                <w:color w:val="000000"/>
                <w:sz w:val="18"/>
              </w:rPr>
              <w:t>Corporate</w:t>
            </w:r>
          </w:p>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(dollars in millions)</w:t>
            </w:r>
          </w:p>
        </w:tc>
        <w:tc>
          <w:tcPr>
            <w:tcW w:w="831"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op w:val="single" w:sz="4" w:space="0" w:color="90158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901588"/>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1814" w:type="dxa"/>
            <w:gridSpan w:val="3"/>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loss</w:t>
            </w:r>
          </w:p>
        </w:tc>
        <w:tc>
          <w:tcPr>
            <w:tcW w:w="226"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496"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(58)</w:t>
            </w:r>
          </w:p>
        </w:tc>
        <w:tc>
          <w:tcPr>
            <w:tcW w:w="109"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76"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w:t>
            </w:r>
          </w:p>
        </w:tc>
        <w:tc>
          <w:tcPr>
            <w:tcW w:w="109"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6"/>
              </w:rPr>
            </w:pPr>
            <w:r>
              <w:rPr>
                <w:rFonts w:ascii="Avenir LT Pro 35 Light;sans-serif" w:hAnsi="Avenir LT Pro 35 Light;sans-serif"/>
                <w:b w:val="false"/>
                <w:i/>
                <w:color w:val="000000"/>
                <w:sz w:val="16"/>
              </w:rPr>
              <w:t>NM</w:t>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496"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(75)</w:t>
            </w:r>
          </w:p>
        </w:tc>
        <w:tc>
          <w:tcPr>
            <w:tcW w:w="109" w:type="dxa"/>
            <w:tcBorders>
              <w:top w:val="single" w:sz="4" w:space="0" w:color="901588"/>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496"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09"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120.6</w:t>
            </w:r>
          </w:p>
        </w:tc>
        <w:tc>
          <w:tcPr>
            <w:tcW w:w="935" w:type="dxa"/>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jc w:val="left"/>
        <w:rPr>
          <w:rFonts w:ascii="Avenir LT Pro 45 Book;sans-serif" w:hAnsi="Avenir LT Pro 45 Book;sans-serif"/>
          <w:b w:val="false"/>
          <w:i/>
          <w:color w:val="000000"/>
          <w:sz w:val="14"/>
        </w:rPr>
      </w:pPr>
      <w:r>
        <w:rPr>
          <w:rFonts w:ascii="Avenir LT Pro 45 Book;sans-serif" w:hAnsi="Avenir LT Pro 45 Book;sans-serif"/>
          <w:b w:val="false"/>
          <w:i/>
          <w:color w:val="000000"/>
          <w:sz w:val="14"/>
        </w:rPr>
        <w:t>NM - Not Meaningful</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operating loss for the three months ended July 3, 2026, as compared to the three months ended July 4, 2025, was primarily attributable to the receipt of a $25 million insurance reimbursement in the prior year for legal costs primarily incurred prior to fiscal year 2025, and increased acquisition and integration costs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40410"/>
                <wp:effectExtent l="0" t="0" r="0" b="0"/>
                <wp:wrapNone/>
                <wp:docPr id="29" name="Frame2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26</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increase in operating loss for the six months ended July 3, 2026, as compared to the six months ended July 4, 2025, was primarily attributable to higher insurance reimbursements for legal costs in the prior year, and increased acquisition and integration costs in the current year.</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NON-OPERATING EXPENSE, NET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Non-operating expense, net for the three months ended July 3, 2026, was $63 million as compared to $53 million for the three months ended July 4, 2025. The increase was primarily attributable to increased interest expense from the termination of our senior unsecured bridge loan facility and issuance of our $600 million and $800 million senior notes.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Non-operating expense, net for the six months ended July 3, 2026, was $142 million as compared to $105 million for the six months ended July 4, 2025. The increase was primarily attributable to a $23 million settlement loss from the buy-out of our UK defined benefit pension plan and increased interest expense from the termination of our senior unsecured bridge loan facility and issuance of our $600 million and $800 million senior notes.</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PROVISION FOR INCOME TAXES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effective tax rate was 21.1% for the three months ended July 3, 2026, compared to 24.1% for the three months ended July 4, 2025, and 21.5% for the six months ended July 3, 2026, compared to 23.9% for the six months ended July 4, 2025. The decrease in both periods was primarily due to a decrease in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BOOKINGS AND BACKLOG</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We recorded net bookings worth an estimated $4.9 billion and $8.2 billion during the </w:t>
      </w:r>
      <w:r>
        <w:rPr>
          <w:rFonts w:ascii="Avenir LT Pro 45 Book;sans-serif" w:hAnsi="Avenir LT Pro 45 Book;sans-serif"/>
          <w:b w:val="false"/>
          <w:color w:val="000000"/>
          <w:sz w:val="20"/>
        </w:rPr>
        <w:t xml:space="preserve">three </w:t>
      </w:r>
      <w:r>
        <w:rPr>
          <w:rFonts w:ascii="Avenir LT Pro 45 Book;sans-serif" w:hAnsi="Avenir LT Pro 45 Book;sans-serif"/>
          <w:b w:val="false"/>
          <w:color w:val="000000"/>
          <w:sz w:val="18"/>
        </w:rPr>
        <w:t xml:space="preserve">and six months ended July 3, 2026, respectively, as compared to $3.9 billion and $6.0 billion for the three and six months ended July 4, 2025, respectively.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estimated value of our total backlog was as follows:</w:t>
      </w:r>
    </w:p>
    <w:tbl>
      <w:tblPr>
        <w:tblW w:w="10205" w:type="dxa"/>
        <w:jc w:val="left"/>
        <w:tblInd w:w="0" w:type="dxa"/>
        <w:tblLayout w:type="fixed"/>
        <w:tblCellMar>
          <w:top w:w="28" w:type="dxa"/>
          <w:left w:w="28" w:type="dxa"/>
          <w:bottom w:w="28" w:type="dxa"/>
          <w:right w:w="28" w:type="dxa"/>
        </w:tblCellMar>
      </w:tblPr>
      <w:tblGrid>
        <w:gridCol w:w="591"/>
        <w:gridCol w:w="519"/>
        <w:gridCol w:w="523"/>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5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4E8F3"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 2025</w:t>
            </w:r>
          </w:p>
        </w:tc>
      </w:tr>
      <w:tr>
        <w:trPr/>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117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Funded</w:t>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Unfunded</w:t>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Funded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Unfunded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r>
      <w:tr>
        <w:trPr/>
        <w:tc>
          <w:tcPr>
            <w:tcW w:w="1633"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1,922</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16,492</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18,414</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1,667 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16,081 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17,748 </w:t>
            </w:r>
          </w:p>
        </w:tc>
        <w:tc>
          <w:tcPr>
            <w:tcW w:w="155"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Health </w:t>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1,242</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5,369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6,611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504 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7,522 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8,026 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3,669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6,261</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9,930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2,918 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6,920 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9,838 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3,390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10,366</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13,756</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2,033 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8,565 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10,598 </w:t>
            </w:r>
          </w:p>
        </w:tc>
        <w:tc>
          <w:tcPr>
            <w:tcW w:w="155"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10,223</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38,488</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48,711</w:t>
            </w:r>
            <w:r>
              <w:rPr>
                <w:color w:val="000000"/>
              </w:rPr>
              <w:t> </w:t>
            </w:r>
          </w:p>
        </w:tc>
        <w:tc>
          <w:tcPr>
            <w:tcW w:w="109" w:type="dxa"/>
            <w:tcBorders>
              <w:top w:val="single" w:sz="8" w:space="0" w:color="901588"/>
              <w:bottom w:val="doub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7,122 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39,088 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46,210 </w:t>
            </w:r>
          </w:p>
        </w:tc>
        <w:tc>
          <w:tcPr>
            <w:tcW w:w="155"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Backlog at July 3, 2026, includes amounts acquired as part of the Entrust transaction. As of March 27, 2026, the acquisition date, Entrust had $371 million of backlog that was included within the Homeland reportable segment.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Backlog estimates are subject to change and may be affected by factors including modifications of contracts and foreign currency movements.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LIQUIDITY AND CAPITAL RESOURCES</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OVERVIEW OF LIQUIDITY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July 3, 2026, we had $748 million in cash and cash equivalents. We have a senior unsecured revolving credit facility which can provide up to $1.5 billion in additional borrowing, if required, and a commercial paper program under which we may issue short-term unsecured commercial paper notes ("Commercial Paper Notes") not to exceed $1.5 billion, with maturities of up to 397 days from the date of issuance. As of July 3, 2026, and January 2, 2026, there were no borrowings outstanding under the revolving credit facility and no Commercial Paper Notes outstanding.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had outstanding debt of $6.0 billion and $4.6 billion at July 3, 2026, and January 2, 2026, respectively. In March 2026, we issued and sold $600 million 4.10% and $800 million 5.00% senior unsecured notes maturing in March 2029 and March 2036,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60705"/>
                <wp:effectExtent l="0" t="0" r="0" b="0"/>
                <wp:wrapNone/>
                <wp:docPr id="30"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respectively. The annual interest rate is payable on a semi-annual basis. The proceeds from the notes were used to fund a portion of the consideration payable in connection with the acquisition of Entrust and for general corporate purposes.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made $5 million and $10 million principal payments on our long-term debt during the three and six months ended July 3, 2026, respectively, and $30 million and $559 million during the three and six months July 4, 2025, respectively. The activity for the six months ended July 4, 2025, included a $500 million payment to discharge the $500 million notes due May 2025.</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senior unsecured revolving credit facility, Commercial Paper Notes, senior unsecured term loan and notes outstanding as of July 3, 2026, contain financial covenants and customary restrictive covenants. We were in compliance with all financial covenants as of July 3, 2026.</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paid dividends of $55 million and $110 million during the three and six months ended July 3, 2026, respectively, and $52 million and $105 million for the three and six months ended July 4, 2025, respectively.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 repurchases of Leidos common stock may be made on the open market or in privately negotiated transactions with third parties including through accelerated share repurchase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made open market repurchases of our common stock for an aggregate purchase price of $66 million and $266 million during the three and six months ended July 3, 2026, respectively. During the three and six months ended July 4, 2025, we did not make any open market repurchases; however, we repurchased $500 million of shares under an accelerated share repurchase agreement during the six months ended July 4, 2025.</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During the three and six months ended July 3, 2026, we invested $12 million and $18 million, respectively, in an investment fund as a limited partner. In connection with this investment, we have committed to invest an additional $82 million over the next five years. We expect to fund this investment with cash on hand and cash generated through our operations.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SUMMARY OF CASH FLOWS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summarizes cash flow information for the periods presented:</w:t>
      </w:r>
    </w:p>
    <w:tbl>
      <w:tblPr>
        <w:tblW w:w="9529" w:type="dxa"/>
        <w:jc w:val="left"/>
        <w:tblInd w:w="0" w:type="dxa"/>
        <w:tblLayout w:type="fixed"/>
        <w:tblCellMar>
          <w:top w:w="28" w:type="dxa"/>
          <w:left w:w="28" w:type="dxa"/>
          <w:bottom w:w="28" w:type="dxa"/>
          <w:right w:w="28" w:type="dxa"/>
        </w:tblCellMar>
      </w:tblPr>
      <w:tblGrid>
        <w:gridCol w:w="1697"/>
        <w:gridCol w:w="1493"/>
        <w:gridCol w:w="1505"/>
        <w:gridCol w:w="244"/>
        <w:gridCol w:w="570"/>
        <w:gridCol w:w="118"/>
        <w:gridCol w:w="118"/>
        <w:gridCol w:w="118"/>
        <w:gridCol w:w="118"/>
        <w:gridCol w:w="244"/>
        <w:gridCol w:w="570"/>
        <w:gridCol w:w="118"/>
        <w:gridCol w:w="109"/>
        <w:gridCol w:w="109"/>
        <w:gridCol w:w="109"/>
        <w:gridCol w:w="226"/>
        <w:gridCol w:w="721"/>
        <w:gridCol w:w="109"/>
        <w:gridCol w:w="109"/>
        <w:gridCol w:w="109"/>
        <w:gridCol w:w="109"/>
        <w:gridCol w:w="226"/>
        <w:gridCol w:w="526"/>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932"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54"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r>
      <w:tr>
        <w:trPr/>
        <w:tc>
          <w:tcPr>
            <w:tcW w:w="4695"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provided by operating activities</w:t>
            </w:r>
          </w:p>
        </w:tc>
        <w:tc>
          <w:tcPr>
            <w:tcW w:w="244"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70"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793</w:t>
            </w:r>
            <w:r>
              <w:rPr>
                <w:color w:val="000000"/>
              </w:rPr>
              <w:t> </w:t>
            </w:r>
          </w:p>
        </w:tc>
        <w:tc>
          <w:tcPr>
            <w:tcW w:w="118"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70"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486 </w:t>
            </w:r>
          </w:p>
        </w:tc>
        <w:tc>
          <w:tcPr>
            <w:tcW w:w="118"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1,094</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544 </w:t>
            </w:r>
          </w:p>
        </w:tc>
        <w:tc>
          <w:tcPr>
            <w:tcW w:w="15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used in investing activities</w:t>
            </w:r>
          </w:p>
        </w:tc>
        <w:tc>
          <w:tcPr>
            <w:tcW w:w="814"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(38)</w:t>
            </w:r>
          </w:p>
        </w:tc>
        <w:tc>
          <w:tcPr>
            <w:tcW w:w="118"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(314)</w:t>
            </w:r>
          </w:p>
        </w:tc>
        <w:tc>
          <w:tcPr>
            <w:tcW w:w="118"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(2,397)</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(336)</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(used in) provided by financing activities</w:t>
            </w:r>
          </w:p>
        </w:tc>
        <w:tc>
          <w:tcPr>
            <w:tcW w:w="814"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(423)</w:t>
            </w:r>
          </w:p>
        </w:tc>
        <w:tc>
          <w:tcPr>
            <w:tcW w:w="118"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w:t>
            </w:r>
          </w:p>
        </w:tc>
        <w:tc>
          <w:tcPr>
            <w:tcW w:w="118"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970</w:t>
            </w:r>
            <w:r>
              <w:rPr>
                <w:color w:val="000000"/>
              </w:rPr>
              <w:t> </w:t>
            </w:r>
          </w:p>
        </w:tc>
        <w:tc>
          <w:tcPr>
            <w:tcW w:w="10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(193)</w:t>
            </w:r>
          </w:p>
        </w:tc>
        <w:tc>
          <w:tcPr>
            <w:tcW w:w="154"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cash provided by operating activities increased $307 million and $550 million for the three and six months ended July 3, 2026, respectively when compared to the prior year. The increases were primarily due to favorable changes in working capital, excess tax payments made in the prior year and the timing of payroll and employee benefit payments.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cash used in investing activities decreased $276 million for the three months ended July 3, 2026, when compared to the prior year quarter primarily due to $285 million of net cash paid related to the acquisition of Kudu Dynamics in the prior year quarter.</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cash used in investing activities increased $2,061 million for the six months ended July 3, 2026, when compared to the prior year. The increase was primarily due to $2,338 million of cash paid in connection with the acquisition of Entrust, net of cash acquired.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Net cash used in financing activities increased $340 million for the three months ended July 3, 2026, when compared to the prior year quarter. The increase was primarily due to a $300 million repayment on our commercial paper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0410"/>
                <wp:effectExtent l="0" t="0" r="0" b="0"/>
                <wp:wrapNone/>
                <wp:docPr id="31" name="Frame3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28</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cash provided by financing activities increased $1,163 million for the six months ended July 3, 2026, when compared to the prior year. The increase was primarily due to a net increase of $941 million in cash inflows from debt activity, consisting of proceeds from debt issuances and payments for borrowings and debt issuance costs. The increase was also related to $234 million net decrease in stock repurchases, primarily attributable to the prior year accelerated share repurchase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OFF-BALANCE SHEET ARRANGEMENTS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outstanding performance guarantees and cross-indemnity agreements in connection with certain aspects of our business and future commitments related to an investment fund. We also have letters of credit outstanding principally related to performance guarantees on contracts and surety bonds outstanding principally related to performance and subcontractor payment bonds as described in "Note 11–Commitments and Contingencies" of the notes to the condensed consolidated financial statements contained within this Quarterly Report on Form 10-Q. These arrangements have not had, and management does not believe it is likely that they will in the future have, a material effect on our liquidity, capital expenditures or capital resources,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GUARANTOR AND ISSUER OF GUARANTEED SECURITIES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tbl>
      <w:tblPr>
        <w:tblW w:w="6120" w:type="dxa"/>
        <w:jc w:val="left"/>
        <w:tblInd w:w="0" w:type="dxa"/>
        <w:tblLayout w:type="fixed"/>
        <w:tblCellMar>
          <w:top w:w="28" w:type="dxa"/>
          <w:left w:w="28" w:type="dxa"/>
          <w:bottom w:w="28" w:type="dxa"/>
          <w:right w:w="28" w:type="dxa"/>
        </w:tblCellMar>
      </w:tblPr>
      <w:tblGrid>
        <w:gridCol w:w="1957"/>
        <w:gridCol w:w="1722"/>
        <w:gridCol w:w="2441"/>
      </w:tblGrid>
      <w:tr>
        <w:trPr/>
        <w:tc>
          <w:tcPr>
            <w:tcW w:w="195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Senior unsecured Registered Notes issued by Leidos, Inc.:</w:t>
            </w:r>
          </w:p>
        </w:tc>
      </w:tr>
      <w:tr>
        <w:trPr/>
        <w:tc>
          <w:tcPr>
            <w:tcW w:w="612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$600 million 4.100% notes, due March 2029</w:t>
            </w:r>
          </w:p>
        </w:tc>
      </w:tr>
      <w:tr>
        <w:trPr/>
        <w:tc>
          <w:tcPr>
            <w:tcW w:w="612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million 4.375% notes, due May 2030</w:t>
            </w:r>
          </w:p>
        </w:tc>
      </w:tr>
      <w:tr>
        <w:trPr/>
        <w:tc>
          <w:tcPr>
            <w:tcW w:w="612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$1,000 million 2.300% notes, due February 2031</w:t>
            </w:r>
          </w:p>
        </w:tc>
      </w:tr>
      <w:tr>
        <w:trPr/>
        <w:tc>
          <w:tcPr>
            <w:tcW w:w="612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million 5.400% notes, due March 2032</w:t>
            </w:r>
          </w:p>
        </w:tc>
      </w:tr>
      <w:tr>
        <w:trPr/>
        <w:tc>
          <w:tcPr>
            <w:tcW w:w="612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$750 million 5.750% notes, due March 2033</w:t>
            </w:r>
          </w:p>
        </w:tc>
      </w:tr>
      <w:tr>
        <w:trPr/>
        <w:tc>
          <w:tcPr>
            <w:tcW w:w="612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$500 million 5.500% notes, due March 2035</w:t>
            </w:r>
          </w:p>
        </w:tc>
      </w:tr>
      <w:tr>
        <w:trPr/>
        <w:tc>
          <w:tcPr>
            <w:tcW w:w="6120"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$800 million 5.000% notes, due March 2036</w:t>
            </w:r>
          </w:p>
        </w:tc>
      </w:tr>
    </w:tbl>
    <w:p>
      <w:pPr>
        <w:pStyle w:val="TextBody"/>
        <w:bidi w:val="0"/>
        <w:spacing w:lineRule="auto" w:line="312"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tbl>
      <w:tblPr>
        <w:tblW w:w="7289" w:type="dxa"/>
        <w:jc w:val="left"/>
        <w:tblInd w:w="0" w:type="dxa"/>
        <w:tblLayout w:type="fixed"/>
        <w:tblCellMar>
          <w:top w:w="28" w:type="dxa"/>
          <w:left w:w="28" w:type="dxa"/>
          <w:bottom w:w="28" w:type="dxa"/>
          <w:right w:w="28" w:type="dxa"/>
        </w:tblCellMar>
      </w:tblPr>
      <w:tblGrid>
        <w:gridCol w:w="2331"/>
        <w:gridCol w:w="2049"/>
        <w:gridCol w:w="2909"/>
      </w:tblGrid>
      <w:tr>
        <w:trPr/>
        <w:tc>
          <w:tcPr>
            <w:tcW w:w="233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Senior unsecured unregistered debt securities issued by Leidos, Inc.:</w:t>
            </w:r>
          </w:p>
        </w:tc>
      </w:tr>
      <w:tr>
        <w:trPr/>
        <w:tc>
          <w:tcPr>
            <w:tcW w:w="728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$250 million 7.125% notes, due July 2032</w:t>
            </w:r>
          </w:p>
        </w:tc>
      </w:tr>
      <w:tr>
        <w:trPr/>
        <w:tc>
          <w:tcPr>
            <w:tcW w:w="7289"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$300 million 5.500% notes, due July 2033</w:t>
            </w:r>
          </w:p>
        </w:tc>
      </w:tr>
    </w:tbl>
    <w:p>
      <w:pPr>
        <w:pStyle w:val="TextBody"/>
        <w:bidi w:val="0"/>
        <w:spacing w:lineRule="auto" w:line="312" w:before="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Additionally, Leidos, Inc. has fully and unconditionally guaranteed debt securities of Leidos Holdings, Inc. that were issued pursuant to transactions that were not registered under the Securities Act of 1933, as amended. The following is a list of unregistered debt securities guaranteed by Leidos, Inc.</w:t>
      </w:r>
    </w:p>
    <w:tbl>
      <w:tblPr>
        <w:tblW w:w="8249" w:type="dxa"/>
        <w:jc w:val="left"/>
        <w:tblInd w:w="0" w:type="dxa"/>
        <w:tblLayout w:type="fixed"/>
        <w:tblCellMar>
          <w:top w:w="28" w:type="dxa"/>
          <w:left w:w="28" w:type="dxa"/>
          <w:bottom w:w="28" w:type="dxa"/>
          <w:right w:w="28" w:type="dxa"/>
        </w:tblCellMar>
      </w:tblPr>
      <w:tblGrid>
        <w:gridCol w:w="2638"/>
        <w:gridCol w:w="2319"/>
        <w:gridCol w:w="3292"/>
      </w:tblGrid>
      <w:tr>
        <w:trPr/>
        <w:tc>
          <w:tcPr>
            <w:tcW w:w="2638"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Senior unsecured unregistered debt securities issued by Leidos Holdings, Inc.:</w:t>
            </w:r>
          </w:p>
        </w:tc>
      </w:tr>
      <w:tr>
        <w:trPr/>
        <w:tc>
          <w:tcPr>
            <w:tcW w:w="8249" w:type="dxa"/>
            <w:gridSpan w:val="3"/>
            <w:tcBorders>
              <w:top w:val="single" w:sz="4" w:space="0" w:color="901588"/>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$300 million 5.950% notes, due December 2040</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60705"/>
                <wp:effectExtent l="0" t="0" r="0" b="0"/>
                <wp:wrapNone/>
                <wp:docPr id="32" name="Frame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BALANCE SHEET INFORMATION FOR THE GUARANTOR AND ISSUER OF REGISTERED NOTES</w:t>
      </w:r>
    </w:p>
    <w:tbl>
      <w:tblPr>
        <w:tblW w:w="6665" w:type="dxa"/>
        <w:jc w:val="left"/>
        <w:tblInd w:w="0" w:type="dxa"/>
        <w:tblLayout w:type="fixed"/>
        <w:tblCellMar>
          <w:top w:w="28" w:type="dxa"/>
          <w:left w:w="28" w:type="dxa"/>
          <w:bottom w:w="28" w:type="dxa"/>
          <w:right w:w="28" w:type="dxa"/>
        </w:tblCellMar>
      </w:tblPr>
      <w:tblGrid>
        <w:gridCol w:w="1313"/>
        <w:gridCol w:w="1154"/>
        <w:gridCol w:w="1162"/>
        <w:gridCol w:w="109"/>
        <w:gridCol w:w="109"/>
        <w:gridCol w:w="109"/>
        <w:gridCol w:w="226"/>
        <w:gridCol w:w="841"/>
        <w:gridCol w:w="109"/>
        <w:gridCol w:w="109"/>
        <w:gridCol w:w="109"/>
        <w:gridCol w:w="109"/>
        <w:gridCol w:w="226"/>
        <w:gridCol w:w="82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w:t>
              <w:br/>
              <w:t>2026</w:t>
            </w:r>
          </w:p>
        </w:tc>
      </w:tr>
      <w:tr>
        <w:trPr/>
        <w:tc>
          <w:tcPr>
            <w:tcW w:w="362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assets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2,845</w:t>
            </w:r>
            <w:r>
              <w:rPr>
                <w:color w:val="000000"/>
              </w:rPr>
              <w:t> </w:t>
            </w:r>
          </w:p>
        </w:tc>
        <w:tc>
          <w:tcPr>
            <w:tcW w:w="10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3,036 </w:t>
            </w:r>
          </w:p>
        </w:tc>
        <w:tc>
          <w:tcPr>
            <w:tcW w:w="154"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Goodwill</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5,424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5,666 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1,145</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1,250 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9,414</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9,952 </w:t>
            </w:r>
          </w:p>
        </w:tc>
        <w:tc>
          <w:tcPr>
            <w:tcW w:w="154"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2,169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1,954 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Long-term debt, net of current portion</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6,009</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4,628 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Intercompany payables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5,324</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4,706 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liabilities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930</w:t>
            </w:r>
            <w:r>
              <w:rPr>
                <w:color w:val="000000"/>
              </w:rPr>
              <w:t> </w:t>
            </w:r>
          </w:p>
        </w:tc>
        <w:tc>
          <w:tcPr>
            <w:tcW w:w="10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942 </w:t>
            </w:r>
          </w:p>
        </w:tc>
        <w:tc>
          <w:tcPr>
            <w:tcW w:w="154"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sing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bottom w:val="single" w:sz="8"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14,432</w:t>
            </w:r>
            <w:r>
              <w:rPr>
                <w:color w:val="000000"/>
              </w:rPr>
              <w:t> </w:t>
            </w:r>
          </w:p>
        </w:tc>
        <w:tc>
          <w:tcPr>
            <w:tcW w:w="109" w:type="dxa"/>
            <w:tcBorders>
              <w:top w:val="single" w:sz="8" w:space="0" w:color="901588"/>
              <w:bottom w:val="single" w:sz="8"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sing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sing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12,230 </w:t>
            </w:r>
          </w:p>
        </w:tc>
        <w:tc>
          <w:tcPr>
            <w:tcW w:w="154" w:type="dxa"/>
            <w:tcBorders>
              <w:top w:val="single" w:sz="8" w:space="0" w:color="901588"/>
              <w:bottom w:val="sing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STATEMENT OF OPERATIONS INFORMATION FOR THE GUARANTOR AND ISSUER OF REGISTERED NOTES</w:t>
      </w:r>
    </w:p>
    <w:tbl>
      <w:tblPr>
        <w:tblW w:w="7196" w:type="dxa"/>
        <w:jc w:val="left"/>
        <w:tblInd w:w="0" w:type="dxa"/>
        <w:tblLayout w:type="fixed"/>
        <w:tblCellMar>
          <w:top w:w="28" w:type="dxa"/>
          <w:left w:w="28" w:type="dxa"/>
          <w:bottom w:w="28" w:type="dxa"/>
          <w:right w:w="28" w:type="dxa"/>
        </w:tblCellMar>
      </w:tblPr>
      <w:tblGrid>
        <w:gridCol w:w="1762"/>
        <w:gridCol w:w="1549"/>
        <w:gridCol w:w="1563"/>
        <w:gridCol w:w="109"/>
        <w:gridCol w:w="109"/>
        <w:gridCol w:w="109"/>
        <w:gridCol w:w="409"/>
        <w:gridCol w:w="1307"/>
        <w:gridCol w:w="279"/>
      </w:tblGrid>
      <w:tr>
        <w:trPr/>
        <w:tc>
          <w:tcPr>
            <w:tcW w:w="176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r>
      <w:tr>
        <w:trPr/>
        <w:tc>
          <w:tcPr>
            <w:tcW w:w="487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net</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307" w:type="dxa"/>
            <w:tcBorders>
              <w:top w:val="single" w:sz="4"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5,473</w:t>
            </w:r>
            <w:r>
              <w:rPr>
                <w:color w:val="000000"/>
              </w:rPr>
              <w:t> </w:t>
            </w:r>
          </w:p>
        </w:tc>
        <w:tc>
          <w:tcPr>
            <w:tcW w:w="279" w:type="dxa"/>
            <w:tcBorders>
              <w:top w:val="single" w:sz="4"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4" w:space="0" w:color="B2B2B2"/>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400</w:t>
            </w:r>
            <w:r>
              <w:rPr>
                <w:color w:val="000000"/>
              </w:rPr>
              <w:t> </w:t>
            </w:r>
          </w:p>
        </w:tc>
        <w:tc>
          <w:tcPr>
            <w:tcW w:w="279" w:type="dxa"/>
            <w:tcBorders>
              <w:top w:val="single" w:sz="4" w:space="0" w:color="B2B2B2"/>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loss attributable to Leidos common stockholders</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(25)</w:t>
            </w:r>
          </w:p>
        </w:tc>
        <w:tc>
          <w:tcPr>
            <w:tcW w:w="279" w:type="dxa"/>
            <w:tcBorders>
              <w:top w:val="single" w:sz="4" w:space="0" w:color="B2B2B2"/>
              <w:bottom w:val="single" w:sz="4" w:space="0" w:color="901588"/>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CONTRACTUAL OBLIGATIONS AND COMMITMENTS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subject to a number of reviews, investigations, claims, lawsuits, other uncertainties and future obligations related to our business. For a discussion of these items, see "Note 11–Commitments and Contingencies" of the notes to the condensed consolidated financial statements contained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CRITICAL ACCOUNTING POLICIES AND ESTIMATES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There were no material changes to our critical accounting policies, estimates or judgments that would have a significant impact on earnings during the period covered by this report from those discussed in our Annual Report on Form 10-K for the year ended January 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RECENTLY ADOPTED AND ISSUED ACCOUNTING STANDARDS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a discussion of these items, see "Note 1–Basis of Presentation and Summary of Significant Accounting Policies" of the notes to the condensed consolidated financial statements contained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40410"/>
                <wp:effectExtent l="0" t="0" r="0" b="0"/>
                <wp:wrapNone/>
                <wp:docPr id="33" name="Frame3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30</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I—FINANCIAL INFORMATION</w:t>
      </w:r>
    </w:p>
    <w:p>
      <w:pPr>
        <w:pStyle w:val="TextBody"/>
        <w:bidi w:val="0"/>
        <w:spacing w:lineRule="auto" w:line="288" w:before="28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3. Quantitative and Qualitative Disclosures About Market Risk</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There were no material changes in our market risk exposure from those discussed in our Annual Report on Form 10-K for the year ended January 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4. Controls and Procedures</w:t>
      </w: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EVALUATION OF DISCLOSURE CONTROLS AND PROCEDURES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July 3, 2026.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CHANGES IN INTERNAL CONTROL OVER FINANCIAL REPORTING</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On March 27, 2026, we completed the acquisition of Entrust and are in the process of integrating the company into our system of internal control over financial reporting.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than the Entrust integration, there have been no changes in our internal control over financial reporting during the quarter ended July 3, 2026, that have materially affected, or are reasonably likely to materially affect, our internal control over financial reporting.</w:t>
      </w:r>
    </w:p>
    <w:p>
      <w:pPr>
        <w:pStyle w:val="TextBody"/>
        <w:bidi w:val="0"/>
        <w:spacing w:before="12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60705"/>
                <wp:effectExtent l="0" t="0" r="0" b="0"/>
                <wp:wrapNone/>
                <wp:docPr id="34" name="Frame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0" w:after="32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1. Legal Proceedings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furnished information relating to legal proceedings, and any investigations and reviews that we are involved with in "Note 11–Commitments and Contingencies" of the notes to the condensed consolidated financial statements contained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1A. Risk Factors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There were no material changes to the risks described in Part I, Item 1A "Risk Factors" in our Annual Report on Form 10-K for the year ended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2. Unregistered Sales of Equity Securities and Use of Proceeds</w:t>
      </w:r>
    </w:p>
    <w:p>
      <w:pPr>
        <w:pStyle w:val="TextBody"/>
        <w:bidi w:val="0"/>
        <w:spacing w:lineRule="auto" w:line="288" w:before="120" w:after="120"/>
        <w:ind w:left="0" w:right="0" w:hanging="288"/>
        <w:jc w:val="left"/>
        <w:rPr/>
      </w:pPr>
      <w:r>
        <w:rPr>
          <w:rFonts w:ascii="Avenir LT Pro 45 Book;sans-serif" w:hAnsi="Avenir LT Pro 45 Book;sans-serif"/>
          <w:b/>
          <w:color w:val="000000"/>
          <w:sz w:val="14"/>
        </w:rPr>
        <w:t>(a)</w:t>
      </w:r>
      <w:r>
        <w:rPr>
          <w:rFonts w:ascii="Avenir LT Pro 45 Book;sans-serif" w:hAnsi="Avenir LT Pro 45 Book;sans-serif"/>
          <w:b w:val="false"/>
          <w:color w:val="000000"/>
          <w:sz w:val="18"/>
        </w:rPr>
        <w:t>None</w:t>
      </w:r>
    </w:p>
    <w:p>
      <w:pPr>
        <w:pStyle w:val="TextBody"/>
        <w:bidi w:val="0"/>
        <w:spacing w:lineRule="auto" w:line="288" w:before="120" w:after="120"/>
        <w:ind w:left="0" w:right="0" w:hanging="288"/>
        <w:jc w:val="left"/>
        <w:rPr/>
      </w:pPr>
      <w:r>
        <w:rPr>
          <w:rFonts w:ascii="Avenir LT Pro 45 Book;sans-serif" w:hAnsi="Avenir LT Pro 45 Book;sans-serif"/>
          <w:b/>
          <w:color w:val="000000"/>
          <w:sz w:val="14"/>
        </w:rPr>
        <w:t>(b)</w:t>
      </w:r>
      <w:r>
        <w:rPr>
          <w:rFonts w:ascii="Avenir LT Pro 45 Book;sans-serif" w:hAnsi="Avenir LT Pro 45 Book;sans-serif"/>
          <w:b w:val="false"/>
          <w:color w:val="000000"/>
          <w:sz w:val="18"/>
        </w:rPr>
        <w:t>None</w:t>
      </w:r>
    </w:p>
    <w:p>
      <w:pPr>
        <w:pStyle w:val="TextBody"/>
        <w:bidi w:val="0"/>
        <w:spacing w:lineRule="auto" w:line="288" w:before="120" w:after="120"/>
        <w:ind w:left="0" w:right="0" w:hanging="288"/>
        <w:jc w:val="left"/>
        <w:rPr/>
      </w:pPr>
      <w:r>
        <w:rPr>
          <w:rFonts w:ascii="Avenir LT Pro 45 Book;sans-serif" w:hAnsi="Avenir LT Pro 45 Book;sans-serif"/>
          <w:b/>
          <w:color w:val="000000"/>
          <w:sz w:val="14"/>
        </w:rPr>
        <w:t>(c)</w:t>
      </w:r>
      <w:r>
        <w:rPr>
          <w:rFonts w:ascii="Avenir LT Pro 45 Book;sans-serif" w:hAnsi="Avenir LT Pro 45 Book;sans-serif"/>
          <w:b w:val="false"/>
          <w:color w:val="000000"/>
          <w:sz w:val="18"/>
        </w:rPr>
        <w:t xml:space="preserve">Purchases of Equity Securities by the Issuer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presents information related to the repurchases of our common stock during the quarter ended July 3, 2026.</w:t>
      </w:r>
    </w:p>
    <w:tbl>
      <w:tblPr>
        <w:tblW w:w="10205" w:type="dxa"/>
        <w:jc w:val="left"/>
        <w:tblInd w:w="0" w:type="dxa"/>
        <w:tblLayout w:type="fixed"/>
        <w:tblCellMar>
          <w:top w:w="28" w:type="dxa"/>
          <w:left w:w="28" w:type="dxa"/>
          <w:bottom w:w="28" w:type="dxa"/>
          <w:right w:w="28" w:type="dxa"/>
        </w:tblCellMar>
      </w:tblPr>
      <w:tblGrid>
        <w:gridCol w:w="772"/>
        <w:gridCol w:w="676"/>
        <w:gridCol w:w="682"/>
        <w:gridCol w:w="499"/>
        <w:gridCol w:w="481"/>
        <w:gridCol w:w="466"/>
        <w:gridCol w:w="109"/>
        <w:gridCol w:w="109"/>
        <w:gridCol w:w="109"/>
        <w:gridCol w:w="285"/>
        <w:gridCol w:w="1045"/>
        <w:gridCol w:w="137"/>
        <w:gridCol w:w="109"/>
        <w:gridCol w:w="109"/>
        <w:gridCol w:w="109"/>
        <w:gridCol w:w="664"/>
        <w:gridCol w:w="639"/>
        <w:gridCol w:w="640"/>
        <w:gridCol w:w="109"/>
        <w:gridCol w:w="109"/>
        <w:gridCol w:w="109"/>
        <w:gridCol w:w="653"/>
        <w:gridCol w:w="653"/>
        <w:gridCol w:w="932"/>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Period</w:t>
            </w:r>
          </w:p>
        </w:tc>
        <w:tc>
          <w:tcPr>
            <w:tcW w:w="14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 Number</w:t>
            </w:r>
          </w:p>
          <w:p>
            <w:pPr>
              <w:pStyle w:val="TableContents"/>
              <w:bidi w:val="0"/>
              <w:spacing w:lineRule="auto" w:line="288" w:before="0" w:after="0"/>
              <w:jc w:val="right"/>
              <w:rPr/>
            </w:pPr>
            <w:r>
              <w:rPr>
                <w:rFonts w:ascii="Avenir LT Pro 95 Black;sans-serif" w:hAnsi="Avenir LT Pro 95 Black;sans-serif"/>
                <w:b/>
                <w:color w:val="000000"/>
                <w:sz w:val="18"/>
              </w:rPr>
              <w:t>of Shares</w:t>
            </w:r>
            <w:r>
              <w:rPr>
                <w:rFonts w:ascii="Avenir LT Pro 95 Black;sans-serif" w:hAnsi="Avenir LT Pro 95 Black;sans-serif"/>
                <w:b/>
                <w:color w:val="000000"/>
                <w:sz w:val="12"/>
              </w:rPr>
              <w:t>(1)</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(or Units)</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Average Price</w:t>
              <w:br/>
              <w:t>Paid per</w:t>
              <w:br/>
              <w:t>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 Number of</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Shares (or Units)</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Purchased as Part of</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Publicly Announced</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Repurchase Plans</w:t>
            </w:r>
          </w:p>
          <w:p>
            <w:pPr>
              <w:pStyle w:val="TableContents"/>
              <w:bidi w:val="0"/>
              <w:spacing w:lineRule="auto" w:line="288" w:before="0" w:after="0"/>
              <w:jc w:val="right"/>
              <w:rPr/>
            </w:pPr>
            <w:r>
              <w:rPr>
                <w:rFonts w:ascii="Avenir LT Pro 95 Black;sans-serif" w:hAnsi="Avenir LT Pro 95 Black;sans-serif"/>
                <w:b/>
                <w:color w:val="000000"/>
                <w:sz w:val="18"/>
              </w:rPr>
              <w:t>or Programs</w:t>
            </w:r>
            <w:r>
              <w:rPr>
                <w:rFonts w:ascii="Avenir LT Pro 95 Black;sans-serif" w:hAnsi="Avenir LT Pro 95 Black;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Maximum Number</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of Shares (or Units)</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that May Yet Be</w:t>
            </w:r>
          </w:p>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Purchased Under the</w:t>
            </w:r>
          </w:p>
          <w:p>
            <w:pPr>
              <w:pStyle w:val="TableContents"/>
              <w:bidi w:val="0"/>
              <w:spacing w:lineRule="auto" w:line="288" w:before="0" w:after="0"/>
              <w:jc w:val="right"/>
              <w:rPr/>
            </w:pPr>
            <w:r>
              <w:rPr>
                <w:rFonts w:ascii="Avenir LT Pro 95 Black;sans-serif" w:hAnsi="Avenir LT Pro 95 Black;sans-serif"/>
                <w:b/>
                <w:color w:val="000000"/>
                <w:sz w:val="18"/>
              </w:rPr>
              <w:t>Plans or Programs</w:t>
            </w:r>
            <w:r>
              <w:rPr>
                <w:rFonts w:ascii="Avenir LT Pro 95 Black;sans-serif" w:hAnsi="Avenir LT Pro 95 Black;sans-serif"/>
                <w:b/>
                <w:color w:val="000000"/>
                <w:sz w:val="12"/>
              </w:rPr>
              <w:t>(2)</w:t>
            </w:r>
          </w:p>
        </w:tc>
      </w:tr>
      <w:tr>
        <w:trPr/>
        <w:tc>
          <w:tcPr>
            <w:tcW w:w="213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April 4, 2026 - April 30, 2026</w:t>
            </w:r>
          </w:p>
        </w:tc>
        <w:tc>
          <w:tcPr>
            <w:tcW w:w="980"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45"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512,468 </w:t>
            </w:r>
          </w:p>
        </w:tc>
        <w:tc>
          <w:tcPr>
            <w:tcW w:w="932"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May 1, 2026 - May 31, 2026</w:t>
            </w:r>
          </w:p>
        </w:tc>
        <w:tc>
          <w:tcPr>
            <w:tcW w:w="1446"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 xml:space="preserve">512,469 </w:t>
            </w:r>
            <w:r>
              <w:rPr>
                <w:rFonts w:ascii="Avenir LT Pro 35 Light;sans-serif" w:hAnsi="Avenir LT Pro 35 Light;sans-serif"/>
                <w:b w:val="false"/>
                <w:color w:val="000000"/>
                <w:sz w:val="12"/>
              </w:rPr>
              <w:t>(3)</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128.04 </w:t>
            </w:r>
          </w:p>
        </w:tc>
        <w:tc>
          <w:tcPr>
            <w:tcW w:w="13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512,469 </w:t>
            </w:r>
          </w:p>
        </w:tc>
        <w:tc>
          <w:tcPr>
            <w:tcW w:w="640"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June 1, 2026 - June 30, 2026</w:t>
            </w:r>
          </w:p>
        </w:tc>
        <w:tc>
          <w:tcPr>
            <w:tcW w:w="98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31,440 </w:t>
            </w:r>
          </w:p>
        </w:tc>
        <w:tc>
          <w:tcPr>
            <w:tcW w:w="46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107.12 </w:t>
            </w:r>
          </w:p>
        </w:tc>
        <w:tc>
          <w:tcPr>
            <w:tcW w:w="13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1, 2026 - July 3, 2026</w:t>
            </w:r>
          </w:p>
        </w:tc>
        <w:tc>
          <w:tcPr>
            <w:tcW w:w="98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2"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980" w:type="dxa"/>
            <w:gridSpan w:val="2"/>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543,909 </w:t>
            </w:r>
          </w:p>
        </w:tc>
        <w:tc>
          <w:tcPr>
            <w:tcW w:w="46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45"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126.83 </w:t>
            </w:r>
          </w:p>
        </w:tc>
        <w:tc>
          <w:tcPr>
            <w:tcW w:w="137" w:type="dxa"/>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512,469 </w:t>
            </w:r>
          </w:p>
        </w:tc>
        <w:tc>
          <w:tcPr>
            <w:tcW w:w="640"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88"/>
        <w:jc w:val="left"/>
        <w:rPr/>
      </w:pPr>
      <w:r>
        <w:rPr>
          <w:rFonts w:ascii="Avenir LT Pro 45 Book;sans-serif" w:hAnsi="Avenir LT Pro 45 Book;sans-serif"/>
          <w:b/>
          <w:color w:val="000000"/>
          <w:sz w:val="14"/>
        </w:rPr>
        <w:t>(1)</w:t>
      </w:r>
      <w:r>
        <w:rPr>
          <w:rFonts w:ascii="Avenir LT Pro 45 Book;sans-serif" w:hAnsi="Avenir LT Pro 45 Book;sans-serif"/>
          <w:b w:val="false"/>
          <w:color w:val="000000"/>
          <w:sz w:val="14"/>
        </w:rPr>
        <w:t>The total number of shares purchased includes shares surrendered to satisfy statutory tax withholding obligations related to vesting of restricted stock units.</w:t>
      </w:r>
    </w:p>
    <w:p>
      <w:pPr>
        <w:pStyle w:val="TextBody"/>
        <w:bidi w:val="0"/>
        <w:spacing w:lineRule="auto" w:line="288" w:before="120" w:after="120"/>
        <w:ind w:left="0" w:right="0" w:hanging="288"/>
        <w:jc w:val="left"/>
        <w:rPr/>
      </w:pPr>
      <w:r>
        <w:rPr>
          <w:rFonts w:ascii="Avenir LT Pro 45 Book;sans-serif" w:hAnsi="Avenir LT Pro 45 Book;sans-serif"/>
          <w:b/>
          <w:color w:val="000000"/>
          <w:sz w:val="14"/>
        </w:rPr>
        <w:t>(2)</w:t>
      </w:r>
      <w:r>
        <w:rPr>
          <w:rFonts w:ascii="Avenir LT Pro 45 Book;sans-serif" w:hAnsi="Avenir LT Pro 45 Book;sans-serif"/>
          <w:b w:val="false"/>
          <w:color w:val="000000"/>
          <w:sz w:val="14"/>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In July 2026, our Board of Directors authorized a revised share repurchase program of up to 20 million shares of our outstanding common stock. This updated authorization replaced the 2022 authorization with the same terms as the 2022 authorization.</w:t>
      </w:r>
    </w:p>
    <w:p>
      <w:pPr>
        <w:pStyle w:val="TextBody"/>
        <w:bidi w:val="0"/>
        <w:spacing w:lineRule="auto" w:line="288" w:before="120" w:after="120"/>
        <w:ind w:left="0" w:right="0" w:hanging="288"/>
        <w:jc w:val="left"/>
        <w:rPr/>
      </w:pPr>
      <w:r>
        <w:rPr>
          <w:rFonts w:ascii="Avenir LT Pro 45 Book;sans-serif" w:hAnsi="Avenir LT Pro 45 Book;sans-serif"/>
          <w:b/>
          <w:color w:val="000000"/>
          <w:sz w:val="14"/>
        </w:rPr>
        <w:t>(3)</w:t>
      </w:r>
      <w:r>
        <w:rPr>
          <w:rFonts w:ascii="Avenir LT Pro 45 Book;sans-serif" w:hAnsi="Avenir LT Pro 45 Book;sans-serif"/>
          <w:b w:val="false"/>
          <w:color w:val="000000"/>
          <w:sz w:val="14"/>
        </w:rPr>
        <w:t>On July 31, 2026, our Board of Directors ratified the purchase of one share of common stock inadvertently purchased in excess of the previously authorized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3. Defaults Upon Senior Securities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4. Mine Safety Disclosures</w:t>
      </w:r>
    </w:p>
    <w:p>
      <w:pPr>
        <w:pStyle w:val="TextBody"/>
        <w:bidi w:val="0"/>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40410"/>
                <wp:effectExtent l="0" t="0" r="0" b="0"/>
                <wp:wrapNone/>
                <wp:docPr id="35" name="Frame3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32</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II—OTHER INFORMATION</w:t>
      </w:r>
    </w:p>
    <w:p>
      <w:pPr>
        <w:pStyle w:val="TextBody"/>
        <w:bidi w:val="0"/>
        <w:spacing w:lineRule="auto" w:line="288" w:before="220" w:after="12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5. Other Information</w:t>
      </w:r>
    </w:p>
    <w:p>
      <w:pPr>
        <w:pStyle w:val="TextBody"/>
        <w:bidi w:val="0"/>
        <w:spacing w:lineRule="auto" w:line="288" w:before="240" w:after="120"/>
        <w:jc w:val="left"/>
        <w:rPr>
          <w:rFonts w:ascii="Avenir LT Pro 95 Black;sans-serif" w:hAnsi="Avenir LT Pro 95 Black;sans-serif"/>
          <w:b/>
          <w:color w:val="000000"/>
          <w:sz w:val="24"/>
        </w:rPr>
      </w:pPr>
      <w:r>
        <w:rPr>
          <w:rFonts w:ascii="Avenir LT Pro 95 Black;sans-serif" w:hAnsi="Avenir LT Pro 95 Black;sans-serif"/>
          <w:b/>
          <w:color w:val="000000"/>
          <w:sz w:val="24"/>
        </w:rPr>
        <w:t>RULE 10B5-1 TRADING ARRANGEMENT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the three months ended July 3, 2026, no director or officer of the Company adopted, modified or terminated a “Rule 10b5-1 trading arrangement” or “non-Rule 10b5-1 trading arrangement,” as each term is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60705"/>
                <wp:effectExtent l="0" t="0" r="0" b="0"/>
                <wp:wrapNone/>
                <wp:docPr id="36" name="Frame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II—OTHER INFORMATION</w:t>
      </w:r>
    </w:p>
    <w:p>
      <w:pPr>
        <w:pStyle w:val="TextBody"/>
        <w:bidi w:val="0"/>
        <w:spacing w:lineRule="auto" w:line="288" w:before="0" w:after="0"/>
        <w:jc w:val="left"/>
        <w:rPr>
          <w:rFonts w:ascii="Avenir LT Pro 95 Black;sans-serif" w:hAnsi="Avenir LT Pro 95 Black;sans-serif"/>
          <w:b/>
          <w:color w:val="901588"/>
          <w:sz w:val="28"/>
        </w:rPr>
      </w:pPr>
      <w:r>
        <w:rPr>
          <w:rFonts w:ascii="Avenir LT Pro 95 Black;sans-serif" w:hAnsi="Avenir LT Pro 95 Black;sans-serif"/>
          <w:b/>
          <w:color w:val="901588"/>
          <w:sz w:val="28"/>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793"/>
        <w:gridCol w:w="2679"/>
        <w:gridCol w:w="378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Exhibit</w:t>
              <w:br/>
              <w:t>Number</w:t>
            </w:r>
          </w:p>
        </w:tc>
        <w:tc>
          <w:tcPr>
            <w:tcW w:w="9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Description of Exhibit</w:t>
            </w:r>
          </w:p>
        </w:tc>
      </w:tr>
      <w:tr>
        <w:trPr/>
        <w:tc>
          <w:tcPr>
            <w:tcW w:w="946"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w:t>
            </w:r>
          </w:p>
        </w:tc>
        <w:tc>
          <w:tcPr>
            <w:tcW w:w="9259"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312" w:before="0" w:after="0"/>
              <w:jc w:val="left"/>
              <w:rPr/>
            </w:pPr>
            <w:hyperlink r:id="rId3">
              <w:r>
                <w:rPr>
                  <w:rStyle w:val="InternetLink"/>
                  <w:rFonts w:ascii="Avenir LT Pro 45 Book;sans-serif" w:hAnsi="Avenir LT Pro 45 Book;sans-serif"/>
                  <w:b w:val="false"/>
                  <w:color w:val="000080"/>
                  <w:sz w:val="18"/>
                </w:rPr>
                <w:t>List of Guarantors and Subsidiary Issuers of Guaranteed Securities.</w:t>
              </w:r>
            </w:hyperlink>
            <w:hyperlink r:id="rId4">
              <w:r>
                <w:rPr>
                  <w:rStyle w:val="InternetLink"/>
                  <w:rFonts w:ascii="Avenir LT Pro 45 Book;sans-serif" w:hAnsi="Avenir LT Pro 45 Book;sans-serif"/>
                  <w:b w:val="false"/>
                  <w:color w:val="000080"/>
                  <w:sz w:val="18"/>
                </w:rPr>
                <w:t xml:space="preserve"> Incorporated herein by reference to Exhibit 22 to our Quarterly Report on Form 10-Q, filed with the SEC on May 5,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31.1</w:t>
            </w:r>
          </w:p>
        </w:tc>
        <w:tc>
          <w:tcPr>
            <w:tcW w:w="92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dos070326ex311.htm">
              <w:r>
                <w:rPr>
                  <w:rStyle w:val="InternetLink"/>
                  <w:rFonts w:ascii="Avenir LT Pro 45 Book;sans-serif" w:hAnsi="Avenir LT Pro 45 Book;sans-serif"/>
                  <w:b w:val="false"/>
                  <w:color w:val="901588"/>
                  <w:sz w:val="18"/>
                </w:rPr>
                <w:t>Certification of Chief Executive Officer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31.2</w:t>
            </w:r>
          </w:p>
        </w:tc>
        <w:tc>
          <w:tcPr>
            <w:tcW w:w="92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dos070326ex312.htm">
              <w:r>
                <w:rPr>
                  <w:rStyle w:val="InternetLink"/>
                  <w:rFonts w:ascii="Avenir LT Pro 45 Book;sans-serif" w:hAnsi="Avenir LT Pro 45 Book;sans-serif"/>
                  <w:b w:val="false"/>
                  <w:color w:val="901588"/>
                  <w:sz w:val="18"/>
                </w:rPr>
                <w:t>Certification of Executive Vice President and Chief Financial Officer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32.1</w:t>
            </w:r>
          </w:p>
        </w:tc>
        <w:tc>
          <w:tcPr>
            <w:tcW w:w="92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dos070326ex321.htm">
              <w:r>
                <w:rPr>
                  <w:rStyle w:val="InternetLink"/>
                  <w:rFonts w:ascii="Avenir LT Pro 45 Book;sans-serif" w:hAnsi="Avenir LT Pro 45 Book;sans-serif"/>
                  <w:b w:val="false"/>
                  <w:color w:val="901588"/>
                  <w:sz w:val="18"/>
                </w:rPr>
                <w:t>Certification of Chief Executive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32.2</w:t>
            </w:r>
          </w:p>
        </w:tc>
        <w:tc>
          <w:tcPr>
            <w:tcW w:w="92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ldos070326ex322.htm">
              <w:r>
                <w:rPr>
                  <w:rStyle w:val="InternetLink"/>
                  <w:rFonts w:ascii="Avenir LT Pro 45 Book;sans-serif" w:hAnsi="Avenir LT Pro 45 Book;sans-serif"/>
                  <w:b w:val="false"/>
                  <w:color w:val="901588"/>
                  <w:sz w:val="18"/>
                </w:rPr>
                <w:t>Certification of Executive Vice President and Chief Financial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101</w:t>
            </w:r>
          </w:p>
        </w:tc>
        <w:tc>
          <w:tcPr>
            <w:tcW w:w="92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901588"/>
                <w:sz w:val="18"/>
              </w:rPr>
            </w:pPr>
            <w:r>
              <w:rPr>
                <w:rFonts w:ascii="Avenir LT Pro 45 Book;sans-serif" w:hAnsi="Avenir LT Pro 45 Book;sans-serif"/>
                <w:b w:val="false"/>
                <w:color w:val="901588"/>
                <w:sz w:val="18"/>
              </w:rPr>
              <w:t>Interactive Data File. The instance document does not appear in the Interactive Data File because its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4" w:space="0" w:color="901588"/>
            </w:tcBorders>
            <w:tcMar>
              <w:top w:w="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w:t>
            </w:r>
          </w:p>
        </w:tc>
        <w:tc>
          <w:tcPr>
            <w:tcW w:w="9259" w:type="dxa"/>
            <w:gridSpan w:val="3"/>
            <w:tcBorders>
              <w:bottom w:val="single" w:sz="4" w:space="0" w:color="901588"/>
            </w:tcBorders>
            <w:tcMar>
              <w:top w:w="0" w:type="dxa"/>
              <w:left w:w="0" w:type="dxa"/>
              <w:bottom w:w="30" w:type="dxa"/>
              <w:right w:w="0" w:type="dxa"/>
            </w:tcMar>
            <w:vAlign w:val="center"/>
          </w:tcPr>
          <w:p>
            <w:pPr>
              <w:pStyle w:val="TableContents"/>
              <w:bidi w:val="0"/>
              <w:spacing w:lineRule="auto" w:line="312" w:before="0" w:after="283"/>
              <w:jc w:val="left"/>
              <w:rPr>
                <w:rFonts w:ascii="Avenir LT Pro 45 Book;sans-serif" w:hAnsi="Avenir LT Pro 45 Book;sans-serif"/>
                <w:b w:val="false"/>
                <w:color w:val="901588"/>
                <w:sz w:val="18"/>
              </w:rPr>
            </w:pPr>
            <w:r>
              <w:rPr>
                <w:rFonts w:ascii="Avenir LT Pro 45 Book;sans-serif" w:hAnsi="Avenir LT Pro 45 Book;sans-serif"/>
                <w:b w:val="false"/>
                <w:color w:val="901588"/>
                <w:sz w:val="18"/>
              </w:rPr>
              <w:t>Cover Page Interactive Data File.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40410"/>
                <wp:effectExtent l="0" t="0" r="0" b="0"/>
                <wp:wrapNone/>
                <wp:docPr id="37" name="Frame3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190" w:type="dxa"/>
                        <w:jc w:val="left"/>
                        <w:tblInd w:w="0" w:type="dxa"/>
                        <w:tblLayout w:type="fixed"/>
                        <w:tblCellMar>
                          <w:top w:w="28" w:type="dxa"/>
                          <w:left w:w="28" w:type="dxa"/>
                          <w:bottom w:w="28" w:type="dxa"/>
                          <w:right w:w="28" w:type="dxa"/>
                        </w:tblCellMar>
                      </w:tblPr>
                      <w:tblGrid>
                        <w:gridCol w:w="130"/>
                        <w:gridCol w:w="115"/>
                        <w:gridCol w:w="116"/>
                        <w:gridCol w:w="535"/>
                        <w:gridCol w:w="535"/>
                        <w:gridCol w:w="75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color w:val="901588"/>
                                <w:sz w:val="16"/>
                              </w:rPr>
                            </w:pPr>
                            <w:r>
                              <w:rPr>
                                <w:rFonts w:ascii="Avenir LT Pro 95 Black;sans-serif" w:hAnsi="Avenir LT Pro 95 Black;sans-serif"/>
                                <w:b/>
                                <w:color w:val="901588"/>
                                <w:sz w:val="16"/>
                              </w:rPr>
                              <w:t>34</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pPr>
      <w:hyperlink w:anchor="i5ab61b4bbe4a4ef9a239e38dfb69a0a6_7">
        <w:r>
          <w:rPr>
            <w:rStyle w:val="InternetLink"/>
            <w:rFonts w:ascii="Avenir LT Pro 45 Book;sans-serif" w:hAnsi="Avenir LT Pro 45 Book;sans-serif"/>
            <w:b/>
            <w:color w:val="B15BAC"/>
            <w:sz w:val="18"/>
            <w:u w:val="single"/>
          </w:rPr>
          <w:t>Table of Contents</w:t>
        </w:r>
      </w:hyperlink>
    </w:p>
    <w:p>
      <w:pPr>
        <w:pStyle w:val="TextBody"/>
        <w:bidi w:val="0"/>
        <w:spacing w:lineRule="auto" w:line="288" w:before="1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PART II—OTHER INFORMATION</w:t>
      </w:r>
    </w:p>
    <w:p>
      <w:pPr>
        <w:pStyle w:val="TextBody"/>
        <w:bidi w:val="0"/>
        <w:spacing w:lineRule="auto" w:line="288" w:before="0" w:after="32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Signatures</w:t>
      </w:r>
    </w:p>
    <w:p>
      <w:pPr>
        <w:pStyle w:val="TextBody"/>
        <w:bidi w:val="0"/>
        <w:spacing w:lineRule="auto" w:line="312" w:before="1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Date: August 4, 2026 </w:t>
      </w:r>
    </w:p>
    <w:p>
      <w:pPr>
        <w:pStyle w:val="TextBody"/>
        <w:bidi w:val="0"/>
        <w:spacing w:lineRule="auto" w:line="312" w:before="1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bl>
      <w:tblPr>
        <w:tblW w:w="5011" w:type="dxa"/>
        <w:jc w:val="left"/>
        <w:tblInd w:w="0" w:type="dxa"/>
        <w:tblLayout w:type="fixed"/>
        <w:tblCellMar>
          <w:top w:w="28" w:type="dxa"/>
          <w:left w:w="28" w:type="dxa"/>
          <w:bottom w:w="28" w:type="dxa"/>
          <w:right w:w="28" w:type="dxa"/>
        </w:tblCellMar>
      </w:tblPr>
      <w:tblGrid>
        <w:gridCol w:w="1602"/>
        <w:gridCol w:w="1407"/>
        <w:gridCol w:w="2002"/>
      </w:tblGrid>
      <w:tr>
        <w:trPr/>
        <w:tc>
          <w:tcPr>
            <w:tcW w:w="16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11"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 Christopher R. Cage</w:t>
            </w:r>
          </w:p>
        </w:tc>
      </w:tr>
      <w:tr>
        <w:trPr/>
        <w:tc>
          <w:tcPr>
            <w:tcW w:w="5011"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312" w:before="40" w:after="40"/>
              <w:jc w:val="center"/>
              <w:rPr>
                <w:rFonts w:ascii="Avenir LT Pro 95 Black;sans-serif" w:hAnsi="Avenir LT Pro 95 Black;sans-serif"/>
                <w:b/>
                <w:color w:val="000000"/>
                <w:sz w:val="16"/>
              </w:rPr>
            </w:pPr>
            <w:r>
              <w:rPr>
                <w:rFonts w:ascii="Avenir LT Pro 95 Black;sans-serif" w:hAnsi="Avenir LT Pro 95 Black;sans-serif"/>
                <w:b/>
                <w:color w:val="000000"/>
                <w:sz w:val="16"/>
              </w:rPr>
              <w:t>Christopher R. Cage</w:t>
            </w:r>
          </w:p>
          <w:p>
            <w:pPr>
              <w:pStyle w:val="TableContents"/>
              <w:bidi w:val="0"/>
              <w:spacing w:lineRule="auto" w:line="288" w:before="0" w:after="0"/>
              <w:jc w:val="center"/>
              <w:rPr>
                <w:rFonts w:ascii="Avenir LT Pro 95 Black;sans-serif" w:hAnsi="Avenir LT Pro 95 Black;sans-serif"/>
                <w:b/>
                <w:i/>
                <w:color w:val="000000"/>
                <w:sz w:val="16"/>
              </w:rPr>
            </w:pPr>
            <w:r>
              <w:rPr>
                <w:rFonts w:ascii="Avenir LT Pro 95 Black;sans-serif" w:hAnsi="Avenir LT Pro 95 Black;sans-serif"/>
                <w:b/>
                <w:i/>
                <w:color w:val="000000"/>
                <w:sz w:val="16"/>
              </w:rPr>
              <w:t>Executive Vice President and Chief Financial Officer</w:t>
            </w:r>
          </w:p>
          <w:p>
            <w:pPr>
              <w:pStyle w:val="TableContents"/>
              <w:bidi w:val="0"/>
              <w:spacing w:lineRule="auto" w:line="288" w:before="0" w:after="0"/>
              <w:jc w:val="center"/>
              <w:rPr>
                <w:rFonts w:ascii="Avenir LT Pro 95 Black;sans-serif" w:hAnsi="Avenir LT Pro 95 Black;sans-serif"/>
                <w:b/>
                <w:i/>
                <w:color w:val="000000"/>
                <w:sz w:val="16"/>
              </w:rPr>
            </w:pPr>
            <w:r>
              <w:rPr>
                <w:rFonts w:ascii="Avenir LT Pro 95 Black;sans-serif" w:hAnsi="Avenir LT Pro 95 Black;sans-serif"/>
                <w:b/>
                <w:i/>
                <w:color w:val="000000"/>
                <w:sz w:val="16"/>
              </w:rPr>
              <w:t>and as a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60705"/>
                <wp:effectExtent l="0" t="0" r="0" b="0"/>
                <wp:wrapNone/>
                <wp:docPr id="38" name="Frame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LEIDOS HOLDINGS, INC.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OF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Thomas A. Bell, certify that: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period ended July 3, 2026, of Leidos Holdings, Inc.;</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1979" w:type="dxa"/>
        <w:jc w:val="left"/>
        <w:tblInd w:w="0" w:type="dxa"/>
        <w:tblLayout w:type="fixed"/>
        <w:tblCellMar>
          <w:top w:w="28" w:type="dxa"/>
          <w:left w:w="28" w:type="dxa"/>
          <w:bottom w:w="28" w:type="dxa"/>
          <w:right w:w="28" w:type="dxa"/>
        </w:tblCellMar>
      </w:tblPr>
      <w:tblGrid>
        <w:gridCol w:w="630"/>
        <w:gridCol w:w="554"/>
        <w:gridCol w:w="795"/>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Thomas A. Bell</w:t>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Thomas A. Bell</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LEIDOS HOLDINGS, INC.</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OF EXECUTIVE VICE PRESIDENT AND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Christopher R. Cage, certify that: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period ended July 3, 2026, of Leidos Holdings, Inc.;</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4259" w:type="dxa"/>
        <w:jc w:val="left"/>
        <w:tblInd w:w="0" w:type="dxa"/>
        <w:tblLayout w:type="fixed"/>
        <w:tblCellMar>
          <w:top w:w="28" w:type="dxa"/>
          <w:left w:w="28" w:type="dxa"/>
          <w:bottom w:w="28" w:type="dxa"/>
          <w:right w:w="28" w:type="dxa"/>
        </w:tblCellMar>
      </w:tblPr>
      <w:tblGrid>
        <w:gridCol w:w="1362"/>
        <w:gridCol w:w="1196"/>
        <w:gridCol w:w="1701"/>
      </w:tblGrid>
      <w:tr>
        <w:trPr/>
        <w:tc>
          <w:tcPr>
            <w:tcW w:w="136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R. Cage</w:t>
            </w:r>
          </w:p>
        </w:tc>
      </w:tr>
      <w:tr>
        <w:trPr/>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Christopher R. Cage</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LEIDOS HOLDINGS, INC.</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OF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Leidos Holdings, Inc. ("Leidos") on Form 10-Q for the period ended July 3, 2026,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1979" w:type="dxa"/>
        <w:jc w:val="left"/>
        <w:tblInd w:w="0" w:type="dxa"/>
        <w:tblLayout w:type="fixed"/>
        <w:tblCellMar>
          <w:top w:w="28" w:type="dxa"/>
          <w:left w:w="28" w:type="dxa"/>
          <w:bottom w:w="28" w:type="dxa"/>
          <w:right w:w="28" w:type="dxa"/>
        </w:tblCellMar>
      </w:tblPr>
      <w:tblGrid>
        <w:gridCol w:w="630"/>
        <w:gridCol w:w="554"/>
        <w:gridCol w:w="795"/>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Thomas A. Bell</w:t>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Thomas A. Bell</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LEIDOS HOLDINGS, INC.</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OF EXECUTIVE VICE PRESIDENT AND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Leidos Holdings, Inc. ("Leidos") on Form 10-Q for the period ended July 3, 2026,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4259" w:type="dxa"/>
        <w:jc w:val="left"/>
        <w:tblInd w:w="0" w:type="dxa"/>
        <w:tblLayout w:type="fixed"/>
        <w:tblCellMar>
          <w:top w:w="28" w:type="dxa"/>
          <w:left w:w="28" w:type="dxa"/>
          <w:bottom w:w="28" w:type="dxa"/>
          <w:right w:w="28" w:type="dxa"/>
        </w:tblCellMar>
      </w:tblPr>
      <w:tblGrid>
        <w:gridCol w:w="1362"/>
        <w:gridCol w:w="1196"/>
        <w:gridCol w:w="1701"/>
      </w:tblGrid>
      <w:tr>
        <w:trPr/>
        <w:tc>
          <w:tcPr>
            <w:tcW w:w="136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R. Cage</w:t>
            </w:r>
          </w:p>
        </w:tc>
      </w:tr>
      <w:tr>
        <w:trPr/>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Christopher R. Cage</w:t>
              <w:b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LT Pro 45 Book">
    <w:altName w:val="sans-serif"/>
    <w:charset w:val="01"/>
    <w:family w:val="auto"/>
    <w:pitch w:val="default"/>
  </w:font>
  <w:font w:name="Arial">
    <w:altName w:val="sans-serif"/>
    <w:charset w:val="01"/>
    <w:family w:val="auto"/>
    <w:pitch w:val="default"/>
  </w:font>
  <w:font w:name="Avenir LT Pro 95 Black">
    <w:altName w:val="sans-serif"/>
    <w:charset w:val="01"/>
    <w:family w:val="auto"/>
    <w:pitch w:val="default"/>
  </w:font>
  <w:font w:name="Avenir LT Pro 35 Light">
    <w:altName w:val="sans-serif"/>
    <w:charset w:val="01"/>
    <w:family w:val="auto"/>
    <w:pitch w:val="default"/>
  </w:font>
  <w:font w:name="Avenir LT Pro 55 Roman">
    <w:altName w:val="sans-serif"/>
    <w:charset w:val="01"/>
    <w:family w:val="auto"/>
    <w:pitch w:val="default"/>
  </w:font>
  <w:font w:name="Wingdings 3">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36920/000133692026000169/ldos4032026ex22.htm" TargetMode="External"/><Relationship Id="rId4" Type="http://schemas.openxmlformats.org/officeDocument/2006/relationships/hyperlink" Target="https://www.sec.gov/Archives/edgar/data/1336920/000133692026000169/ldos4032026ex2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15826</Words>
  <Characters>86279</Characters>
  <CharactersWithSpaces>100273</CharactersWithSpaces>
  <Paragraphs>3083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