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0" w:after="0"/>
        <w:rPr>
          <w:color w:val="000000"/>
        </w:rPr>
      </w:pPr>
      <w:r>
        <w:rPr>
          <w:color w:val="000000"/>
        </w:rPr>
        <w:t> </w:t>
      </w:r>
    </w:p>
    <w:p>
      <w:pPr>
        <w:pStyle w:val="TextBody"/>
        <w:spacing w:lineRule="auto" w:line="288" w:before="0" w:after="0"/>
        <w:jc w:val="center"/>
        <w:rPr/>
      </w:pPr>
      <w:r>
        <w:rPr>
          <w:color w:val="000000"/>
        </w:rPr>
        <w:t> </w:t>
      </w:r>
      <w:r>
        <w:rPr>
          <w:rFonts w:ascii="Arial;sans-serif" w:hAnsi="Arial;sans-serif"/>
          <w:b/>
          <w:color w:val="000000"/>
          <w:sz w:val="36"/>
        </w:rPr>
        <w:t xml:space="preserve">FORM 8-K </w:t>
      </w:r>
    </w:p>
    <w:p>
      <w:pPr>
        <w:pStyle w:val="TextBody"/>
        <w:spacing w:lineRule="auto" w:line="288" w:before="0" w:after="0"/>
        <w:rPr>
          <w:color w:val="000000"/>
        </w:rPr>
      </w:pPr>
      <w:r>
        <w:rPr>
          <w:color w:val="000000"/>
        </w:rPr>
        <w:t> </w:t>
      </w:r>
    </w:p>
    <w:p>
      <w:pPr>
        <w:pStyle w:val="TextBody"/>
        <w:spacing w:lineRule="auto" w:line="288" w:before="0" w:after="0"/>
        <w:jc w:val="center"/>
        <w:rPr/>
      </w:pPr>
      <w:r>
        <w:rPr>
          <w:color w:val="000000"/>
        </w:rPr>
        <w:t> </w:t>
      </w:r>
      <w:r>
        <w:rPr>
          <w:rFonts w:ascii="Arial;sans-serif" w:hAnsi="Arial;sans-serif"/>
          <w:b/>
          <w:color w:val="000000"/>
          <w:sz w:val="24"/>
        </w:rPr>
        <w:t>CURRENT REPORT</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the Securities Exchange Act of 1934</w:t>
      </w:r>
    </w:p>
    <w:p>
      <w:pPr>
        <w:pStyle w:val="TextBody"/>
        <w:spacing w:lineRule="auto" w:line="288" w:before="240" w:after="283"/>
        <w:jc w:val="center"/>
        <w:rPr>
          <w:rFonts w:ascii="Arial;sans-serif" w:hAnsi="Arial;sans-serif"/>
          <w:b/>
          <w:color w:val="000000"/>
          <w:sz w:val="24"/>
        </w:rPr>
      </w:pPr>
      <w:r>
        <w:rPr>
          <w:rFonts w:ascii="Arial;sans-serif" w:hAnsi="Arial;sans-serif"/>
          <w:b/>
          <w:color w:val="000000"/>
          <w:sz w:val="24"/>
        </w:rPr>
        <w:t>Date of Report (Date of Earliest Event Reported): May 2, 2023</w:t>
      </w:r>
    </w:p>
    <w:tbl>
      <w:tblPr>
        <w:tblW w:w="5978" w:type="dxa"/>
        <w:jc w:val="center"/>
        <w:tblInd w:w="0" w:type="dxa"/>
        <w:tblCellMar>
          <w:top w:w="28" w:type="dxa"/>
          <w:left w:w="28" w:type="dxa"/>
          <w:bottom w:w="28" w:type="dxa"/>
          <w:right w:w="28" w:type="dxa"/>
        </w:tblCellMar>
      </w:tblPr>
      <w:tblGrid>
        <w:gridCol w:w="124"/>
        <w:gridCol w:w="109"/>
        <w:gridCol w:w="109"/>
        <w:gridCol w:w="1754"/>
        <w:gridCol w:w="1754"/>
        <w:gridCol w:w="175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44"/>
              </w:rPr>
            </w:pPr>
            <w:r>
              <w:rPr>
                <w:rFonts w:ascii="Arial;sans-serif" w:hAnsi="Arial;sans-serif"/>
                <w:b/>
                <w:color w:val="000000"/>
                <w:sz w:val="44"/>
              </w:rPr>
              <w:t>LEIDOS HOLDINGS,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vMerge w:val="continue"/>
            <w:tcBorders/>
            <w:shd w:fill="auto" w:val="clear"/>
            <w:tcMar>
              <w:top w:w="0" w:type="dxa"/>
              <w:left w:w="0" w:type="dxa"/>
              <w:bottom w:w="0" w:type="dxa"/>
              <w:right w:w="0" w:type="dxa"/>
            </w:tcMar>
            <w:vAlign w:val="center"/>
          </w:tcPr>
          <w:p>
            <w:pPr>
              <w:pStyle w:val="Normal"/>
              <w:rPr/>
            </w:pPr>
            <w:r>
              <w:rPr/>
            </w:r>
          </w:p>
        </w:tc>
        <w:tc>
          <w:tcPr>
            <w:tcW w:w="5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767"/>
        <w:gridCol w:w="675"/>
        <w:gridCol w:w="674"/>
        <w:gridCol w:w="357"/>
        <w:gridCol w:w="348"/>
        <w:gridCol w:w="328"/>
        <w:gridCol w:w="349"/>
        <w:gridCol w:w="328"/>
        <w:gridCol w:w="328"/>
        <w:gridCol w:w="328"/>
        <w:gridCol w:w="328"/>
        <w:gridCol w:w="328"/>
        <w:gridCol w:w="109"/>
        <w:gridCol w:w="109"/>
        <w:gridCol w:w="109"/>
        <w:gridCol w:w="644"/>
        <w:gridCol w:w="644"/>
        <w:gridCol w:w="651"/>
        <w:gridCol w:w="109"/>
        <w:gridCol w:w="109"/>
        <w:gridCol w:w="109"/>
        <w:gridCol w:w="724"/>
        <w:gridCol w:w="724"/>
        <w:gridCol w:w="1026"/>
      </w:tblGrid>
      <w:tr>
        <w:trPr/>
        <w:tc>
          <w:tcPr>
            <w:tcW w:w="767"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513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001-33072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20-3562868</w:t>
            </w:r>
          </w:p>
        </w:tc>
      </w:tr>
      <w:tr>
        <w:trPr/>
        <w:tc>
          <w:tcPr>
            <w:tcW w:w="513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1750 Presidents Street,</w:t>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Reston,</w:t>
            </w:r>
          </w:p>
        </w:tc>
        <w:tc>
          <w:tcPr>
            <w:tcW w:w="198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Virginia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20190</w:t>
            </w:r>
          </w:p>
        </w:tc>
      </w:tr>
      <w:tr>
        <w:trPr/>
        <w:tc>
          <w:tcPr>
            <w:tcW w:w="513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pPr>
      <w:r>
        <w:rPr>
          <w:color w:val="000000"/>
        </w:rPr>
        <w:t> </w:t>
      </w:r>
      <w:r>
        <w:rPr>
          <w:rFonts w:ascii="Arial;sans-serif" w:hAnsi="Arial;sans-serif"/>
          <w:b/>
          <w:color w:val="000000"/>
          <w:sz w:val="20"/>
        </w:rPr>
        <w:t xml:space="preserve">(571) 526-6000 </w:t>
      </w:r>
    </w:p>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spacing w:before="0" w:after="0"/>
        <w:jc w:val="center"/>
        <w:rPr/>
      </w:pPr>
      <w:r>
        <w:rPr/>
      </w:r>
    </w:p>
    <w:p>
      <w:pPr>
        <w:pStyle w:val="TextBody"/>
        <w:spacing w:lineRule="auto" w:line="288" w:before="0" w:after="0"/>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r>
        <w:rPr>
          <w:color w:val="000000"/>
        </w:rPr>
        <w:t> </w:t>
      </w:r>
    </w:p>
    <w:tbl>
      <w:tblPr>
        <w:tblW w:w="7691" w:type="dxa"/>
        <w:jc w:val="left"/>
        <w:tblInd w:w="0" w:type="dxa"/>
        <w:tblCellMar>
          <w:top w:w="28" w:type="dxa"/>
          <w:left w:w="28" w:type="dxa"/>
          <w:bottom w:w="28" w:type="dxa"/>
          <w:right w:w="28" w:type="dxa"/>
        </w:tblCellMar>
      </w:tblPr>
      <w:tblGrid>
        <w:gridCol w:w="124"/>
        <w:gridCol w:w="109"/>
        <w:gridCol w:w="109"/>
        <w:gridCol w:w="2151"/>
        <w:gridCol w:w="2151"/>
        <w:gridCol w:w="30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30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p>
      <w:pPr>
        <w:pStyle w:val="TextBody"/>
        <w:spacing w:lineRule="auto" w:line="288" w:before="0" w:after="0"/>
        <w:rPr>
          <w:color w:val="000000"/>
        </w:rPr>
      </w:pPr>
      <w:r>
        <w:rPr>
          <w:color w:val="000000"/>
        </w:rPr>
        <w:t> </w:t>
      </w:r>
    </w:p>
    <w:tbl>
      <w:tblPr>
        <w:tblW w:w="7752" w:type="dxa"/>
        <w:jc w:val="left"/>
        <w:tblInd w:w="0" w:type="dxa"/>
        <w:tblCellMar>
          <w:top w:w="28" w:type="dxa"/>
          <w:left w:w="28" w:type="dxa"/>
          <w:bottom w:w="28" w:type="dxa"/>
          <w:right w:w="28" w:type="dxa"/>
        </w:tblCellMar>
      </w:tblPr>
      <w:tblGrid>
        <w:gridCol w:w="124"/>
        <w:gridCol w:w="109"/>
        <w:gridCol w:w="109"/>
        <w:gridCol w:w="2164"/>
        <w:gridCol w:w="2164"/>
        <w:gridCol w:w="308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308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p>
      <w:pPr>
        <w:pStyle w:val="TextBody"/>
        <w:spacing w:lineRule="auto" w:line="288" w:before="0" w:after="0"/>
        <w:rPr>
          <w:color w:val="000000"/>
        </w:rPr>
      </w:pPr>
      <w:r>
        <w:rPr>
          <w:color w:val="000000"/>
        </w:rPr>
        <w:t> </w:t>
      </w:r>
    </w:p>
    <w:tbl>
      <w:tblPr>
        <w:tblW w:w="9566" w:type="dxa"/>
        <w:jc w:val="left"/>
        <w:tblInd w:w="0" w:type="dxa"/>
        <w:tblCellMar>
          <w:top w:w="28" w:type="dxa"/>
          <w:left w:w="28" w:type="dxa"/>
          <w:bottom w:w="28" w:type="dxa"/>
          <w:right w:w="28" w:type="dxa"/>
        </w:tblCellMar>
      </w:tblPr>
      <w:tblGrid>
        <w:gridCol w:w="124"/>
        <w:gridCol w:w="109"/>
        <w:gridCol w:w="109"/>
        <w:gridCol w:w="2699"/>
        <w:gridCol w:w="2699"/>
        <w:gridCol w:w="38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9" w:type="dxa"/>
            <w:tcBorders/>
            <w:shd w:fill="auto" w:val="clear"/>
            <w:vAlign w:val="center"/>
          </w:tcPr>
          <w:p>
            <w:pPr>
              <w:pStyle w:val="TableContents"/>
              <w:spacing w:before="0" w:after="283"/>
              <w:rPr>
                <w:sz w:val="4"/>
                <w:szCs w:val="4"/>
              </w:rPr>
            </w:pPr>
            <w:r>
              <w:rPr>
                <w:sz w:val="4"/>
                <w:szCs w:val="4"/>
              </w:rPr>
            </w:r>
          </w:p>
        </w:tc>
        <w:tc>
          <w:tcPr>
            <w:tcW w:w="2699"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p>
      <w:pPr>
        <w:pStyle w:val="TextBody"/>
        <w:spacing w:lineRule="auto" w:line="288" w:before="0" w:after="0"/>
        <w:rPr>
          <w:color w:val="000000"/>
        </w:rPr>
      </w:pPr>
      <w:r>
        <w:rPr>
          <w:color w:val="000000"/>
        </w:rPr>
        <w:t> </w:t>
      </w:r>
    </w:p>
    <w:tbl>
      <w:tblPr>
        <w:tblW w:w="9536" w:type="dxa"/>
        <w:jc w:val="left"/>
        <w:tblInd w:w="0" w:type="dxa"/>
        <w:tblCellMar>
          <w:top w:w="28" w:type="dxa"/>
          <w:left w:w="28" w:type="dxa"/>
          <w:bottom w:w="28" w:type="dxa"/>
          <w:right w:w="28" w:type="dxa"/>
        </w:tblCellMar>
      </w:tblPr>
      <w:tblGrid>
        <w:gridCol w:w="124"/>
        <w:gridCol w:w="109"/>
        <w:gridCol w:w="109"/>
        <w:gridCol w:w="2690"/>
        <w:gridCol w:w="2690"/>
        <w:gridCol w:w="381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81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66" w:type="dxa"/>
        <w:jc w:val="left"/>
        <w:tblInd w:w="0" w:type="dxa"/>
        <w:tblCellMar>
          <w:top w:w="28" w:type="dxa"/>
          <w:left w:w="28" w:type="dxa"/>
          <w:bottom w:w="28" w:type="dxa"/>
          <w:right w:w="28" w:type="dxa"/>
        </w:tblCellMar>
      </w:tblPr>
      <w:tblGrid>
        <w:gridCol w:w="1401"/>
        <w:gridCol w:w="1226"/>
        <w:gridCol w:w="1242"/>
        <w:gridCol w:w="109"/>
        <w:gridCol w:w="109"/>
        <w:gridCol w:w="109"/>
        <w:gridCol w:w="479"/>
        <w:gridCol w:w="479"/>
        <w:gridCol w:w="481"/>
        <w:gridCol w:w="109"/>
        <w:gridCol w:w="109"/>
        <w:gridCol w:w="109"/>
        <w:gridCol w:w="995"/>
        <w:gridCol w:w="995"/>
        <w:gridCol w:w="1414"/>
      </w:tblGrid>
      <w:tr>
        <w:trPr/>
        <w:tc>
          <w:tcPr>
            <w:tcW w:w="140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LDOS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3009" w:type="dxa"/>
        <w:jc w:val="left"/>
        <w:tblInd w:w="0" w:type="dxa"/>
        <w:tblCellMar>
          <w:top w:w="28" w:type="dxa"/>
          <w:left w:w="28" w:type="dxa"/>
          <w:bottom w:w="28" w:type="dxa"/>
          <w:right w:w="28" w:type="dxa"/>
        </w:tblCellMar>
      </w:tblPr>
      <w:tblGrid>
        <w:gridCol w:w="124"/>
        <w:gridCol w:w="109"/>
        <w:gridCol w:w="109"/>
        <w:gridCol w:w="764"/>
        <w:gridCol w:w="764"/>
        <w:gridCol w:w="76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FORM 8-K</w:t>
      </w:r>
    </w:p>
    <w:p>
      <w:pPr>
        <w:pStyle w:val="TextBody"/>
        <w:spacing w:lineRule="auto" w:line="288" w:before="0" w:after="0"/>
        <w:rPr>
          <w:color w:val="000000"/>
        </w:rPr>
      </w:pPr>
      <w:r>
        <w:rPr>
          <w:color w:val="000000"/>
        </w:rPr>
        <w:t> </w:t>
      </w:r>
    </w:p>
    <w:tbl>
      <w:tblPr>
        <w:tblW w:w="5534" w:type="dxa"/>
        <w:jc w:val="left"/>
        <w:tblInd w:w="0" w:type="dxa"/>
        <w:tblCellMar>
          <w:top w:w="28" w:type="dxa"/>
          <w:left w:w="28" w:type="dxa"/>
          <w:bottom w:w="28" w:type="dxa"/>
          <w:right w:w="28" w:type="dxa"/>
        </w:tblCellMar>
      </w:tblPr>
      <w:tblGrid>
        <w:gridCol w:w="369"/>
        <w:gridCol w:w="325"/>
        <w:gridCol w:w="326"/>
        <w:gridCol w:w="1322"/>
        <w:gridCol w:w="1322"/>
        <w:gridCol w:w="1870"/>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r>
      <w:tr>
        <w:trPr/>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2.02.</w:t>
            </w:r>
          </w:p>
        </w:tc>
        <w:tc>
          <w:tcPr>
            <w:tcW w:w="4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Results of Operations and Financial Condition.</w:t>
            </w:r>
          </w:p>
        </w:tc>
      </w:tr>
    </w:tbl>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On May 2, 2023, Leidos Holdings, Inc. (the "Company") issued a press release announcing its financial results for the first fiscal quarter ended March 31, 2023. A copy of the press release is furnished as Exhibit 99.1 to this report.</w:t>
      </w:r>
    </w:p>
    <w:p>
      <w:pPr>
        <w:pStyle w:val="TextBody"/>
        <w:spacing w:lineRule="auto" w:line="288" w:before="120" w:after="283"/>
        <w:ind w:left="0" w:right="0" w:firstLine="495"/>
        <w:rPr/>
      </w:pPr>
      <w:r>
        <w:rPr>
          <w:rFonts w:ascii="Arial;sans-serif" w:hAnsi="Arial;sans-serif"/>
          <w:b w:val="false"/>
          <w:color w:val="000000"/>
          <w:sz w:val="20"/>
        </w:rPr>
        <w:t>The Company’s management will discuss operations and financial results in an earnings conference call beginning at 8:00 a.m. eastern on May 2, 2023. A live audio broadcast of the conference call along with a supplemental presentation will be available to the public through links on the Investor Relations section of the Company’s web site (</w:t>
      </w:r>
      <w:r>
        <w:rPr>
          <w:rFonts w:ascii="Arial;sans-serif" w:hAnsi="Arial;sans-serif"/>
          <w:b w:val="false"/>
          <w:color w:val="0000FF"/>
          <w:sz w:val="20"/>
          <w:u w:val="single"/>
        </w:rPr>
        <w:t>http://investors.leidos.com</w:t>
      </w:r>
      <w:r>
        <w:rPr>
          <w:rFonts w:ascii="Arial;sans-serif" w:hAnsi="Arial;sans-serif"/>
          <w:b w:val="false"/>
          <w:color w:val="000000"/>
          <w:sz w:val="20"/>
        </w:rPr>
        <w:t>).</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The information contained in Item 2.02 of this report and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tbl>
      <w:tblPr>
        <w:tblW w:w="4410" w:type="dxa"/>
        <w:jc w:val="left"/>
        <w:tblInd w:w="0" w:type="dxa"/>
        <w:tblCellMar>
          <w:top w:w="28" w:type="dxa"/>
          <w:left w:w="28" w:type="dxa"/>
          <w:bottom w:w="28" w:type="dxa"/>
          <w:right w:w="28" w:type="dxa"/>
        </w:tblCellMar>
      </w:tblPr>
      <w:tblGrid>
        <w:gridCol w:w="369"/>
        <w:gridCol w:w="325"/>
        <w:gridCol w:w="326"/>
        <w:gridCol w:w="992"/>
        <w:gridCol w:w="992"/>
        <w:gridCol w:w="1406"/>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r>
      <w:tr>
        <w:trPr/>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bl>
    <w:p>
      <w:pPr>
        <w:pStyle w:val="TextBody"/>
        <w:spacing w:before="120" w:after="283"/>
        <w:ind w:left="0" w:right="0" w:firstLine="495"/>
        <w:rPr/>
      </w:pPr>
      <w:r>
        <w:rPr/>
      </w:r>
    </w:p>
    <w:p>
      <w:pPr>
        <w:pStyle w:val="TextBody"/>
        <w:spacing w:lineRule="auto" w:line="288" w:before="120" w:after="283"/>
        <w:ind w:left="0" w:right="0" w:hanging="360"/>
        <w:rPr/>
      </w:pPr>
      <w:r>
        <w:rPr>
          <w:rFonts w:ascii="Arial;sans-serif" w:hAnsi="Arial;sans-serif"/>
          <w:b w:val="false"/>
          <w:i/>
          <w:color w:val="000000"/>
          <w:sz w:val="20"/>
        </w:rPr>
        <w:t>(i)</w:t>
      </w:r>
      <w:r>
        <w:rPr>
          <w:color w:val="000000"/>
        </w:rPr>
        <w:t xml:space="preserve"> </w:t>
      </w:r>
      <w:r>
        <w:rPr>
          <w:rFonts w:ascii="Arial;sans-serif" w:hAnsi="Arial;sans-serif"/>
          <w:b w:val="false"/>
          <w:i/>
          <w:color w:val="000000"/>
          <w:sz w:val="20"/>
        </w:rPr>
        <w:t>Exhibits</w:t>
      </w:r>
    </w:p>
    <w:tbl>
      <w:tblPr>
        <w:tblW w:w="10205" w:type="dxa"/>
        <w:jc w:val="left"/>
        <w:tblInd w:w="0" w:type="dxa"/>
        <w:tblCellMar>
          <w:top w:w="28" w:type="dxa"/>
          <w:left w:w="28" w:type="dxa"/>
          <w:bottom w:w="28" w:type="dxa"/>
          <w:right w:w="28" w:type="dxa"/>
        </w:tblCellMar>
      </w:tblPr>
      <w:tblGrid>
        <w:gridCol w:w="419"/>
        <w:gridCol w:w="368"/>
        <w:gridCol w:w="369"/>
        <w:gridCol w:w="2647"/>
        <w:gridCol w:w="2645"/>
        <w:gridCol w:w="3757"/>
      </w:tblGrid>
      <w:tr>
        <w:trPr/>
        <w:tc>
          <w:tcPr>
            <w:tcW w:w="41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2645" w:type="dxa"/>
            <w:tcBorders/>
            <w:shd w:fill="auto" w:val="clear"/>
            <w:vAlign w:val="center"/>
          </w:tcPr>
          <w:p>
            <w:pPr>
              <w:pStyle w:val="TableContents"/>
              <w:spacing w:before="0" w:after="283"/>
              <w:rPr>
                <w:sz w:val="4"/>
                <w:szCs w:val="4"/>
              </w:rPr>
            </w:pPr>
            <w:r>
              <w:rPr>
                <w:sz w:val="4"/>
                <w:szCs w:val="4"/>
              </w:rPr>
            </w:r>
          </w:p>
        </w:tc>
        <w:tc>
          <w:tcPr>
            <w:tcW w:w="3757"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99.1</w:t>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dos033123q1pressreleaseex.htm">
              <w:r>
                <w:rPr>
                  <w:rStyle w:val="InternetLink"/>
                  <w:rFonts w:ascii="Arial;sans-serif" w:hAnsi="Arial;sans-serif"/>
                  <w:b w:val="false"/>
                  <w:color w:val="0000FF"/>
                  <w:sz w:val="20"/>
                  <w:u w:val="single"/>
                </w:rPr>
                <w:t>Press Release dated May 2, 2023, issued by Leidos Holdings, Inc.</w:t>
              </w:r>
            </w:hyperlink>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in Inline XBRL and contained in Exhibit 101.</w:t>
            </w:r>
          </w:p>
        </w:tc>
      </w:tr>
    </w:tbl>
    <w:p>
      <w:pPr>
        <w:pStyle w:val="TextBody"/>
        <w:spacing w:before="120" w:after="283"/>
        <w:ind w:left="0" w:right="0" w:hanging="360"/>
        <w:rPr/>
      </w:pPr>
      <w:r>
        <w:rPr/>
      </w:r>
    </w:p>
    <w:p>
      <w:pPr>
        <w:pStyle w:val="TextBody"/>
        <w:spacing w:before="180" w:after="283"/>
        <w:rPr/>
      </w:pPr>
      <w:r>
        <w:rPr/>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spacing w:lineRule="auto" w:line="288" w:before="240" w:after="283"/>
        <w:ind w:left="0" w:right="0" w:firstLine="495"/>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color w:val="000000"/>
        </w:rPr>
      </w:pPr>
      <w:r>
        <w:rPr>
          <w:color w:val="000000"/>
        </w:rPr>
        <w:t> </w:t>
      </w:r>
    </w:p>
    <w:tbl>
      <w:tblPr>
        <w:tblW w:w="8446" w:type="dxa"/>
        <w:jc w:val="left"/>
        <w:tblInd w:w="0" w:type="dxa"/>
        <w:tblCellMar>
          <w:top w:w="28" w:type="dxa"/>
          <w:left w:w="28" w:type="dxa"/>
          <w:bottom w:w="28" w:type="dxa"/>
          <w:right w:w="28" w:type="dxa"/>
        </w:tblCellMar>
      </w:tblPr>
      <w:tblGrid>
        <w:gridCol w:w="211"/>
        <w:gridCol w:w="186"/>
        <w:gridCol w:w="188"/>
        <w:gridCol w:w="394"/>
        <w:gridCol w:w="394"/>
        <w:gridCol w:w="396"/>
        <w:gridCol w:w="109"/>
        <w:gridCol w:w="109"/>
        <w:gridCol w:w="109"/>
        <w:gridCol w:w="261"/>
        <w:gridCol w:w="261"/>
        <w:gridCol w:w="261"/>
        <w:gridCol w:w="261"/>
        <w:gridCol w:w="261"/>
        <w:gridCol w:w="261"/>
        <w:gridCol w:w="1378"/>
        <w:gridCol w:w="1378"/>
        <w:gridCol w:w="2028"/>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5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LEIDOS HOLDINGS, INC.</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R. Cage</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R. Cage</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Its:</w:t>
            </w:r>
          </w:p>
        </w:tc>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spacing w:lineRule="auto" w:line="288" w:before="180" w:after="283"/>
        <w:jc w:val="center"/>
        <w:rPr>
          <w:rFonts w:ascii="Arial;sans-serif" w:hAnsi="Arial;sans-serif"/>
          <w:b/>
          <w:color w:val="000000"/>
          <w:sz w:val="24"/>
        </w:rPr>
      </w:pPr>
      <w:r>
        <w:rPr>
          <w:rFonts w:ascii="Arial;sans-serif" w:hAnsi="Arial;sans-serif"/>
          <w:b/>
          <w:color w:val="000000"/>
          <w:sz w:val="24"/>
        </w:rPr>
        <w:t>Leidos Holdings, Inc. Reports First Quarter Fiscal Year 2023 Results</w:t>
      </w:r>
    </w:p>
    <w:p>
      <w:pPr>
        <w:pStyle w:val="TextBody"/>
        <w:spacing w:before="180" w:after="283"/>
        <w:rPr/>
      </w:pPr>
      <w:r>
        <w:rPr/>
      </w:r>
    </w:p>
    <w:p>
      <w:pPr>
        <w:pStyle w:val="TextBody"/>
        <w:spacing w:lineRule="auto" w:line="288" w:before="60" w:after="283"/>
        <w:ind w:left="0" w:right="0" w:hanging="360"/>
        <w:rPr/>
      </w:pPr>
      <w:r>
        <w:rPr>
          <w:color w:val="000000"/>
        </w:rPr>
        <w:t>•</w:t>
      </w:r>
      <w:r>
        <w:rPr>
          <w:rFonts w:ascii="Arial;sans-serif" w:hAnsi="Arial;sans-serif"/>
          <w:b/>
          <w:i/>
          <w:color w:val="000000"/>
          <w:sz w:val="20"/>
        </w:rPr>
        <w:t>Revenues of $3.7 billion, up 6% year-over-year</w:t>
      </w:r>
    </w:p>
    <w:p>
      <w:pPr>
        <w:pStyle w:val="TextBody"/>
        <w:spacing w:lineRule="auto" w:line="288" w:before="60" w:after="283"/>
        <w:ind w:left="0" w:right="0" w:hanging="360"/>
        <w:rPr/>
      </w:pPr>
      <w:r>
        <w:rPr>
          <w:color w:val="000000"/>
        </w:rPr>
        <w:t>•</w:t>
      </w:r>
      <w:r>
        <w:rPr>
          <w:rFonts w:ascii="Arial;sans-serif" w:hAnsi="Arial;sans-serif"/>
          <w:b/>
          <w:i/>
          <w:color w:val="000000"/>
          <w:sz w:val="20"/>
        </w:rPr>
        <w:t>Net Income of $164 million; Adjusted EBITDA of $346 million</w:t>
      </w:r>
    </w:p>
    <w:p>
      <w:pPr>
        <w:pStyle w:val="TextBody"/>
        <w:spacing w:lineRule="auto" w:line="288" w:before="60" w:after="283"/>
        <w:ind w:left="0" w:right="0" w:hanging="360"/>
        <w:rPr/>
      </w:pPr>
      <w:r>
        <w:rPr>
          <w:color w:val="000000"/>
        </w:rPr>
        <w:t>•</w:t>
      </w:r>
      <w:r>
        <w:rPr>
          <w:rFonts w:ascii="Arial;sans-serif" w:hAnsi="Arial;sans-serif"/>
          <w:b/>
          <w:i/>
          <w:color w:val="000000"/>
          <w:sz w:val="20"/>
        </w:rPr>
        <w:t>Diluted Earnings per Share of $1.17</w:t>
      </w:r>
      <w:r>
        <w:rPr>
          <w:rFonts w:ascii="Arial;sans-serif" w:hAnsi="Arial;sans-serif"/>
          <w:b/>
          <w:i/>
          <w:color w:val="000000"/>
          <w:sz w:val="20"/>
          <w:highlight w:val="white"/>
        </w:rPr>
        <w:t>, or $1.47</w:t>
      </w:r>
      <w:r>
        <w:rPr>
          <w:color w:val="000000"/>
        </w:rPr>
        <w:t xml:space="preserve"> </w:t>
      </w:r>
      <w:r>
        <w:rPr>
          <w:rFonts w:ascii="Arial;sans-serif" w:hAnsi="Arial;sans-serif"/>
          <w:b/>
          <w:i/>
          <w:color w:val="000000"/>
          <w:sz w:val="20"/>
        </w:rPr>
        <w:t>on a non-GAAP basis</w:t>
      </w:r>
    </w:p>
    <w:p>
      <w:pPr>
        <w:pStyle w:val="TextBody"/>
        <w:spacing w:lineRule="auto" w:line="288" w:before="60" w:after="283"/>
        <w:ind w:left="0" w:right="0" w:hanging="360"/>
        <w:rPr/>
      </w:pPr>
      <w:r>
        <w:rPr>
          <w:color w:val="000000"/>
        </w:rPr>
        <w:t>•</w:t>
      </w:r>
      <w:r>
        <w:rPr>
          <w:rFonts w:ascii="Arial;sans-serif" w:hAnsi="Arial;sans-serif"/>
          <w:b/>
          <w:i/>
          <w:color w:val="000000"/>
          <w:sz w:val="20"/>
        </w:rPr>
        <w:t>Net Bookings of $3.0 billion (book-to-bill ratio of 0.8)</w:t>
      </w:r>
    </w:p>
    <w:p>
      <w:pPr>
        <w:pStyle w:val="TextBody"/>
        <w:spacing w:lineRule="auto" w:line="288" w:before="120" w:after="283"/>
        <w:rPr/>
      </w:pPr>
      <w:r>
        <w:rPr>
          <w:rFonts w:ascii="Arial;sans-serif" w:hAnsi="Arial;sans-serif"/>
          <w:b w:val="false"/>
          <w:color w:val="000000"/>
          <w:sz w:val="20"/>
        </w:rPr>
        <w:t>RESTON, Va., May 2, 2023 – Leidos Holdings, Inc. (NYSE: LDOS), a FORTUNE 500</w:t>
      </w:r>
      <w:r>
        <w:rPr>
          <w:rFonts w:ascii="Arial;sans-serif" w:hAnsi="Arial;sans-serif"/>
          <w:b w:val="false"/>
          <w:color w:val="000000"/>
          <w:sz w:val="13"/>
        </w:rPr>
        <w:t xml:space="preserve">® </w:t>
      </w:r>
      <w:r>
        <w:rPr>
          <w:rFonts w:ascii="Arial;sans-serif" w:hAnsi="Arial;sans-serif"/>
          <w:b w:val="false"/>
          <w:color w:val="000000"/>
          <w:sz w:val="20"/>
        </w:rPr>
        <w:t xml:space="preserve">science and technology leader, today reported financial results for the first quarter of fiscal year 2023.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Roger Krone, Leidos Chairman and Chief Executive Officer, commented, "Our first quarter results demonstrate our ability to drive strong organic growth, as record revenue performance was consistent with our long-term target. We expect earnings and cash performance to build momentum as we progress through the year and are fully committed to achieving our 2023 guidance. As I step down as CEO, I am confident that Leidos is truly the leader in our industry, with unmatched talent, technical depth and market-facing solutions. Our dedicated team is at the forefront of our customers' most challenging missions as we make the world safer, healthier and more efficient."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Summary Operating Results</w:t>
      </w:r>
    </w:p>
    <w:tbl>
      <w:tblPr>
        <w:tblW w:w="10205" w:type="dxa"/>
        <w:jc w:val="left"/>
        <w:tblInd w:w="0" w:type="dxa"/>
        <w:tblCellMar>
          <w:top w:w="28" w:type="dxa"/>
          <w:left w:w="28" w:type="dxa"/>
          <w:bottom w:w="28" w:type="dxa"/>
          <w:right w:w="28" w:type="dxa"/>
        </w:tblCellMar>
      </w:tblPr>
      <w:tblGrid>
        <w:gridCol w:w="1865"/>
        <w:gridCol w:w="1484"/>
        <w:gridCol w:w="1494"/>
        <w:gridCol w:w="187"/>
        <w:gridCol w:w="187"/>
        <w:gridCol w:w="187"/>
        <w:gridCol w:w="405"/>
        <w:gridCol w:w="1241"/>
        <w:gridCol w:w="549"/>
        <w:gridCol w:w="187"/>
        <w:gridCol w:w="187"/>
        <w:gridCol w:w="187"/>
        <w:gridCol w:w="362"/>
        <w:gridCol w:w="1109"/>
        <w:gridCol w:w="574"/>
      </w:tblGrid>
      <w:tr>
        <w:trPr/>
        <w:tc>
          <w:tcPr>
            <w:tcW w:w="1865"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r>
      <w:tr>
        <w:trPr/>
        <w:tc>
          <w:tcPr>
            <w:tcW w:w="4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r>
      <w:tr>
        <w:trPr/>
        <w:tc>
          <w:tcPr>
            <w:tcW w:w="4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margin and per share amounts)</w:t>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 2022</w:t>
            </w:r>
          </w:p>
        </w:tc>
      </w:tr>
      <w:tr>
        <w:trPr/>
        <w:tc>
          <w:tcPr>
            <w:tcW w:w="48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3,699</w:t>
            </w:r>
            <w:r>
              <w:rPr>
                <w:color w:val="000000"/>
              </w:rPr>
              <w:t>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3"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2045" w:type="dxa"/>
            <w:gridSpan w:val="3"/>
            <w:tcBorders/>
            <w:shd w:fill="auto" w:val="clear"/>
            <w:vAlign w:val="center"/>
          </w:tcPr>
          <w:p>
            <w:pPr>
              <w:pStyle w:val="TableContents"/>
              <w:spacing w:before="0" w:after="283"/>
              <w:rPr>
                <w:sz w:val="4"/>
                <w:szCs w:val="4"/>
              </w:rPr>
            </w:pPr>
            <w:r>
              <w:rPr>
                <w:sz w:val="4"/>
                <w:szCs w:val="4"/>
              </w:rPr>
            </w:r>
          </w:p>
        </w:tc>
      </w:tr>
      <w:tr>
        <w:trPr/>
        <w:tc>
          <w:tcPr>
            <w:tcW w:w="4843"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2045" w:type="dxa"/>
            <w:gridSpan w:val="3"/>
            <w:tcBorders/>
            <w:shd w:fill="auto" w:val="clear"/>
            <w:vAlign w:val="center"/>
          </w:tcPr>
          <w:p>
            <w:pPr>
              <w:pStyle w:val="TableContents"/>
              <w:spacing w:before="0" w:after="283"/>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164</w:t>
            </w:r>
            <w:r>
              <w:rPr>
                <w:color w:val="000000"/>
              </w:rPr>
              <w:t> </w:t>
            </w:r>
          </w:p>
        </w:tc>
        <w:tc>
          <w:tcPr>
            <w:tcW w:w="5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5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margin</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w:t>
            </w:r>
            <w:r>
              <w:rPr>
                <w:color w:val="000000"/>
              </w:rPr>
              <w:t> </w:t>
            </w:r>
          </w:p>
        </w:tc>
        <w:tc>
          <w:tcPr>
            <w:tcW w:w="5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(EPS)</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1.17</w:t>
            </w:r>
            <w:r>
              <w:rPr>
                <w:color w:val="000000"/>
              </w:rPr>
              <w:t> </w:t>
            </w:r>
          </w:p>
        </w:tc>
        <w:tc>
          <w:tcPr>
            <w:tcW w:w="5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5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Measures*:</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346</w:t>
            </w:r>
            <w:r>
              <w:rPr>
                <w:color w:val="000000"/>
              </w:rPr>
              <w:t> </w:t>
            </w:r>
          </w:p>
        </w:tc>
        <w:tc>
          <w:tcPr>
            <w:tcW w:w="5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5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9.4</w:t>
            </w:r>
            <w:r>
              <w:rPr>
                <w:color w:val="000000"/>
              </w:rPr>
              <w:t> </w:t>
            </w:r>
          </w:p>
        </w:tc>
        <w:tc>
          <w:tcPr>
            <w:tcW w:w="5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diluted EPS</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1.47</w:t>
            </w:r>
            <w:r>
              <w:rPr>
                <w:color w:val="000000"/>
              </w:rPr>
              <w:t> </w:t>
            </w:r>
          </w:p>
        </w:tc>
        <w:tc>
          <w:tcPr>
            <w:tcW w:w="5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5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Non-GAAP financial measures should be considered in addition to, but not as a substitute for, the information provided in accordance with GAAP. Management believes that these non-GAAP measures provide another measure of Leidos' results of operations and financial condition, including its ability to comply with financial covenants. See Non-GAAP Financial Measures at the end of this press release for more information and a reconciliation of our selected reported results to these non-GAAP measures.</w:t>
            </w:r>
          </w:p>
        </w:tc>
      </w:tr>
    </w:tbl>
    <w:p>
      <w:pPr>
        <w:pStyle w:val="TextBody"/>
        <w:spacing w:lineRule="auto" w:line="288" w:before="120" w:after="283"/>
        <w:rPr/>
      </w:pPr>
      <w:r>
        <w:rPr>
          <w:rFonts w:ascii="Arial;sans-serif" w:hAnsi="Arial;sans-serif"/>
          <w:b w:val="false"/>
          <w:color w:val="000000"/>
          <w:sz w:val="20"/>
        </w:rPr>
        <w:t>Revenues for the quarter wer</w:t>
      </w:r>
      <w:r>
        <w:rPr>
          <w:rFonts w:ascii="Arial;sans-serif" w:hAnsi="Arial;sans-serif"/>
          <w:b w:val="false"/>
          <w:color w:val="000000"/>
          <w:sz w:val="20"/>
          <w:highlight w:val="white"/>
        </w:rPr>
        <w:t>e $3.70 billion, up 6%</w:t>
      </w:r>
      <w:r>
        <w:rPr>
          <w:color w:val="000000"/>
          <w:highlight w:val="white"/>
        </w:rPr>
        <w:t xml:space="preserve"> </w:t>
      </w:r>
      <w:r>
        <w:rPr>
          <w:rFonts w:ascii="Arial;sans-serif" w:hAnsi="Arial;sans-serif"/>
          <w:b w:val="false"/>
          <w:color w:val="000000"/>
          <w:sz w:val="20"/>
          <w:highlight w:val="white"/>
        </w:rPr>
        <w:t xml:space="preserve">compared to the first quarter of 2022. Revenues grew year-over-year in </w:t>
      </w:r>
      <w:r>
        <w:rPr>
          <w:rFonts w:ascii="Arial;sans-serif" w:hAnsi="Arial;sans-serif"/>
          <w:b w:val="false"/>
          <w:color w:val="000000"/>
          <w:sz w:val="20"/>
        </w:rPr>
        <w:t>all segments, led by broad-based strength across the Civil and Health segments.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Net income was $164 million and diluted EPS was $1.17. Net income and diluted EPS were down 7% and 6% year-over-year, respectively. Adjusted EBITDA was $346 million for the first quarter, down 3% year-over-year, and adjusted EBITDA margin decreased from 10.2% to 9.4% over the same period. Non-GAAP net income was $205 million for the first quarter, down 8% year-over-year, and non-GAAP diluted EPS for the quarter was $1.47, down 7% year-over-year. </w:t>
      </w:r>
    </w:p>
    <w:p>
      <w:pPr>
        <w:pStyle w:val="TextBody"/>
        <w:spacing w:lineRule="auto" w:line="288" w:before="120" w:after="283"/>
        <w:rPr/>
      </w:pPr>
      <w:r>
        <w:rPr>
          <w:rFonts w:ascii="Arial;sans-serif" w:hAnsi="Arial;sans-serif"/>
          <w:b w:val="false"/>
          <w:color w:val="000000"/>
          <w:sz w:val="20"/>
        </w:rPr>
        <w:t xml:space="preserve">The primary drivers of lower earnings were expected reductions in certain disability examinations as the result of additional competition and increased expenses in the security products business. In addition, net interest expense increased to $54 million from $48 million in the first quarter of </w:t>
      </w:r>
      <w:r>
        <w:rPr>
          <w:rFonts w:ascii="Arial;sans-serif" w:hAnsi="Arial;sans-serif"/>
          <w:b w:val="false"/>
          <w:color w:val="000000"/>
          <w:sz w:val="20"/>
          <w:highlight w:val="white"/>
        </w:rPr>
        <w:t>2022</w:t>
      </w:r>
      <w:r>
        <w:rPr>
          <w:rFonts w:ascii="Arial;sans-serif" w:hAnsi="Arial;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Cash Flow Summary</w:t>
      </w:r>
    </w:p>
    <w:p>
      <w:pPr>
        <w:pStyle w:val="TextBody"/>
        <w:spacing w:lineRule="auto" w:line="288" w:before="120" w:after="283"/>
        <w:rPr/>
      </w:pPr>
      <w:r>
        <w:rPr>
          <w:rFonts w:ascii="Arial;sans-serif" w:hAnsi="Arial;sans-serif"/>
          <w:b w:val="false"/>
          <w:color w:val="000000"/>
          <w:sz w:val="20"/>
        </w:rPr>
        <w:t xml:space="preserve">In the first quarter Leidos used $98 million of </w:t>
      </w:r>
      <w:r>
        <w:rPr>
          <w:rFonts w:ascii="Arial;sans-serif" w:hAnsi="Arial;sans-serif"/>
          <w:b w:val="false"/>
          <w:color w:val="000000"/>
          <w:sz w:val="20"/>
          <w:highlight w:val="white"/>
        </w:rPr>
        <w:t>net cash in ope</w:t>
      </w:r>
      <w:r>
        <w:rPr>
          <w:rFonts w:ascii="Arial;sans-serif" w:hAnsi="Arial;sans-serif"/>
          <w:b w:val="false"/>
          <w:color w:val="000000"/>
          <w:sz w:val="20"/>
        </w:rPr>
        <w:t xml:space="preserve">rating activities and $39 million in property, equipment and software. Net cash flow from operating activities include $191 million in tax payments for prior year activities, primarily related to the Tax Cuts and Jobs Act of 2017 provision requiring the capitalization and amortization of research and development costs that went into effect on January 1, 2022. In addition, Leidos used $57 million for financing activities.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Leidos returned $93 million to shareholders in the first quarter, including $43 million in share repurchases and $50 million as part of its regular quarterly cash dividend program. As of March 31, 2023, Leidos had $379 million in cash and cash equivalents and $5.0 billion of debt.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Leidos also took two primary actions to strengthen its balance sheet in the quarter. First, Leidos issued and sold $750 million aggregate principal amount of senior notes with a fixed rate of 5.75% that will mature in March 2033. Second, Leidos entered into a senior unsecured term loan facility in an aggregate principal amount of $1.0 billion and a $1.0 billion senior unsecured revolving facility that will mature in March 2028. Leidos used the proceeds from these actions to repay all of the outstanding obligations on the $500 million 2.95% note, due May 2023, and the $1.9 billion term loan facility, due January 2025.</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On April 28, 2023, the Leidos Board of Directors declared a cash dividend of $0.36 per share to be paid on June 30, 2023, to stockholders of record at the close of business on June 15,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 xml:space="preserve">New Business Awards </w:t>
      </w:r>
    </w:p>
    <w:p>
      <w:pPr>
        <w:pStyle w:val="TextBody"/>
        <w:spacing w:lineRule="auto" w:line="288" w:before="120" w:after="283"/>
        <w:rPr/>
      </w:pPr>
      <w:r>
        <w:rPr>
          <w:rFonts w:ascii="Arial;sans-serif" w:hAnsi="Arial;sans-serif"/>
          <w:b w:val="false"/>
          <w:color w:val="000000"/>
          <w:sz w:val="20"/>
          <w:highlight w:val="white"/>
        </w:rPr>
        <w:t>Net bookings totale</w:t>
      </w:r>
      <w:r>
        <w:rPr>
          <w:rFonts w:ascii="Arial;sans-serif" w:hAnsi="Arial;sans-serif"/>
          <w:b w:val="false"/>
          <w:color w:val="000000"/>
          <w:sz w:val="20"/>
        </w:rPr>
        <w:t xml:space="preserve">d $3.0 billion in the quarter, representing a book-to-bill ratio of 0.8 and a trailing twelve month book-to-bill ratio of 0.9. As a result, backlog at the end of the quarter was $35.1 billion, of which $8.3 billion was funded. Included in the quarterly bookings were several notable awards: </w:t>
      </w:r>
    </w:p>
    <w:p>
      <w:pPr>
        <w:pStyle w:val="TextBody"/>
        <w:spacing w:lineRule="auto" w:line="256" w:before="120" w:after="283"/>
        <w:ind w:left="0" w:right="0" w:hanging="360"/>
        <w:rPr/>
      </w:pPr>
      <w:r>
        <w:rPr>
          <w:color w:val="000000"/>
        </w:rPr>
        <w:t>•</w:t>
      </w:r>
      <w:r>
        <w:rPr>
          <w:rFonts w:ascii="Arial;sans-serif" w:hAnsi="Arial;sans-serif"/>
          <w:b/>
          <w:color w:val="000000"/>
          <w:sz w:val="20"/>
        </w:rPr>
        <w:t xml:space="preserve">Signals and Cybersecurity intelligence Services. </w:t>
      </w:r>
      <w:r>
        <w:rPr>
          <w:rFonts w:ascii="Arial;sans-serif" w:hAnsi="Arial;sans-serif"/>
          <w:b w:val="false"/>
          <w:color w:val="000000"/>
          <w:sz w:val="20"/>
        </w:rPr>
        <w:t xml:space="preserve">An Intelligence Community agency awarded Leidos and its team of Large and Small Business prime contractors five-year, single award contracts with a combined ceiling value of approximately $1.25 billion to provide expertise to maximize the effectiveness and efficiency of its missions, products and systems. Leidos, as the Lead Prime contractor, provides both technical and Program Management to enable the expansion and modernization of mission capabilities utilizing a consistent architecture for the sponsor agency and its partners. Included in the scope are requirements analysis, design, systems security, development, integration and test, procurement, deployment, modernization, sustainment, and decommissioning of large and complex SIGINT and Cybersecurity intelligence system capabilities. </w:t>
      </w:r>
    </w:p>
    <w:p>
      <w:pPr>
        <w:pStyle w:val="TextBody"/>
        <w:spacing w:lineRule="auto" w:line="256" w:before="120" w:after="283"/>
        <w:ind w:left="0" w:right="0" w:hanging="360"/>
        <w:rPr/>
      </w:pPr>
      <w:r>
        <w:rPr>
          <w:color w:val="000000"/>
        </w:rPr>
        <w:t>•</w:t>
      </w:r>
      <w:r>
        <w:rPr>
          <w:rFonts w:ascii="Arial;sans-serif" w:hAnsi="Arial;sans-serif"/>
          <w:b/>
          <w:color w:val="000000"/>
          <w:sz w:val="20"/>
        </w:rPr>
        <w:t xml:space="preserve">Office of the Director of National Intelligence (ODNI) Support. </w:t>
      </w:r>
      <w:r>
        <w:rPr>
          <w:rFonts w:ascii="Arial;sans-serif" w:hAnsi="Arial;sans-serif"/>
          <w:b w:val="false"/>
          <w:color w:val="000000"/>
          <w:sz w:val="20"/>
        </w:rPr>
        <w:t xml:space="preserve">ODNI awarded Leidos a seven-year, $375 million prime contract to provide intelligence, technical, financial and management services. Through this contract Leidos will provide analytic, intelligence management, and systems analysis support covering a wide range of regional and functional topics. Technical services include systems integration, cybersecurity, science and technology, counterintelligence, IT project management, security and risk management. </w:t>
      </w:r>
    </w:p>
    <w:p>
      <w:pPr>
        <w:pStyle w:val="TextBody"/>
        <w:spacing w:lineRule="auto" w:line="256" w:before="120" w:after="283"/>
        <w:ind w:left="0" w:right="0" w:hanging="360"/>
        <w:rPr/>
      </w:pPr>
      <w:r>
        <w:rPr>
          <w:color w:val="000000"/>
        </w:rPr>
        <w:t>•</w:t>
      </w:r>
      <w:r>
        <w:rPr>
          <w:rFonts w:ascii="Arial;sans-serif" w:hAnsi="Arial;sans-serif"/>
          <w:b/>
          <w:color w:val="000000"/>
          <w:sz w:val="20"/>
        </w:rPr>
        <w:t xml:space="preserve">Centers for Medicare and Medicaid Services (CMS) Support. </w:t>
      </w:r>
      <w:r>
        <w:rPr>
          <w:rFonts w:ascii="Arial;sans-serif" w:hAnsi="Arial;sans-serif"/>
          <w:b w:val="false"/>
          <w:color w:val="000000"/>
          <w:sz w:val="20"/>
        </w:rPr>
        <w:t>CMS awarded Leidos a five-year, $79 million prime contract that will provide onboarding, migration planning, modernization support and maintenance for current and future applications hosted in the enterprise's hybrid cloud environments. Leidos was also awarded three subcontract positions totaling approximately $23 million to support enterprise portals within the CMS Office of Information Technology, as well as services for CMS' Center for Clinical Standards and Quality and the Center for Consumer Information and Insurance Oversight.</w:t>
      </w:r>
    </w:p>
    <w:p>
      <w:pPr>
        <w:pStyle w:val="TextBody"/>
        <w:spacing w:lineRule="auto" w:line="256" w:before="120" w:after="283"/>
        <w:ind w:left="0" w:right="0" w:hanging="360"/>
        <w:rPr/>
      </w:pPr>
      <w:r>
        <w:rPr>
          <w:color w:val="000000"/>
        </w:rPr>
        <w:t>•</w:t>
      </w:r>
      <w:r>
        <w:rPr>
          <w:rFonts w:ascii="Arial;sans-serif" w:hAnsi="Arial;sans-serif"/>
          <w:b/>
          <w:color w:val="000000"/>
          <w:sz w:val="20"/>
        </w:rPr>
        <w:t xml:space="preserve">Unmanned Surface Vessel (USV) Operations and Maintenance. </w:t>
      </w:r>
      <w:r>
        <w:rPr>
          <w:rFonts w:ascii="Arial;sans-serif" w:hAnsi="Arial;sans-serif"/>
          <w:b w:val="false"/>
          <w:color w:val="000000"/>
          <w:sz w:val="20"/>
        </w:rPr>
        <w:t xml:space="preserve">Leidos was recently awarded a new task order by Naval Sea Systems Command to manage, operate and maintain the U.S. Navy’s Overlord and medium USVs. Leidos will support active-duty personnel under an increased operational tempo as they begin fully transitioning the USVs to the fleet. The single award task order has a one-year base period of performance and two one-year options and a maximum value of approximately $95 million. Leidos has delivered four of the five operational medium-sized USVs currently in the Navy’s fleet: Ranger, Mariner, Sea Hunter and Seahawk. </w:t>
      </w:r>
      <w:r>
        <w:br w:type="page"/>
      </w:r>
    </w:p>
    <w:p>
      <w:pPr>
        <w:pStyle w:val="TextBody"/>
        <w:spacing w:before="180" w:after="283"/>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56" w:before="120" w:after="283"/>
        <w:ind w:left="0" w:right="0" w:hanging="360"/>
        <w:rPr/>
      </w:pPr>
      <w:r>
        <w:rPr>
          <w:color w:val="000000"/>
        </w:rPr>
        <w:t>•</w:t>
      </w:r>
      <w:r>
        <w:rPr>
          <w:rFonts w:ascii="Arial;sans-serif" w:hAnsi="Arial;sans-serif"/>
          <w:b/>
          <w:color w:val="000000"/>
          <w:sz w:val="20"/>
        </w:rPr>
        <w:t xml:space="preserve">Airport Security Products. </w:t>
      </w:r>
      <w:r>
        <w:rPr>
          <w:rFonts w:ascii="Arial;sans-serif" w:hAnsi="Arial;sans-serif"/>
          <w:b w:val="false"/>
          <w:color w:val="000000"/>
          <w:sz w:val="20"/>
        </w:rPr>
        <w:t xml:space="preserve">Leidos was recently awarded contracts by the Transportation Security Administration (TSA), Germany's Frankfurt Airport (FRA), and London's Luton Airport (LLA) to strengthen airport security. The TSA will upgrade its full fleet of Pro:Vision® Advanced Imaging Technology (AIT) systems used at airport security checkpoints with a new artificial intelligence-based algorithm meant to improve threat detection methodology and significantly reduce false alarms. Leidos is deploying its ClearScan™ computed tomography (CT) scanner at FRA and LLA. In addition, LLA is deploying the ProPassage™ automated tray return systems and Mosaic™, Leidos' open-architecture software platform that integrates all security components into a single management system to provide actionable business intelligence across the entire security screening operation.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 xml:space="preserve">Forward Guidance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Leidos is maintaining its fiscal year 2023 guidance as follows: </w:t>
      </w:r>
    </w:p>
    <w:tbl>
      <w:tblPr>
        <w:tblW w:w="6448" w:type="dxa"/>
        <w:jc w:val="center"/>
        <w:tblInd w:w="0" w:type="dxa"/>
        <w:tblCellMar>
          <w:top w:w="28" w:type="dxa"/>
          <w:left w:w="28" w:type="dxa"/>
          <w:bottom w:w="28" w:type="dxa"/>
          <w:right w:w="28" w:type="dxa"/>
        </w:tblCellMar>
      </w:tblPr>
      <w:tblGrid>
        <w:gridCol w:w="1749"/>
        <w:gridCol w:w="1539"/>
        <w:gridCol w:w="1556"/>
        <w:gridCol w:w="468"/>
        <w:gridCol w:w="468"/>
        <w:gridCol w:w="668"/>
      </w:tblGrid>
      <w:tr>
        <w:trPr/>
        <w:tc>
          <w:tcPr>
            <w:tcW w:w="1749"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Measure</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FY23 Guidance</w:t>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Revenues (billions)</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$14.7 - $15.1</w:t>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Adjusted EBITDA Margin</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 - 10.5%</w:t>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Non-GAAP Diluted EPS</w:t>
            </w:r>
          </w:p>
        </w:tc>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$6.40 - $6.80</w:t>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Flows Provided by Operating Activities (millions)</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at or above $700</w:t>
            </w:r>
          </w:p>
        </w:tc>
      </w:tr>
    </w:tbl>
    <w:p>
      <w:pPr>
        <w:pStyle w:val="TextBody"/>
        <w:spacing w:lineRule="auto" w:line="256" w:before="120" w:after="283"/>
        <w:rPr>
          <w:rFonts w:ascii="Arial;sans-serif" w:hAnsi="Arial;sans-serif"/>
          <w:b w:val="false"/>
          <w:color w:val="000000"/>
          <w:sz w:val="20"/>
        </w:rPr>
      </w:pPr>
      <w:r>
        <w:rPr>
          <w:rFonts w:ascii="Arial;sans-serif" w:hAnsi="Arial;sans-serif"/>
          <w:b w:val="false"/>
          <w:color w:val="000000"/>
          <w:sz w:val="20"/>
        </w:rPr>
        <w:t>For information regarding adjusted EBITDA margin and non-GAAP diluted EPS, see the related explanations and reconciliations to GAAP measures included elsewhere in this release.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Leidos does not provide a reconciliation of forward-looking adjusted EBITDA margins or non-GAAP diluted EPS to net income due to the inherent difficulty in forecasting and quantifying certain amounts that are necessary for such reconciliation. Because certain deductions for non-GAAP exclusions used to calculate projected net income may vary significantly based on actual events, Leidos is not able to forecast on a GAAP basis with reasonable certainty all deductions needed in order to provide a GAAP calculation of projected net income at this time. The amounts of these deductions may be material and, therefore, could result in projected net income and diluted EPS being materially less than what may be implied by projected adjusted EBITDA margins and non-GAAP diluted EPS.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Conference Call Information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Leidos management will discuss operations and financial results in an earnings conference call beginning at 8:00 A.M. eastern time on May 2, 2023. Analysts and institutional investors may participate by dialing +1 (877) 869-3847 (toll-free U.S.) or +1 (201) 689-8261 (international callers).</w:t>
      </w:r>
    </w:p>
    <w:p>
      <w:pPr>
        <w:pStyle w:val="TextBody"/>
        <w:spacing w:lineRule="auto" w:line="288" w:before="120" w:after="283"/>
        <w:rPr/>
      </w:pPr>
      <w:r>
        <w:rPr>
          <w:rFonts w:ascii="Arial;sans-serif" w:hAnsi="Arial;sans-serif"/>
          <w:b w:val="false"/>
          <w:color w:val="000000"/>
          <w:sz w:val="20"/>
        </w:rPr>
        <w:t>A live audio broadcast of the conference call along with a supplemental presentation will be available to the public through links on the Leidos Investor Relations website (</w:t>
      </w:r>
      <w:r>
        <w:rPr>
          <w:rFonts w:ascii="Arial;sans-serif" w:hAnsi="Arial;sans-serif"/>
          <w:b w:val="false"/>
          <w:color w:val="0000FF"/>
          <w:sz w:val="20"/>
          <w:u w:val="single"/>
        </w:rPr>
        <w:t>http://ir.leidos.com</w:t>
      </w:r>
      <w:r>
        <w:rPr>
          <w:rFonts w:ascii="Arial;sans-serif" w:hAnsi="Arial;sans-serif"/>
          <w:b w:val="false"/>
          <w:color w:val="000000"/>
          <w:sz w:val="20"/>
        </w:rPr>
        <w: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After the call concludes, an audio replay can be accessed on the Leidos Investor Relations website or by dialing +1 (877) 660-6853 (toll-free U.S.) or +1 (201) 612-7415 (international callers) and entering conference ID 13737669.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 xml:space="preserve">About Leidos </w:t>
      </w:r>
    </w:p>
    <w:p>
      <w:pPr>
        <w:pStyle w:val="TextBody"/>
        <w:spacing w:lineRule="auto" w:line="264" w:before="100" w:after="283"/>
        <w:rPr/>
      </w:pPr>
      <w:r>
        <w:rPr>
          <w:rFonts w:ascii="Arial;sans-serif" w:hAnsi="Arial;sans-serif"/>
          <w:b w:val="false"/>
          <w:color w:val="000000"/>
          <w:sz w:val="20"/>
        </w:rPr>
        <w:t>Leidos is a Fortune 500</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technology, engineering, and science solutions and services leader working to solve the world's toughest challenges in the defense, intelligence, civil and health markets. Leidos' 46,000 employees support vital missions for government and commercial customers. Headquartered in Reston, Va., Leidos reported annual revenues </w:t>
      </w:r>
      <w:r>
        <w:rPr>
          <w:rFonts w:ascii="Arial;sans-serif" w:hAnsi="Arial;sans-serif"/>
          <w:b w:val="false"/>
          <w:color w:val="000000"/>
          <w:sz w:val="20"/>
          <w:highlight w:val="white"/>
        </w:rPr>
        <w:t>of approximately $14.4 billion for the fiscal year ended December 30, 2022.</w:t>
      </w:r>
    </w:p>
    <w:p>
      <w:pPr>
        <w:pStyle w:val="TextBody"/>
        <w:spacing w:lineRule="auto" w:line="288" w:before="100" w:after="283"/>
        <w:rPr/>
      </w:pPr>
      <w:r>
        <w:rPr>
          <w:rFonts w:ascii="Arial;sans-serif" w:hAnsi="Arial;sans-serif"/>
          <w:b w:val="false"/>
          <w:color w:val="000000"/>
          <w:sz w:val="20"/>
        </w:rPr>
        <w:t xml:space="preserve">For more information, visit </w:t>
      </w:r>
      <w:r>
        <w:rPr>
          <w:rFonts w:ascii="Arial;sans-serif" w:hAnsi="Arial;sans-serif"/>
          <w:b w:val="false"/>
          <w:color w:val="0000FF"/>
          <w:sz w:val="20"/>
          <w:u w:val="single"/>
        </w:rPr>
        <w:t>www.leidos.com</w:t>
      </w:r>
      <w:r>
        <w:rPr>
          <w:rFonts w:ascii="Arial;sans-serif" w:hAnsi="Arial;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r>
        <w:br w:type="page"/>
      </w:r>
    </w:p>
    <w:p>
      <w:pPr>
        <w:pStyle w:val="TextBody"/>
        <w:spacing w:before="180" w:after="283"/>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Forward-Looking Statements</w:t>
      </w:r>
    </w:p>
    <w:p>
      <w:pPr>
        <w:pStyle w:val="TextBody"/>
        <w:spacing w:lineRule="auto" w:line="264" w:before="100" w:after="283"/>
        <w:rPr>
          <w:rFonts w:ascii="Arial;sans-serif" w:hAnsi="Arial;sans-serif"/>
          <w:b w:val="false"/>
          <w:color w:val="000000"/>
          <w:sz w:val="20"/>
        </w:rPr>
      </w:pPr>
      <w:r>
        <w:rPr>
          <w:rFonts w:ascii="Arial;sans-serif" w:hAnsi="Arial;sans-serif"/>
          <w:b w:val="false"/>
          <w:color w:val="000000"/>
          <w:sz w:val="20"/>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include, among others, estimates of our future growth and financial and operating performance, including future revenues, adjusted EBITDA margins, diluted EPS (including on a non-GAAP basis) and cash flows provided by operating activities, as well as statements about our business contingency plans, government budgets and the ongoing Continuing Resolution, uncertainties in tax due to new tax legislation or other regulatory developments, the impact of COVID-19 and related actions taken to prevent its spread, our contract awards, strategy, planned investments, sustainability goals and our future dividends, share repurchases, capital expenditures, debt repayments, acquisitions, dispositions and cash flow conversion. These statements reflect our belief and assumptions as to future events that may not prove to be accurate. </w:t>
      </w:r>
    </w:p>
    <w:p>
      <w:pPr>
        <w:pStyle w:val="TextBody"/>
        <w:spacing w:lineRule="auto" w:line="264" w:before="100" w:after="283"/>
        <w:rPr>
          <w:rFonts w:ascii="Arial;sans-serif" w:hAnsi="Arial;sans-serif"/>
          <w:b w:val="false"/>
          <w:color w:val="000000"/>
          <w:sz w:val="20"/>
        </w:rPr>
      </w:pPr>
      <w:r>
        <w:rPr>
          <w:rFonts w:ascii="Arial;sans-serif" w:hAnsi="Arial;sans-serif"/>
          <w:b w:val="false"/>
          <w:color w:val="000000"/>
          <w:sz w:val="20"/>
        </w:rPr>
        <w:t>Actual performance and results may differ materially from those results anticipated by our guidance and other forward-looking statements made in this release depending on a variety of factors, including, but not limited to: developments in the U.S. government defense and non-defense budgets, including budget reductions, sequestration, implementation of spending limits or changes in budgetary priorities, delays in the U.S. government budget process or a government shutdown,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rising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COVID-19 or other health epidemics, pandemics and similar outbreaks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and disposal,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that we face.</w:t>
      </w:r>
      <w:r>
        <w:br w:type="page"/>
      </w:r>
    </w:p>
    <w:p>
      <w:pPr>
        <w:pStyle w:val="TextBody"/>
        <w:spacing w:before="180" w:after="283"/>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These are only some of the factors that may affect the forward-looking statements contained in this release. For further information concerning risks and uncertainties associated with our business, please refer to the filings we make from time to time with the U.S. Securities and Exchange Commission ("SEC"), including the "Risk Factors," "Management's Discussion and Analysis of Financial Condition and Results of Operations" and "Legal Proceedings" sections of our latest Annual Report on Form 10-K and Quarterly Reports on Form 10-Q, all of which may be viewed or obtained through the Investor Relations section of our website at www.leidos.com. </w:t>
      </w:r>
    </w:p>
    <w:p>
      <w:pPr>
        <w:pStyle w:val="TextBody"/>
        <w:spacing w:lineRule="auto" w:line="268" w:before="120" w:after="283"/>
        <w:rPr>
          <w:rFonts w:ascii="Arial;sans-serif" w:hAnsi="Arial;sans-serif"/>
          <w:b w:val="false"/>
          <w:color w:val="000000"/>
          <w:sz w:val="20"/>
        </w:rPr>
      </w:pPr>
      <w:r>
        <w:rPr>
          <w:rFonts w:ascii="Arial;sans-serif" w:hAnsi="Arial;sans-serif"/>
          <w:b w:val="false"/>
          <w:color w:val="000000"/>
          <w:sz w:val="20"/>
        </w:rPr>
        <w:t xml:space="preserve">All information in this release is as of May 2, 2023. Leidos expressly disclaims any duty to update the guidance or any other forward-looking statement provided in this release to reflect subsequent events, actual results or changes in Leidos' expectations. Leidos also disclaims any duty to comment upon or correct information that may be contained in reports published by investment analysts or others. </w:t>
      </w:r>
    </w:p>
    <w:p>
      <w:pPr>
        <w:pStyle w:val="TextBody"/>
        <w:spacing w:before="0" w:after="0"/>
        <w:rPr/>
      </w:pPr>
      <w:r>
        <w:rPr/>
      </w:r>
    </w:p>
    <w:tbl>
      <w:tblPr>
        <w:tblW w:w="4059" w:type="dxa"/>
        <w:jc w:val="left"/>
        <w:tblInd w:w="0" w:type="dxa"/>
        <w:tblCellMar>
          <w:top w:w="28" w:type="dxa"/>
          <w:left w:w="28" w:type="dxa"/>
          <w:bottom w:w="28" w:type="dxa"/>
          <w:right w:w="28" w:type="dxa"/>
        </w:tblCellMar>
      </w:tblPr>
      <w:tblGrid>
        <w:gridCol w:w="636"/>
        <w:gridCol w:w="558"/>
        <w:gridCol w:w="561"/>
        <w:gridCol w:w="917"/>
        <w:gridCol w:w="590"/>
        <w:gridCol w:w="797"/>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2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Media Relations:</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Stuart Davis</w:t>
            </w:r>
          </w:p>
        </w:tc>
        <w:tc>
          <w:tcPr>
            <w:tcW w:w="2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Melissa Lee Dueñas</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571.526.6124</w:t>
            </w:r>
          </w:p>
        </w:tc>
        <w:tc>
          <w:tcPr>
            <w:tcW w:w="2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571.526.6850</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ir@leidos.com</w:t>
            </w:r>
          </w:p>
        </w:tc>
        <w:tc>
          <w:tcPr>
            <w:tcW w:w="2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Duenasml@leidos.com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CONDENSED CONSOLIDATED STATEMENTS OF INCOME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amounts)</w:t>
      </w:r>
    </w:p>
    <w:tbl>
      <w:tblPr>
        <w:tblW w:w="7821" w:type="dxa"/>
        <w:jc w:val="center"/>
        <w:tblInd w:w="0" w:type="dxa"/>
        <w:tblCellMar>
          <w:top w:w="28" w:type="dxa"/>
          <w:left w:w="28" w:type="dxa"/>
          <w:bottom w:w="28" w:type="dxa"/>
          <w:right w:w="28" w:type="dxa"/>
        </w:tblCellMar>
      </w:tblPr>
      <w:tblGrid>
        <w:gridCol w:w="1881"/>
        <w:gridCol w:w="1649"/>
        <w:gridCol w:w="1660"/>
        <w:gridCol w:w="109"/>
        <w:gridCol w:w="109"/>
        <w:gridCol w:w="109"/>
        <w:gridCol w:w="211"/>
        <w:gridCol w:w="646"/>
        <w:gridCol w:w="109"/>
        <w:gridCol w:w="109"/>
        <w:gridCol w:w="109"/>
        <w:gridCol w:w="109"/>
        <w:gridCol w:w="211"/>
        <w:gridCol w:w="646"/>
        <w:gridCol w:w="154"/>
      </w:tblGrid>
      <w:tr>
        <w:trPr/>
        <w:tc>
          <w:tcPr>
            <w:tcW w:w="1881"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51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1,</w:t>
              <w:br/>
              <w:t>2022</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integration and restructuring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(earnings) loss of non-consolidated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Leidos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5780"/>
                <wp:effectExtent l="0" t="0" r="0" b="0"/>
                <wp:wrapNone/>
                <wp:docPr id="9" name="Frame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par value)</w:t>
      </w:r>
    </w:p>
    <w:tbl>
      <w:tblPr>
        <w:tblW w:w="10205" w:type="dxa"/>
        <w:jc w:val="left"/>
        <w:tblInd w:w="0" w:type="dxa"/>
        <w:tblCellMar>
          <w:top w:w="28" w:type="dxa"/>
          <w:left w:w="28" w:type="dxa"/>
          <w:bottom w:w="28" w:type="dxa"/>
          <w:right w:w="28" w:type="dxa"/>
        </w:tblCellMar>
      </w:tblPr>
      <w:tblGrid>
        <w:gridCol w:w="2774"/>
        <w:gridCol w:w="2268"/>
        <w:gridCol w:w="2293"/>
        <w:gridCol w:w="109"/>
        <w:gridCol w:w="109"/>
        <w:gridCol w:w="109"/>
        <w:gridCol w:w="211"/>
        <w:gridCol w:w="751"/>
        <w:gridCol w:w="109"/>
        <w:gridCol w:w="109"/>
        <w:gridCol w:w="109"/>
        <w:gridCol w:w="109"/>
        <w:gridCol w:w="216"/>
        <w:gridCol w:w="770"/>
        <w:gridCol w:w="159"/>
      </w:tblGrid>
      <w:tr>
        <w:trPr/>
        <w:tc>
          <w:tcPr>
            <w:tcW w:w="2774"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2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30,</w:t>
              <w:br/>
              <w:t>2022</w:t>
            </w:r>
          </w:p>
        </w:tc>
      </w:tr>
      <w:tr>
        <w:trPr/>
        <w:tc>
          <w:tcPr>
            <w:tcW w:w="73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6,703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2,110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debt and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$0.0001 par value, 500 million shares authorized, 137 million and 137 million shares issued and outstanding at March 31, 2023, and December 30,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2,479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Leidos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13,132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CONDENSED CONSOLIDATED STATEMENTS OF CASH FLOWS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tbl>
      <w:tblPr>
        <w:tblW w:w="10019" w:type="dxa"/>
        <w:jc w:val="center"/>
        <w:tblInd w:w="0" w:type="dxa"/>
        <w:tblCellMar>
          <w:top w:w="28" w:type="dxa"/>
          <w:left w:w="28" w:type="dxa"/>
          <w:bottom w:w="28" w:type="dxa"/>
          <w:right w:w="28" w:type="dxa"/>
        </w:tblCellMar>
      </w:tblPr>
      <w:tblGrid>
        <w:gridCol w:w="2777"/>
        <w:gridCol w:w="2440"/>
        <w:gridCol w:w="2447"/>
        <w:gridCol w:w="109"/>
        <w:gridCol w:w="109"/>
        <w:gridCol w:w="109"/>
        <w:gridCol w:w="225"/>
        <w:gridCol w:w="514"/>
        <w:gridCol w:w="116"/>
        <w:gridCol w:w="109"/>
        <w:gridCol w:w="109"/>
        <w:gridCol w:w="109"/>
        <w:gridCol w:w="211"/>
        <w:gridCol w:w="481"/>
        <w:gridCol w:w="154"/>
      </w:tblGrid>
      <w:tr>
        <w:trPr/>
        <w:tc>
          <w:tcPr>
            <w:tcW w:w="2777" w:type="dxa"/>
            <w:tcBorders/>
            <w:shd w:fill="auto" w:val="clear"/>
            <w:vAlign w:val="center"/>
          </w:tcPr>
          <w:p>
            <w:pPr>
              <w:pStyle w:val="TableContents"/>
              <w:spacing w:before="0" w:after="283"/>
              <w:rPr>
                <w:sz w:val="4"/>
                <w:szCs w:val="4"/>
              </w:rPr>
            </w:pPr>
            <w:r>
              <w:rPr>
                <w:sz w:val="4"/>
                <w:szCs w:val="4"/>
              </w:rPr>
            </w:r>
          </w:p>
        </w:tc>
        <w:tc>
          <w:tcPr>
            <w:tcW w:w="2440" w:type="dxa"/>
            <w:tcBorders/>
            <w:shd w:fill="auto" w:val="clear"/>
            <w:vAlign w:val="center"/>
          </w:tcPr>
          <w:p>
            <w:pPr>
              <w:pStyle w:val="TableContents"/>
              <w:spacing w:before="0" w:after="283"/>
              <w:rPr>
                <w:sz w:val="4"/>
                <w:szCs w:val="4"/>
              </w:rPr>
            </w:pPr>
            <w:r>
              <w:rPr>
                <w:sz w:val="4"/>
                <w:szCs w:val="4"/>
              </w:rPr>
            </w:r>
          </w:p>
        </w:tc>
        <w:tc>
          <w:tcPr>
            <w:tcW w:w="2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76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1,</w:t>
              <w:br/>
              <w:t>2022</w:t>
            </w:r>
          </w:p>
        </w:tc>
      </w:tr>
      <w:tr>
        <w:trPr/>
        <w:tc>
          <w:tcPr>
            <w:tcW w:w="7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164</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(used in) provided by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82</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assets and liabilities, net of effects of acquisitions and dispositions: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and 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 and 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receivable/payable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a business, net of cash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Divestiture of a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7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debt issuance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1,743</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(1,711)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stock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issuances of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capital 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683</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491</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112</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379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SEGMENT OPERATING RESULTS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spacing w:before="0" w:after="0"/>
        <w:rPr/>
      </w:pPr>
      <w:r>
        <w:rPr/>
      </w:r>
    </w:p>
    <w:tbl>
      <w:tblPr>
        <w:tblW w:w="6522" w:type="dxa"/>
        <w:jc w:val="center"/>
        <w:tblInd w:w="0" w:type="dxa"/>
        <w:tblCellMar>
          <w:top w:w="28" w:type="dxa"/>
          <w:left w:w="28" w:type="dxa"/>
          <w:bottom w:w="28" w:type="dxa"/>
          <w:right w:w="28" w:type="dxa"/>
        </w:tblCellMar>
      </w:tblPr>
      <w:tblGrid>
        <w:gridCol w:w="929"/>
        <w:gridCol w:w="817"/>
        <w:gridCol w:w="819"/>
        <w:gridCol w:w="109"/>
        <w:gridCol w:w="109"/>
        <w:gridCol w:w="109"/>
        <w:gridCol w:w="341"/>
        <w:gridCol w:w="200"/>
        <w:gridCol w:w="425"/>
        <w:gridCol w:w="115"/>
        <w:gridCol w:w="115"/>
        <w:gridCol w:w="115"/>
        <w:gridCol w:w="306"/>
        <w:gridCol w:w="235"/>
        <w:gridCol w:w="425"/>
        <w:gridCol w:w="109"/>
        <w:gridCol w:w="109"/>
        <w:gridCol w:w="109"/>
        <w:gridCol w:w="109"/>
        <w:gridCol w:w="109"/>
        <w:gridCol w:w="109"/>
        <w:gridCol w:w="109"/>
        <w:gridCol w:w="109"/>
        <w:gridCol w:w="109"/>
        <w:gridCol w:w="109"/>
        <w:gridCol w:w="109"/>
        <w:gridCol w:w="154"/>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2,112</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Civil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877</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710</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3,699</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147</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Civil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107</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265</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w:t>
            </w:r>
            <w:r>
              <w:rPr>
                <w:color w:val="000000"/>
              </w:rPr>
              <w:t> </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Civil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w:t>
            </w:r>
            <w:r>
              <w:rPr>
                <w:color w:val="000000"/>
              </w:rPr>
              <w:t> </w:t>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15.1</w:t>
            </w:r>
            <w:r>
              <w:rPr>
                <w:color w:val="000000"/>
              </w:rPr>
              <w:t> </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7.2</w:t>
            </w:r>
            <w:r>
              <w:rPr>
                <w:color w:val="000000"/>
              </w:rPr>
              <w:t> </w:t>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u w:val="single"/>
        </w:rPr>
      </w:pPr>
      <w:r>
        <w:rPr>
          <w:rFonts w:ascii="Arial;sans-serif" w:hAnsi="Arial;sans-serif"/>
          <w:b w:val="false"/>
          <w:color w:val="000000"/>
          <w:sz w:val="20"/>
          <w:u w:val="single"/>
        </w:rPr>
        <w:t>Defense Solutions</w:t>
      </w:r>
    </w:p>
    <w:p>
      <w:pPr>
        <w:pStyle w:val="TextBody"/>
        <w:spacing w:lineRule="auto" w:line="288" w:before="120" w:after="283"/>
        <w:rPr/>
      </w:pPr>
      <w:r>
        <w:rPr>
          <w:rFonts w:ascii="Arial;sans-serif" w:hAnsi="Arial;sans-serif"/>
          <w:b w:val="false"/>
          <w:color w:val="000000"/>
          <w:sz w:val="20"/>
          <w:highlight w:val="white"/>
        </w:rPr>
        <w:t>Defense Solutions revenues of $2.11 billion increased by 3% compared to the prior year quarter. The primary drivers of revenue growth were the Navy Next Generation Enterprise Network Recompete (NGEN-R) Service Management, Integration and Transport (SMIT)</w:t>
      </w:r>
      <w:r>
        <w:rPr>
          <w:color w:val="000000"/>
        </w:rPr>
        <w:t xml:space="preserve"> </w:t>
      </w:r>
      <w:r>
        <w:rPr>
          <w:rFonts w:ascii="Arial;sans-serif" w:hAnsi="Arial;sans-serif"/>
          <w:b w:val="false"/>
          <w:color w:val="000000"/>
          <w:sz w:val="20"/>
          <w:highlight w:val="white"/>
        </w:rPr>
        <w:t xml:space="preserve">and Space Development Agency (SDA) Wide Field of Vision Tranche 1 (WFOV T1) contracts as well as the </w:t>
      </w:r>
      <w:r>
        <w:rPr>
          <w:rFonts w:ascii="Arial;sans-serif" w:hAnsi="Arial;sans-serif"/>
          <w:b w:val="false"/>
          <w:color w:val="000000"/>
          <w:sz w:val="20"/>
        </w:rPr>
        <w:t xml:space="preserve">Cobham Special Mission acquisition, </w:t>
      </w:r>
      <w:r>
        <w:rPr>
          <w:rFonts w:ascii="Arial;sans-serif" w:hAnsi="Arial;sans-serif"/>
          <w:b w:val="false"/>
          <w:color w:val="000000"/>
          <w:sz w:val="20"/>
          <w:highlight w:val="white"/>
        </w:rPr>
        <w:t>which offset the User Facing Services (UFS) contract loss and unfavorable impacts from foreign exchange rates. For the quarter Defense Solutions operating income margin increased to 7.0% from 6.5% in the prior year quarter, and non-GAAP operating income margin increased to 8.4% from 8.1% in the prior year quarter. The increase in segment profitability was attributable to program mix.</w:t>
      </w:r>
    </w:p>
    <w:p>
      <w:pPr>
        <w:pStyle w:val="TextBody"/>
        <w:spacing w:lineRule="auto" w:line="276" w:before="120" w:after="283"/>
        <w:rPr>
          <w:rFonts w:ascii="Arial;sans-serif" w:hAnsi="Arial;sans-serif"/>
          <w:b w:val="false"/>
          <w:color w:val="000000"/>
          <w:sz w:val="20"/>
          <w:highlight w:val="white"/>
          <w:u w:val="single"/>
        </w:rPr>
      </w:pPr>
      <w:r>
        <w:rPr>
          <w:rFonts w:ascii="Arial;sans-serif" w:hAnsi="Arial;sans-serif"/>
          <w:b w:val="false"/>
          <w:color w:val="000000"/>
          <w:sz w:val="20"/>
          <w:highlight w:val="white"/>
          <w:u w:val="single"/>
        </w:rPr>
        <w:t>Civil</w:t>
      </w:r>
    </w:p>
    <w:p>
      <w:pPr>
        <w:pStyle w:val="TextBody"/>
        <w:spacing w:lineRule="auto" w:line="288" w:before="120" w:after="283"/>
        <w:rPr/>
      </w:pPr>
      <w:r>
        <w:rPr>
          <w:rFonts w:ascii="Arial;sans-serif" w:hAnsi="Arial;sans-serif"/>
          <w:b w:val="false"/>
          <w:color w:val="000000"/>
          <w:sz w:val="20"/>
          <w:highlight w:val="white"/>
        </w:rPr>
        <w:t xml:space="preserve">Civil revenues of $877 million increased by 10% compared to the prior year quarter. The primary drivers of revenue growth were the National Aeronautics and Space Administration (NASA) Advanced Enterprise Global Information Technology Solutions (AEGIS) program and increased demand for engineering support to commercial energy companies. Civil operating income margin for the quarter was 4.6%, compared to 5.4% in the prior year quarter, and non-GAAP operating income margin was 6.4%, compared to 7.7% in the prior year quarter. The decrease in segment profitability was driven primarily by work interruptions </w:t>
      </w:r>
      <w:r>
        <w:rPr>
          <w:rFonts w:ascii="Arial;sans-serif" w:hAnsi="Arial;sans-serif"/>
          <w:b w:val="false"/>
          <w:color w:val="000000"/>
          <w:sz w:val="20"/>
        </w:rPr>
        <w:t>related to supply chain disruptions as well as investments in product development and delivery in the security products business.</w:t>
      </w:r>
    </w:p>
    <w:p>
      <w:pPr>
        <w:pStyle w:val="TextBody"/>
        <w:spacing w:lineRule="auto" w:line="288" w:before="120" w:after="283"/>
        <w:rPr>
          <w:rFonts w:ascii="Arial;sans-serif" w:hAnsi="Arial;sans-serif"/>
          <w:b w:val="false"/>
          <w:color w:val="000000"/>
          <w:sz w:val="20"/>
          <w:u w:val="single"/>
        </w:rPr>
      </w:pPr>
      <w:r>
        <w:rPr>
          <w:rFonts w:ascii="Arial;sans-serif" w:hAnsi="Arial;sans-serif"/>
          <w:b w:val="false"/>
          <w:color w:val="000000"/>
          <w:sz w:val="20"/>
          <w:u w:val="single"/>
        </w:rPr>
        <w:t>Health</w:t>
      </w:r>
    </w:p>
    <w:p>
      <w:pPr>
        <w:pStyle w:val="TextBody"/>
        <w:spacing w:lineRule="auto" w:line="288" w:before="120" w:after="283"/>
        <w:rPr/>
      </w:pPr>
      <w:r>
        <w:rPr>
          <w:rFonts w:ascii="Arial;sans-serif" w:hAnsi="Arial;sans-serif"/>
          <w:b w:val="false"/>
          <w:color w:val="000000"/>
          <w:sz w:val="20"/>
          <w:highlight w:val="white"/>
        </w:rPr>
        <w:t>Health revenues of $710 million increased by 9% compared to the prior year quarter driven by growth on the Social Security Administration (SSA) Information Technology Support Services Cont</w:t>
      </w:r>
      <w:r>
        <w:rPr>
          <w:rFonts w:ascii="Arial;sans-serif" w:hAnsi="Arial;sans-serif"/>
          <w:b w:val="false"/>
          <w:color w:val="000000"/>
          <w:sz w:val="20"/>
        </w:rPr>
        <w:t xml:space="preserve">ract II (ITSSC II) along with increased deployments for the Defense Healthcare Management System Modernization (DHMSM) contract. Health operating income margin for the quarter was 15.1%, compared to 18.2% in the prior year quarter, and non-GAAP operating margin was 15.9%, compared to 19.2% in the prior year quarter. </w:t>
      </w:r>
      <w:r>
        <w:rPr>
          <w:rFonts w:ascii="Arial;sans-serif" w:hAnsi="Arial;sans-serif"/>
          <w:b w:val="false"/>
          <w:color w:val="000000"/>
          <w:sz w:val="20"/>
          <w:highlight w:val="white"/>
        </w:rPr>
        <w:t xml:space="preserve">The decrease in segment profitability was driven primarily by </w:t>
      </w:r>
      <w:r>
        <w:rPr>
          <w:rFonts w:ascii="Arial;sans-serif" w:hAnsi="Arial;sans-serif"/>
          <w:b w:val="false"/>
          <w:color w:val="000000"/>
          <w:sz w:val="20"/>
        </w:rPr>
        <w:t>increased labor on certain disability examinations and start-up costs on new programs in the current quarter as well as non-recurring net profit write-ups during the first quarter of fiscal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BACKLOG BY REPORTABLE SEGMENT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Backlog represents the estimated amount of future revenues to be recognized under negotiated contracts. Backlog value is based on management’s estimates about volume of services, availability of customer funding and other factors, and excludes contracts that are under protest. Estimated backlog comprises both funded and negotiated unfunded backlog. Backlog estimates are subject to change and may be affected by several factors, including modifications of contracts, non-exercise of options and foreign currency movements.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Funded backlog for contracts with the U.S. government represents the value on contracts for which funding is appropriated less revenues previously recognized on these contracts. Funded backlog for contracts with non-U.S. government entities and commercial customers represents the estimated value on contracts, which may cover multiple future years, under which Leidos is obligated to perform, less revenue previously recognized on the contracts.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Negotiated unfunded backlog represents estimated amounts of revenue to be earned in the future from contracts for which funding has not been appropriated and unexercised priced contract options. Negotiated unfunded backlog does not include unexercised option periods and future potential task orders expected to be awarded under IDIQ, General Services Administration Schedule or other master agreement contract vehicles, with the exception of certain IDIQ contracts where task orders are not competitively awarded or separately priced but instead are used as a funding mechanism, and where there is a basis for estimating future revenues and funding on future anticipated task orders.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estimated value of backlog as of the dates presented was as follows:</w:t>
      </w:r>
    </w:p>
    <w:tbl>
      <w:tblPr>
        <w:tblW w:w="9932" w:type="dxa"/>
        <w:jc w:val="center"/>
        <w:tblInd w:w="0" w:type="dxa"/>
        <w:tblCellMar>
          <w:top w:w="28" w:type="dxa"/>
          <w:left w:w="28" w:type="dxa"/>
          <w:bottom w:w="28" w:type="dxa"/>
          <w:right w:w="28" w:type="dxa"/>
        </w:tblCellMar>
      </w:tblPr>
      <w:tblGrid>
        <w:gridCol w:w="617"/>
        <w:gridCol w:w="543"/>
        <w:gridCol w:w="549"/>
        <w:gridCol w:w="109"/>
        <w:gridCol w:w="109"/>
        <w:gridCol w:w="109"/>
        <w:gridCol w:w="211"/>
        <w:gridCol w:w="646"/>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 2022</w:t>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Funded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Unfunded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Funded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Unfunded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4,811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13,936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Civil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1,944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10,274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4,517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6,065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8,303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26,783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35,086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Arial;sans-serif" w:hAnsi="Arial;sans-serif"/>
          <w:b w:val="false"/>
          <w:color w:val="000000"/>
          <w:sz w:val="20"/>
          <w:highlight w:val="white"/>
        </w:rPr>
        <w:t xml:space="preserve">Total backlog at March 31, 2023, included a positive impact of </w:t>
      </w:r>
      <w:r>
        <w:rPr>
          <w:rFonts w:ascii="Arial;sans-serif" w:hAnsi="Arial;sans-serif"/>
          <w:b w:val="false"/>
          <w:color w:val="000000"/>
          <w:sz w:val="20"/>
        </w:rPr>
        <w:t>$30 million</w:t>
      </w:r>
      <w:r>
        <w:rPr>
          <w:color w:val="000000"/>
          <w:highlight w:val="white"/>
        </w:rPr>
        <w:t xml:space="preserve"> </w:t>
      </w:r>
      <w:r>
        <w:rPr>
          <w:rFonts w:ascii="Arial;sans-serif" w:hAnsi="Arial;sans-serif"/>
          <w:b w:val="false"/>
          <w:color w:val="000000"/>
          <w:sz w:val="20"/>
          <w:highlight w:val="white"/>
        </w:rPr>
        <w:t xml:space="preserve">when compared to total backlog at April 1, 2022, primarily due to the exchange rate movements in the British pound and Australian dollar when compared to the U.S. dollar.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NON-GAAP FINANCIAL MEASURES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Leidos uses and refers to organic revenue, non-GAAP operating income, non-GAAP operating margin, adjusted EBITDA, adjusted EBITDA margin, non-GAAP diluted EPS, non-GAAP free cash flow and non-GAAP free cash flow conversion, which are not measures of financial performance under generally accepted accounting principles in the U.S. and, accordingly, these measures should not be considered in isolation or as a substitute for the comparable GAAP measures and should be read in conjunction with Leidos's consolidated financial statements prepared in accordance with GAAP.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Management believes that these non-GAAP measures provide another representation of the results of operations and financial condition, including its ability to comply with financial covenants. These non-GAAP measures are frequently used by financial analysts covering Leidos and its peers. The computation of non-GAAP measures may not be comparable to similarly titled measures reported by other companies, thus limiting their use for comparability.</w:t>
      </w:r>
    </w:p>
    <w:p>
      <w:pPr>
        <w:pStyle w:val="TextBody"/>
        <w:spacing w:lineRule="auto" w:line="288" w:before="120" w:after="283"/>
        <w:rPr/>
      </w:pPr>
      <w:r>
        <w:rPr>
          <w:rFonts w:ascii="Arial;sans-serif" w:hAnsi="Arial;sans-serif"/>
          <w:b/>
          <w:color w:val="000000"/>
          <w:sz w:val="20"/>
        </w:rPr>
        <w:t xml:space="preserve">Organic revenues </w:t>
      </w:r>
      <w:r>
        <w:rPr>
          <w:rFonts w:ascii="Arial;sans-serif" w:hAnsi="Arial;sans-serif"/>
          <w:b w:val="false"/>
          <w:color w:val="000000"/>
          <w:sz w:val="20"/>
        </w:rPr>
        <w:t>captures the revenue that is inherent in the underlying business excluding the impact of acquisitions and divestitures made within the prior year; it is computed as current revenues excluding revenues from acquisitions within the last 12 months and divestitures within the current and year-ago periods.</w:t>
      </w:r>
    </w:p>
    <w:p>
      <w:pPr>
        <w:pStyle w:val="TextBody"/>
        <w:spacing w:lineRule="auto" w:line="288" w:before="120" w:after="283"/>
        <w:rPr/>
      </w:pPr>
      <w:r>
        <w:rPr>
          <w:rFonts w:ascii="Arial;sans-serif" w:hAnsi="Arial;sans-serif"/>
          <w:b/>
          <w:color w:val="000000"/>
          <w:sz w:val="20"/>
        </w:rPr>
        <w:t>Non-GAAP operating income</w:t>
      </w:r>
      <w:r>
        <w:rPr>
          <w:color w:val="000000"/>
        </w:rPr>
        <w:t xml:space="preserve"> </w:t>
      </w:r>
      <w:r>
        <w:rPr>
          <w:rFonts w:ascii="Arial;sans-serif" w:hAnsi="Arial;sans-serif"/>
          <w:b w:val="false"/>
          <w:color w:val="000000"/>
          <w:sz w:val="20"/>
        </w:rPr>
        <w:t xml:space="preserve">is computed by excluding the following discrete items from operating income: </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Acquisition, integration and restructuring costs – Represents acquisition, integration, lease termination, severance and retention costs related to acquisitions.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Amortization of acquired intangible assets – Represents the amortization of the fair value of the acquired intangible assets.</w:t>
      </w:r>
    </w:p>
    <w:p>
      <w:pPr>
        <w:pStyle w:val="TextBody"/>
        <w:spacing w:lineRule="auto" w:line="288" w:before="120" w:after="283"/>
        <w:rPr/>
      </w:pPr>
      <w:r>
        <w:rPr>
          <w:rFonts w:ascii="Arial;sans-serif" w:hAnsi="Arial;sans-serif"/>
          <w:b/>
          <w:color w:val="000000"/>
          <w:sz w:val="20"/>
        </w:rPr>
        <w:t xml:space="preserve">Non-GAAP operating margin </w:t>
      </w:r>
      <w:r>
        <w:rPr>
          <w:rFonts w:ascii="Arial;sans-serif" w:hAnsi="Arial;sans-serif"/>
          <w:b w:val="false"/>
          <w:color w:val="000000"/>
          <w:sz w:val="20"/>
        </w:rPr>
        <w:t>is computed by dividing non-GAAP operating income by revenues.</w:t>
      </w:r>
    </w:p>
    <w:p>
      <w:pPr>
        <w:pStyle w:val="TextBody"/>
        <w:spacing w:lineRule="auto" w:line="288" w:before="120" w:after="283"/>
        <w:rPr/>
      </w:pPr>
      <w:r>
        <w:rPr>
          <w:rFonts w:ascii="Arial;sans-serif" w:hAnsi="Arial;sans-serif"/>
          <w:b/>
          <w:color w:val="000000"/>
          <w:sz w:val="20"/>
        </w:rPr>
        <w:t xml:space="preserve">Adjusted EBITDA </w:t>
      </w:r>
      <w:r>
        <w:rPr>
          <w:rFonts w:ascii="Arial;sans-serif" w:hAnsi="Arial;sans-serif"/>
          <w:b w:val="false"/>
          <w:color w:val="000000"/>
          <w:sz w:val="20"/>
        </w:rPr>
        <w:t>is computed by excluding the following items from income before income taxes: (i) discrete items as identified above; (ii) interest expense; (iii) interest income; (iv) depreciation expense; and (v) amortization of internally developed intangible assets.</w:t>
      </w:r>
    </w:p>
    <w:p>
      <w:pPr>
        <w:pStyle w:val="TextBody"/>
        <w:spacing w:lineRule="auto" w:line="288" w:before="120" w:after="283"/>
        <w:rPr/>
      </w:pPr>
      <w:r>
        <w:rPr>
          <w:rFonts w:ascii="Arial;sans-serif" w:hAnsi="Arial;sans-serif"/>
          <w:b/>
          <w:color w:val="000000"/>
          <w:sz w:val="20"/>
        </w:rPr>
        <w:t>Adjusted EBITDA margin</w:t>
      </w:r>
      <w:r>
        <w:rPr>
          <w:color w:val="000000"/>
        </w:rPr>
        <w:t xml:space="preserve"> </w:t>
      </w:r>
      <w:r>
        <w:rPr>
          <w:rFonts w:ascii="Arial;sans-serif" w:hAnsi="Arial;sans-serif"/>
          <w:b w:val="false"/>
          <w:color w:val="000000"/>
          <w:sz w:val="20"/>
        </w:rPr>
        <w:t>is computed by dividing adjusted EBITDA by revenues.</w:t>
      </w:r>
    </w:p>
    <w:p>
      <w:pPr>
        <w:pStyle w:val="TextBody"/>
        <w:spacing w:lineRule="auto" w:line="288" w:before="120" w:after="283"/>
        <w:rPr/>
      </w:pPr>
      <w:r>
        <w:rPr>
          <w:rFonts w:ascii="Arial;sans-serif" w:hAnsi="Arial;sans-serif"/>
          <w:b/>
          <w:color w:val="000000"/>
          <w:sz w:val="20"/>
        </w:rPr>
        <w:t>Non-GAAP net income</w:t>
      </w:r>
      <w:r>
        <w:rPr>
          <w:color w:val="000000"/>
        </w:rPr>
        <w:t xml:space="preserve"> </w:t>
      </w:r>
      <w:r>
        <w:rPr>
          <w:rFonts w:ascii="Arial;sans-serif" w:hAnsi="Arial;sans-serif"/>
          <w:b w:val="false"/>
          <w:color w:val="000000"/>
          <w:sz w:val="20"/>
        </w:rPr>
        <w:t>is computed by excluding the discrete items listed under non-GAAP operating income and their related tax impacts.</w:t>
      </w:r>
    </w:p>
    <w:p>
      <w:pPr>
        <w:pStyle w:val="TextBody"/>
        <w:spacing w:lineRule="auto" w:line="288" w:before="120" w:after="283"/>
        <w:rPr/>
      </w:pPr>
      <w:r>
        <w:rPr>
          <w:rFonts w:ascii="Arial;sans-serif" w:hAnsi="Arial;sans-serif"/>
          <w:b/>
          <w:color w:val="000000"/>
          <w:sz w:val="20"/>
        </w:rPr>
        <w:t>Non-GAAP diluted EPS</w:t>
      </w:r>
      <w:r>
        <w:rPr>
          <w:color w:val="000000"/>
        </w:rPr>
        <w:t xml:space="preserve"> </w:t>
      </w:r>
      <w:r>
        <w:rPr>
          <w:rFonts w:ascii="Arial;sans-serif" w:hAnsi="Arial;sans-serif"/>
          <w:b w:val="false"/>
          <w:color w:val="000000"/>
          <w:sz w:val="20"/>
        </w:rPr>
        <w:t>is computed by dividing net income attributable to Leidos common stockholders, adjusted for the discrete items as identified above and the related tax impacts, by the diluted weighted average number of common shares outstanding.</w:t>
      </w:r>
    </w:p>
    <w:p>
      <w:pPr>
        <w:pStyle w:val="TextBody"/>
        <w:spacing w:lineRule="auto" w:line="288" w:before="120" w:after="283"/>
        <w:rPr/>
      </w:pPr>
      <w:r>
        <w:rPr>
          <w:rFonts w:ascii="Arial;sans-serif" w:hAnsi="Arial;sans-serif"/>
          <w:b/>
          <w:color w:val="000000"/>
          <w:sz w:val="20"/>
        </w:rPr>
        <w:t>Non-GAAP free cash flow</w:t>
      </w:r>
      <w:r>
        <w:rPr>
          <w:color w:val="000000"/>
        </w:rPr>
        <w:t xml:space="preserve"> </w:t>
      </w:r>
      <w:r>
        <w:rPr>
          <w:rFonts w:ascii="Arial;sans-serif" w:hAnsi="Arial;sans-serif"/>
          <w:b w:val="false"/>
          <w:color w:val="000000"/>
          <w:sz w:val="20"/>
        </w:rPr>
        <w:t xml:space="preserve">is computed by deducting expenditures for property, equipment and software from net cash provided by operating activities. </w:t>
      </w:r>
    </w:p>
    <w:p>
      <w:pPr>
        <w:pStyle w:val="TextBody"/>
        <w:spacing w:lineRule="auto" w:line="288" w:before="120" w:after="283"/>
        <w:rPr/>
      </w:pPr>
      <w:r>
        <w:rPr>
          <w:rFonts w:ascii="Arial;sans-serif" w:hAnsi="Arial;sans-serif"/>
          <w:b/>
          <w:color w:val="000000"/>
          <w:sz w:val="20"/>
        </w:rPr>
        <w:t xml:space="preserve">Non-GAAP free cash flow conversion </w:t>
      </w:r>
      <w:r>
        <w:rPr>
          <w:rFonts w:ascii="Arial;sans-serif" w:hAnsi="Arial;sans-serif"/>
          <w:b w:val="false"/>
          <w:color w:val="000000"/>
          <w:sz w:val="20"/>
        </w:rPr>
        <w:t>is computed by dividing non-GAAP free cash flow by non-GAAP net income attributable to Leidos common stockholders; operating cash flow conversion is computed by dividing net cash provided by operating activities by net income attributable to Leidos shareholders.</w:t>
      </w:r>
    </w:p>
    <w:p>
      <w:pPr>
        <w:pStyle w:val="TextBody"/>
        <w:spacing w:before="0" w:after="0"/>
        <w:rPr/>
      </w:pPr>
      <w:r>
        <w:rPr/>
      </w:r>
    </w:p>
    <w:p>
      <w:pPr>
        <w:pStyle w:val="TextBody"/>
        <w:spacing w:before="18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NON-GAAP FINANCIAL MEASURES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growth percentages)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The following table presents the reconciliation of revenues to organic revenues by reportable segment and total operations:</w:t>
      </w:r>
    </w:p>
    <w:tbl>
      <w:tblPr>
        <w:tblW w:w="7832" w:type="dxa"/>
        <w:jc w:val="center"/>
        <w:tblInd w:w="0" w:type="dxa"/>
        <w:tblCellMar>
          <w:top w:w="28" w:type="dxa"/>
          <w:left w:w="28" w:type="dxa"/>
          <w:bottom w:w="28" w:type="dxa"/>
          <w:right w:w="28" w:type="dxa"/>
        </w:tblCellMar>
      </w:tblPr>
      <w:tblGrid>
        <w:gridCol w:w="1245"/>
        <w:gridCol w:w="1094"/>
        <w:gridCol w:w="1095"/>
        <w:gridCol w:w="109"/>
        <w:gridCol w:w="109"/>
        <w:gridCol w:w="109"/>
        <w:gridCol w:w="211"/>
        <w:gridCol w:w="646"/>
        <w:gridCol w:w="109"/>
        <w:gridCol w:w="109"/>
        <w:gridCol w:w="109"/>
        <w:gridCol w:w="109"/>
        <w:gridCol w:w="211"/>
        <w:gridCol w:w="646"/>
        <w:gridCol w:w="109"/>
        <w:gridCol w:w="109"/>
        <w:gridCol w:w="109"/>
        <w:gridCol w:w="109"/>
        <w:gridCol w:w="295"/>
        <w:gridCol w:w="295"/>
        <w:gridCol w:w="895"/>
      </w:tblGrid>
      <w:tr>
        <w:trPr/>
        <w:tc>
          <w:tcPr>
            <w:tcW w:w="124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Percent Change</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Defense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Acquisition and divestiture revenues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Civil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as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Operations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as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Acquisition and divestiture revenues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60" w:after="283"/>
        <w:rPr/>
      </w:pPr>
      <w:r>
        <w:rPr>
          <w:rFonts w:ascii="Arial;sans-serif" w:hAnsi="Arial;sans-serif"/>
          <w:b w:val="false"/>
          <w:color w:val="000000"/>
          <w:sz w:val="13"/>
        </w:rPr>
        <w:t>(1)</w:t>
      </w:r>
      <w:r>
        <w:rPr>
          <w:color w:val="000000"/>
          <w:highlight w:val="white"/>
        </w:rPr>
        <w:t xml:space="preserve"> </w:t>
      </w:r>
      <w:r>
        <w:rPr>
          <w:rFonts w:ascii="Arial;sans-serif" w:hAnsi="Arial;sans-serif"/>
          <w:b w:val="false"/>
          <w:color w:val="000000"/>
          <w:sz w:val="20"/>
        </w:rPr>
        <w:t xml:space="preserve">Current period acquisition and divestiture revenues reflect revenues in the current as reported figures for 12 months from closing of each acquisition. For the three months ended March 31, 2023, Defense Solutions segment acquisition and divestiture revenues include the acquisition of </w:t>
      </w:r>
      <w:r>
        <w:rPr>
          <w:rFonts w:ascii="Arial;sans-serif" w:hAnsi="Arial;sans-serif"/>
          <w:b w:val="false"/>
          <w:color w:val="000000"/>
          <w:sz w:val="20"/>
          <w:highlight w:val="white"/>
        </w:rPr>
        <w:t>Cobham Special Missions that was completed on October 30, 2022</w:t>
      </w:r>
      <w:r>
        <w:rPr>
          <w:rFonts w:ascii="Arial;sans-serif" w:hAnsi="Arial;sans-serif"/>
          <w:b w:val="false"/>
          <w:color w:val="000000"/>
          <w:sz w:val="20"/>
        </w:rPr>
        <w:t>. Year ago acquisition and divestiture revenues reflect revenues from assets subsequently divested. For the three months ended April 1, 2022, Defense Solutions segment acquisitions and divestiture revenue include the Aviation &amp; Missile Solutions LLC (AMS) divestiture that was completed on April 29, 2022.</w:t>
      </w:r>
    </w:p>
    <w:p>
      <w:pPr>
        <w:pStyle w:val="TextBody"/>
        <w:spacing w:before="6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NON-GAAP FINANCIAL MEASURES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amounts and margin percentages)</w: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tables present the reconciliation of non-GAAP operating income, net income, diluted EPS, adjusted EBITDA, and adjusted EBITDA margin to the most directly comparable GAAP measures for the three months ended March 31, 2023:</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40"/>
        <w:gridCol w:w="881"/>
        <w:gridCol w:w="884"/>
        <w:gridCol w:w="109"/>
        <w:gridCol w:w="109"/>
        <w:gridCol w:w="109"/>
        <w:gridCol w:w="228"/>
        <w:gridCol w:w="587"/>
        <w:gridCol w:w="118"/>
        <w:gridCol w:w="109"/>
        <w:gridCol w:w="109"/>
        <w:gridCol w:w="109"/>
        <w:gridCol w:w="505"/>
        <w:gridCol w:w="1299"/>
        <w:gridCol w:w="265"/>
        <w:gridCol w:w="109"/>
        <w:gridCol w:w="109"/>
        <w:gridCol w:w="109"/>
        <w:gridCol w:w="419"/>
        <w:gridCol w:w="1077"/>
        <w:gridCol w:w="217"/>
        <w:gridCol w:w="109"/>
        <w:gridCol w:w="109"/>
        <w:gridCol w:w="109"/>
        <w:gridCol w:w="294"/>
        <w:gridCol w:w="757"/>
        <w:gridCol w:w="226"/>
      </w:tblGrid>
      <w:tr>
        <w:trPr/>
        <w:tc>
          <w:tcPr>
            <w:tcW w:w="1140"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2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2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 integration and restructuring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Non-GAAP results</w:t>
            </w:r>
          </w:p>
        </w:tc>
      </w:tr>
      <w:tr>
        <w:trPr/>
        <w:tc>
          <w:tcPr>
            <w:tcW w:w="29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265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320</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(58)</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262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Income tax expense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(57)</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attributable to Leidos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Diluted EPS attributable to Leidos common stockholders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1.17</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1.47</w:t>
            </w: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138</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138</w:t>
            </w: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81"/>
        <w:gridCol w:w="602"/>
        <w:gridCol w:w="598"/>
        <w:gridCol w:w="109"/>
        <w:gridCol w:w="109"/>
        <w:gridCol w:w="109"/>
        <w:gridCol w:w="218"/>
        <w:gridCol w:w="497"/>
        <w:gridCol w:w="295"/>
        <w:gridCol w:w="109"/>
        <w:gridCol w:w="109"/>
        <w:gridCol w:w="109"/>
        <w:gridCol w:w="894"/>
        <w:gridCol w:w="1151"/>
        <w:gridCol w:w="465"/>
        <w:gridCol w:w="109"/>
        <w:gridCol w:w="109"/>
        <w:gridCol w:w="109"/>
        <w:gridCol w:w="585"/>
        <w:gridCol w:w="1126"/>
        <w:gridCol w:w="304"/>
        <w:gridCol w:w="109"/>
        <w:gridCol w:w="109"/>
        <w:gridCol w:w="109"/>
        <w:gridCol w:w="444"/>
        <w:gridCol w:w="228"/>
        <w:gridCol w:w="709"/>
      </w:tblGrid>
      <w:tr>
        <w:trPr/>
        <w:tc>
          <w:tcPr>
            <w:tcW w:w="781"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r>
      <w:tr>
        <w:trPr/>
        <w:tc>
          <w:tcPr>
            <w:tcW w:w="1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1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 integration and restructuring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Non-GAAP results</w:t>
            </w:r>
          </w:p>
        </w:tc>
      </w:tr>
      <w:tr>
        <w:trPr/>
        <w:tc>
          <w:tcPr>
            <w:tcW w:w="1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164</w:t>
            </w: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205</w:t>
            </w:r>
          </w:p>
        </w:tc>
      </w:tr>
      <w:tr>
        <w:trPr/>
        <w:tc>
          <w:tcPr>
            <w:tcW w:w="19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Income tax expense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43</w:t>
            </w: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57</w:t>
            </w:r>
          </w:p>
        </w:tc>
      </w:tr>
      <w:tr>
        <w:trPr/>
        <w:tc>
          <w:tcPr>
            <w:tcW w:w="19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207</w:t>
            </w: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262</w:t>
            </w:r>
          </w:p>
        </w:tc>
      </w:tr>
      <w:tr>
        <w:trPr/>
        <w:tc>
          <w:tcPr>
            <w:tcW w:w="19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w:t>
            </w: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30</w:t>
            </w:r>
          </w:p>
        </w:tc>
      </w:tr>
      <w:tr>
        <w:trPr/>
        <w:tc>
          <w:tcPr>
            <w:tcW w:w="19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52</w:t>
            </w: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9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w:t>
            </w: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54</w:t>
            </w:r>
          </w:p>
        </w:tc>
      </w:tr>
      <w:tr>
        <w:trPr/>
        <w:tc>
          <w:tcPr>
            <w:tcW w:w="19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343</w:t>
            </w: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346</w:t>
            </w:r>
          </w:p>
        </w:tc>
      </w:tr>
      <w:tr>
        <w:trPr/>
        <w:tc>
          <w:tcPr>
            <w:tcW w:w="19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EBITDA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70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120" w:after="283"/>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Calculation uses an estimated statutory tax rate on non-GAAP adjustments.</w:t>
      </w:r>
    </w:p>
    <w:p>
      <w:pPr>
        <w:pStyle w:val="TextBody"/>
        <w:spacing w:lineRule="auto" w:line="288" w:before="120" w:after="283"/>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Earnings per share is computed independently for each of the non-GAAP adjustment presented and therefore may not sum to the total non-GAAP earnings per share due to rounding.</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NON-GAAP FINANCIAL MEASURES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amounts and margin percentages)</w: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tables present the reconciliation of non-GAAP operating income, net income, diluted EPS, adjusted EBITDA, and adjusted EBITDA margin to the most directly comparable GAAP measures for the three months ended April 1, 2022:</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092"/>
        <w:gridCol w:w="831"/>
        <w:gridCol w:w="834"/>
        <w:gridCol w:w="109"/>
        <w:gridCol w:w="109"/>
        <w:gridCol w:w="109"/>
        <w:gridCol w:w="220"/>
        <w:gridCol w:w="565"/>
        <w:gridCol w:w="113"/>
        <w:gridCol w:w="109"/>
        <w:gridCol w:w="109"/>
        <w:gridCol w:w="109"/>
        <w:gridCol w:w="483"/>
        <w:gridCol w:w="1242"/>
        <w:gridCol w:w="253"/>
        <w:gridCol w:w="109"/>
        <w:gridCol w:w="109"/>
        <w:gridCol w:w="109"/>
        <w:gridCol w:w="404"/>
        <w:gridCol w:w="1038"/>
        <w:gridCol w:w="210"/>
        <w:gridCol w:w="109"/>
        <w:gridCol w:w="109"/>
        <w:gridCol w:w="109"/>
        <w:gridCol w:w="109"/>
        <w:gridCol w:w="109"/>
        <w:gridCol w:w="109"/>
        <w:gridCol w:w="109"/>
        <w:gridCol w:w="271"/>
        <w:gridCol w:w="697"/>
        <w:gridCol w:w="208"/>
      </w:tblGrid>
      <w:tr>
        <w:trPr/>
        <w:tc>
          <w:tcPr>
            <w:tcW w:w="109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8"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April 1, 2022</w:t>
            </w:r>
          </w:p>
        </w:tc>
        <w:tc>
          <w:tcPr>
            <w:tcW w:w="1503" w:type="dxa"/>
            <w:gridSpan w:val="6"/>
            <w:tcBorders/>
            <w:shd w:fill="auto" w:val="clear"/>
          </w:tcPr>
          <w:p>
            <w:pPr>
              <w:pStyle w:val="TableContents"/>
              <w:spacing w:before="0" w:after="283"/>
              <w:rPr>
                <w:sz w:val="4"/>
                <w:szCs w:val="4"/>
              </w:rPr>
            </w:pPr>
            <w:r>
              <w:rPr>
                <w:sz w:val="4"/>
                <w:szCs w:val="4"/>
              </w:rPr>
            </w:r>
          </w:p>
        </w:tc>
      </w:tr>
      <w:tr>
        <w:trPr/>
        <w:tc>
          <w:tcPr>
            <w:tcW w:w="2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 integration and restructuring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Non-GAAP results</w:t>
            </w:r>
          </w:p>
        </w:tc>
      </w:tr>
      <w:tr>
        <w:trPr/>
        <w:tc>
          <w:tcPr>
            <w:tcW w:w="27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Income tax expense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attributable to Leidos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Diluted EPS attributable to Leidos common stockholders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71"/>
        <w:gridCol w:w="587"/>
        <w:gridCol w:w="543"/>
        <w:gridCol w:w="109"/>
        <w:gridCol w:w="109"/>
        <w:gridCol w:w="109"/>
        <w:gridCol w:w="357"/>
        <w:gridCol w:w="184"/>
        <w:gridCol w:w="403"/>
        <w:gridCol w:w="109"/>
        <w:gridCol w:w="109"/>
        <w:gridCol w:w="109"/>
        <w:gridCol w:w="850"/>
        <w:gridCol w:w="1095"/>
        <w:gridCol w:w="442"/>
        <w:gridCol w:w="109"/>
        <w:gridCol w:w="109"/>
        <w:gridCol w:w="109"/>
        <w:gridCol w:w="560"/>
        <w:gridCol w:w="1079"/>
        <w:gridCol w:w="291"/>
        <w:gridCol w:w="109"/>
        <w:gridCol w:w="109"/>
        <w:gridCol w:w="109"/>
        <w:gridCol w:w="109"/>
        <w:gridCol w:w="109"/>
        <w:gridCol w:w="109"/>
        <w:gridCol w:w="109"/>
        <w:gridCol w:w="438"/>
        <w:gridCol w:w="209"/>
        <w:gridCol w:w="652"/>
      </w:tblGrid>
      <w:tr>
        <w:trPr/>
        <w:tc>
          <w:tcPr>
            <w:tcW w:w="77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r>
      <w:tr>
        <w:trPr/>
        <w:tc>
          <w:tcPr>
            <w:tcW w:w="1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1"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April 1, 2022</w:t>
            </w:r>
          </w:p>
        </w:tc>
        <w:tc>
          <w:tcPr>
            <w:tcW w:w="1626" w:type="dxa"/>
            <w:gridSpan w:val="6"/>
            <w:tcBorders/>
            <w:shd w:fill="auto" w:val="clear"/>
          </w:tcPr>
          <w:p>
            <w:pPr>
              <w:pStyle w:val="TableContents"/>
              <w:spacing w:before="0" w:after="283"/>
              <w:rPr>
                <w:sz w:val="4"/>
                <w:szCs w:val="4"/>
              </w:rPr>
            </w:pPr>
            <w:r>
              <w:rPr>
                <w:sz w:val="4"/>
                <w:szCs w:val="4"/>
              </w:rPr>
            </w:r>
          </w:p>
        </w:tc>
      </w:tr>
      <w:tr>
        <w:trPr/>
        <w:tc>
          <w:tcPr>
            <w:tcW w:w="1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 integration and restructuring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Non-GAAP results</w:t>
            </w:r>
          </w:p>
        </w:tc>
      </w:tr>
      <w:tr>
        <w:trPr/>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r>
      <w:tr>
        <w:trPr/>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Income tax expense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r>
      <w:tr>
        <w:trPr/>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r>
      <w:tr>
        <w:trPr/>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r>
      <w:tr>
        <w:trPr/>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w:t>
            </w:r>
          </w:p>
        </w:tc>
      </w:tr>
      <w:tr>
        <w:trPr/>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EBITDA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4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120" w:after="283"/>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Calculation uses an estimated statutory tax rate on non-GAAP adjustments.</w:t>
      </w:r>
    </w:p>
    <w:p>
      <w:pPr>
        <w:pStyle w:val="TextBody"/>
        <w:spacing w:lineRule="auto" w:line="288" w:before="120" w:after="283"/>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Earnings per share is computed independently for each of the non-GAAP adjustment presented and therefore may not sum to the total non-GAAP earnings per share due to rounding.</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NON-GAAP FINANCIAL MEASURES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margin percentages)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The following tables present the reconciliation of non-GAAP operating income by reportable segment and Corporate to operating income:</w:t>
      </w:r>
    </w:p>
    <w:tbl>
      <w:tblPr>
        <w:tblW w:w="10205" w:type="dxa"/>
        <w:jc w:val="left"/>
        <w:tblInd w:w="0" w:type="dxa"/>
        <w:tblCellMar>
          <w:top w:w="28" w:type="dxa"/>
          <w:left w:w="28" w:type="dxa"/>
          <w:bottom w:w="28" w:type="dxa"/>
          <w:right w:w="28" w:type="dxa"/>
        </w:tblCellMar>
      </w:tblPr>
      <w:tblGrid>
        <w:gridCol w:w="436"/>
        <w:gridCol w:w="364"/>
        <w:gridCol w:w="366"/>
        <w:gridCol w:w="109"/>
        <w:gridCol w:w="109"/>
        <w:gridCol w:w="109"/>
        <w:gridCol w:w="318"/>
        <w:gridCol w:w="727"/>
        <w:gridCol w:w="165"/>
        <w:gridCol w:w="109"/>
        <w:gridCol w:w="109"/>
        <w:gridCol w:w="109"/>
        <w:gridCol w:w="495"/>
        <w:gridCol w:w="954"/>
        <w:gridCol w:w="256"/>
        <w:gridCol w:w="109"/>
        <w:gridCol w:w="109"/>
        <w:gridCol w:w="109"/>
        <w:gridCol w:w="442"/>
        <w:gridCol w:w="791"/>
        <w:gridCol w:w="231"/>
        <w:gridCol w:w="109"/>
        <w:gridCol w:w="109"/>
        <w:gridCol w:w="109"/>
        <w:gridCol w:w="397"/>
        <w:gridCol w:w="906"/>
        <w:gridCol w:w="205"/>
        <w:gridCol w:w="109"/>
        <w:gridCol w:w="109"/>
        <w:gridCol w:w="109"/>
        <w:gridCol w:w="377"/>
        <w:gridCol w:w="278"/>
        <w:gridCol w:w="862"/>
      </w:tblGrid>
      <w:tr>
        <w:trPr/>
        <w:tc>
          <w:tcPr>
            <w:tcW w:w="43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11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11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 integration and restructuring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Non-GAAP operating 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Non-GAAP operating margin</w:t>
            </w:r>
          </w:p>
        </w:tc>
      </w:tr>
      <w:tr>
        <w:trPr/>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147</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177</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8.4</w:t>
            </w:r>
            <w:r>
              <w:rPr>
                <w:color w:val="000000"/>
              </w:rPr>
              <w:t> </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Civil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40</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56</w:t>
            </w: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6.4</w:t>
            </w:r>
            <w:r>
              <w:rPr>
                <w:color w:val="000000"/>
              </w:rPr>
              <w:t> </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107</w:t>
            </w: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113</w:t>
            </w: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15.9</w:t>
            </w:r>
            <w:r>
              <w:rPr>
                <w:color w:val="000000"/>
              </w:rPr>
              <w:t> </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(26)</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i/>
                <w:color w:val="000000"/>
                <w:sz w:val="20"/>
              </w:rPr>
            </w:pPr>
            <w:r>
              <w:rPr>
                <w:rFonts w:ascii="Arial;sans-serif" w:hAnsi="Arial;sans-serif"/>
                <w:b/>
                <w:i/>
                <w:color w:val="000000"/>
                <w:sz w:val="20"/>
              </w:rPr>
              <w:t>NM</w:t>
            </w:r>
          </w:p>
        </w:tc>
      </w:tr>
      <w:tr>
        <w:trPr/>
        <w:tc>
          <w:tcPr>
            <w:tcW w:w="1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265</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320</w:t>
            </w: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8.7</w:t>
            </w:r>
            <w:r>
              <w:rPr>
                <w:color w:val="000000"/>
              </w:rPr>
              <w:t> </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spacing w:before="180" w:after="283"/>
        <w:rPr/>
      </w:pPr>
      <w:r>
        <w:rPr/>
      </w:r>
    </w:p>
    <w:tbl>
      <w:tblPr>
        <w:tblW w:w="10205" w:type="dxa"/>
        <w:jc w:val="left"/>
        <w:tblInd w:w="0" w:type="dxa"/>
        <w:tblCellMar>
          <w:top w:w="28" w:type="dxa"/>
          <w:left w:w="28" w:type="dxa"/>
          <w:bottom w:w="28" w:type="dxa"/>
          <w:right w:w="28" w:type="dxa"/>
        </w:tblCellMar>
      </w:tblPr>
      <w:tblGrid>
        <w:gridCol w:w="445"/>
        <w:gridCol w:w="372"/>
        <w:gridCol w:w="375"/>
        <w:gridCol w:w="109"/>
        <w:gridCol w:w="109"/>
        <w:gridCol w:w="109"/>
        <w:gridCol w:w="300"/>
        <w:gridCol w:w="688"/>
        <w:gridCol w:w="156"/>
        <w:gridCol w:w="109"/>
        <w:gridCol w:w="109"/>
        <w:gridCol w:w="109"/>
        <w:gridCol w:w="519"/>
        <w:gridCol w:w="999"/>
        <w:gridCol w:w="269"/>
        <w:gridCol w:w="109"/>
        <w:gridCol w:w="109"/>
        <w:gridCol w:w="109"/>
        <w:gridCol w:w="459"/>
        <w:gridCol w:w="821"/>
        <w:gridCol w:w="240"/>
        <w:gridCol w:w="109"/>
        <w:gridCol w:w="109"/>
        <w:gridCol w:w="109"/>
        <w:gridCol w:w="383"/>
        <w:gridCol w:w="876"/>
        <w:gridCol w:w="199"/>
        <w:gridCol w:w="109"/>
        <w:gridCol w:w="109"/>
        <w:gridCol w:w="109"/>
        <w:gridCol w:w="378"/>
        <w:gridCol w:w="267"/>
        <w:gridCol w:w="824"/>
      </w:tblGrid>
      <w:tr>
        <w:trPr/>
        <w:tc>
          <w:tcPr>
            <w:tcW w:w="44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r>
      <w:tr>
        <w:trPr/>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April 1, 2022</w:t>
            </w:r>
          </w:p>
        </w:tc>
      </w:tr>
      <w:tr>
        <w:trPr/>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 integration and restructuring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Non-GAAP operating 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Non-GAAP operating margin</w:t>
            </w:r>
          </w:p>
        </w:tc>
      </w:tr>
      <w:tr>
        <w:trPr/>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Civil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8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8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NM</w:t>
            </w:r>
          </w:p>
        </w:tc>
      </w:tr>
      <w:tr>
        <w:trPr/>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60" w:after="120"/>
        <w:rPr/>
      </w:pPr>
      <w:r>
        <w:rPr/>
      </w:r>
    </w:p>
    <w:p>
      <w:pPr>
        <w:pStyle w:val="TextBody"/>
        <w:spacing w:lineRule="auto" w:line="288" w:before="60" w:after="120"/>
        <w:rPr>
          <w:rFonts w:ascii="Arial;sans-serif" w:hAnsi="Arial;sans-serif"/>
          <w:b w:val="false"/>
          <w:i/>
          <w:color w:val="000000"/>
          <w:sz w:val="16"/>
        </w:rPr>
      </w:pPr>
      <w:r>
        <w:rPr>
          <w:rFonts w:ascii="Arial;sans-serif" w:hAnsi="Arial;sans-serif"/>
          <w:b w:val="false"/>
          <w:i/>
          <w:color w:val="000000"/>
          <w:sz w:val="16"/>
        </w:rPr>
        <w:t>NM - Not Meaningful</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180" w:after="120"/>
        <w:jc w:val="center"/>
        <w:rPr>
          <w:rFonts w:ascii="Arial;sans-serif" w:hAnsi="Arial;sans-serif"/>
          <w:b/>
          <w:color w:val="000000"/>
          <w:sz w:val="20"/>
        </w:rPr>
      </w:pPr>
      <w:r>
        <w:rPr>
          <w:rFonts w:ascii="Arial;sans-serif" w:hAnsi="Arial;sans-serif"/>
          <w:b/>
          <w:color w:val="000000"/>
          <w:sz w:val="20"/>
        </w:rPr>
        <w:t>LEIDOS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NON-GAAP FINANCIAL MEASURES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percentages)</w: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the reconciliation of non-GAAP free cash flow to net cash provided by operating activities as well as the calculation of operating cash flow and non-GAAP free cash flow conversion ratios:</w:t>
      </w:r>
    </w:p>
    <w:tbl>
      <w:tblPr>
        <w:tblW w:w="9202" w:type="dxa"/>
        <w:jc w:val="left"/>
        <w:tblInd w:w="0" w:type="dxa"/>
        <w:tblCellMar>
          <w:top w:w="28" w:type="dxa"/>
          <w:left w:w="28" w:type="dxa"/>
          <w:bottom w:w="28" w:type="dxa"/>
          <w:right w:w="28" w:type="dxa"/>
        </w:tblCellMar>
      </w:tblPr>
      <w:tblGrid>
        <w:gridCol w:w="2158"/>
        <w:gridCol w:w="1892"/>
        <w:gridCol w:w="1905"/>
        <w:gridCol w:w="109"/>
        <w:gridCol w:w="109"/>
        <w:gridCol w:w="109"/>
        <w:gridCol w:w="286"/>
        <w:gridCol w:w="735"/>
        <w:gridCol w:w="388"/>
        <w:gridCol w:w="109"/>
        <w:gridCol w:w="109"/>
        <w:gridCol w:w="109"/>
        <w:gridCol w:w="244"/>
        <w:gridCol w:w="557"/>
        <w:gridCol w:w="383"/>
      </w:tblGrid>
      <w:tr>
        <w:trPr/>
        <w:tc>
          <w:tcPr>
            <w:tcW w:w="2158"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r>
      <w:tr>
        <w:trPr/>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April 1, 2022</w:t>
            </w:r>
          </w:p>
        </w:tc>
      </w:tr>
      <w:tr>
        <w:trPr/>
        <w:tc>
          <w:tcPr>
            <w:tcW w:w="59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free cash flow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(137)</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attributable to Leidos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162</w:t>
            </w:r>
            <w:r>
              <w:rPr>
                <w:color w:val="000000"/>
              </w:rPr>
              <w:t>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Acquisition, integration and restructuring costs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w:t>
            </w:r>
            <w:r>
              <w:rPr>
                <w:color w:val="000000"/>
              </w:rPr>
              <w:t>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Amortization of acquired intangibles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39</w:t>
            </w:r>
            <w:r>
              <w:rPr>
                <w:color w:val="000000"/>
              </w:rPr>
              <w:t>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attributable to Leidos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203</w:t>
            </w:r>
            <w:r>
              <w:rPr>
                <w:color w:val="000000"/>
              </w:rPr>
              <w:t>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cash flow conversion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3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free cash flow conversion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120" w:after="283"/>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After-tax expenses excluded from non-GAAP net income.</w:t>
      </w:r>
      <w:r>
        <w:br w:type="page"/>
      </w:r>
    </w:p>
    <w:p>
      <w:pPr>
        <w:pStyle w:val="TextBody"/>
        <w:spacing w:before="0" w:after="283"/>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6052</Words>
  <CharactersWithSpaces>39538</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